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2.xml" ContentType="application/vnd.openxmlformats-officedocument.wordprocessingml.header+xml"/>
  <Override PartName="/word/header13.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4EF3" w14:textId="39081A53" w:rsidR="002E573D" w:rsidRPr="00297F21" w:rsidRDefault="002E573D" w:rsidP="00151ECC">
      <w:pPr>
        <w:rPr>
          <w:color w:val="000000" w:themeColor="text1"/>
        </w:rPr>
      </w:pPr>
      <w:bookmarkStart w:id="0" w:name="_Toc111189196"/>
    </w:p>
    <w:p w14:paraId="485D0DD5" w14:textId="77777777" w:rsidR="00672BCC" w:rsidRDefault="00672BCC" w:rsidP="00151ECC">
      <w:pPr>
        <w:rPr>
          <w:color w:val="000000" w:themeColor="text1"/>
        </w:rPr>
      </w:pPr>
    </w:p>
    <w:p w14:paraId="5783CD67" w14:textId="77777777" w:rsidR="00672BCC" w:rsidRPr="00297F21" w:rsidRDefault="00672BCC" w:rsidP="00151ECC">
      <w:pPr>
        <w:rPr>
          <w:color w:val="000000" w:themeColor="text1"/>
        </w:rPr>
      </w:pPr>
    </w:p>
    <w:p w14:paraId="38F087E9" w14:textId="77777777" w:rsidR="002E573D" w:rsidRPr="00297F21" w:rsidRDefault="002E573D" w:rsidP="002E573D">
      <w:pPr>
        <w:spacing w:line="259" w:lineRule="auto"/>
        <w:rPr>
          <w:color w:val="000000" w:themeColor="text1"/>
        </w:rPr>
      </w:pPr>
    </w:p>
    <w:p w14:paraId="7E9AC1FE" w14:textId="77777777" w:rsidR="002E573D" w:rsidRPr="00297F21" w:rsidRDefault="002E573D" w:rsidP="002E573D">
      <w:pPr>
        <w:spacing w:line="259" w:lineRule="auto"/>
        <w:rPr>
          <w:color w:val="000000" w:themeColor="text1"/>
        </w:rPr>
      </w:pPr>
    </w:p>
    <w:p w14:paraId="42DD8444" w14:textId="77777777" w:rsidR="002E573D" w:rsidRDefault="002E573D" w:rsidP="002E573D">
      <w:pPr>
        <w:spacing w:line="259" w:lineRule="auto"/>
        <w:rPr>
          <w:color w:val="000000" w:themeColor="text1"/>
        </w:rPr>
      </w:pPr>
    </w:p>
    <w:p w14:paraId="12C5C083" w14:textId="77777777" w:rsidR="00CD260A" w:rsidRDefault="00CD260A" w:rsidP="002E573D">
      <w:pPr>
        <w:spacing w:line="259" w:lineRule="auto"/>
        <w:rPr>
          <w:color w:val="000000" w:themeColor="text1"/>
        </w:rPr>
      </w:pPr>
    </w:p>
    <w:p w14:paraId="4247129E" w14:textId="77777777" w:rsidR="00CD260A" w:rsidRDefault="00CD260A" w:rsidP="002E573D">
      <w:pPr>
        <w:spacing w:line="259" w:lineRule="auto"/>
        <w:rPr>
          <w:color w:val="000000" w:themeColor="text1"/>
        </w:rPr>
      </w:pPr>
    </w:p>
    <w:p w14:paraId="54EC1247" w14:textId="77777777" w:rsidR="00CD260A" w:rsidRDefault="00CD260A" w:rsidP="002E573D">
      <w:pPr>
        <w:spacing w:line="259" w:lineRule="auto"/>
        <w:rPr>
          <w:color w:val="000000" w:themeColor="text1"/>
        </w:rPr>
      </w:pPr>
    </w:p>
    <w:p w14:paraId="3AC6F4EC" w14:textId="77777777" w:rsidR="00D37629" w:rsidRDefault="00D37629">
      <w:pPr>
        <w:spacing w:before="0" w:after="160" w:line="259" w:lineRule="auto"/>
        <w:rPr>
          <w:color w:val="000000" w:themeColor="text1"/>
        </w:rPr>
      </w:pPr>
    </w:p>
    <w:p w14:paraId="35D762D8" w14:textId="77777777" w:rsidR="00D37629" w:rsidRPr="00DC0C60" w:rsidRDefault="00D37629" w:rsidP="00DC0C60"/>
    <w:p w14:paraId="1999635F" w14:textId="77777777" w:rsidR="00D37629" w:rsidRPr="00DC0C60" w:rsidRDefault="00D37629" w:rsidP="00DC0C60"/>
    <w:p w14:paraId="2B0366AA" w14:textId="77777777" w:rsidR="00D37629" w:rsidRPr="00DC0C60" w:rsidRDefault="00D37629" w:rsidP="00DC0C60"/>
    <w:p w14:paraId="0A43FD4B" w14:textId="77777777" w:rsidR="00D37629" w:rsidRPr="00DC0C60" w:rsidRDefault="00D37629" w:rsidP="00DC0C60"/>
    <w:p w14:paraId="03C529F8" w14:textId="77777777" w:rsidR="00D37629" w:rsidRPr="00DC0C60" w:rsidRDefault="00D37629" w:rsidP="00DC0C60"/>
    <w:p w14:paraId="013C9467" w14:textId="77777777" w:rsidR="00D37629" w:rsidRPr="00DC0C60" w:rsidRDefault="00D37629" w:rsidP="00DC0C60"/>
    <w:p w14:paraId="3E16FE93" w14:textId="77777777" w:rsidR="00D37629" w:rsidRPr="00DC0C60" w:rsidRDefault="00D37629" w:rsidP="00DC0C60"/>
    <w:p w14:paraId="5DDCACC4" w14:textId="77777777" w:rsidR="00D37629" w:rsidRPr="00DC0C60" w:rsidRDefault="00D37629" w:rsidP="00DC0C60"/>
    <w:p w14:paraId="2EE67AFF" w14:textId="77777777" w:rsidR="00D37629" w:rsidRPr="00DC0C60" w:rsidRDefault="00D37629" w:rsidP="00DC0C60"/>
    <w:p w14:paraId="11A0B92B" w14:textId="77777777" w:rsidR="00D37629" w:rsidRPr="00DC0C60" w:rsidRDefault="00D37629" w:rsidP="00DC0C60"/>
    <w:p w14:paraId="50ECEFDF" w14:textId="77777777" w:rsidR="00D37629" w:rsidRPr="00DC0C60" w:rsidRDefault="00D37629" w:rsidP="00DC0C60"/>
    <w:p w14:paraId="224F43B2" w14:textId="55E4BFFB" w:rsidR="00D37629" w:rsidRDefault="00D37629" w:rsidP="00DC0C60">
      <w:pPr>
        <w:tabs>
          <w:tab w:val="left" w:pos="6945"/>
        </w:tabs>
        <w:spacing w:before="0" w:after="160" w:line="259" w:lineRule="auto"/>
        <w:rPr>
          <w:color w:val="000000" w:themeColor="text1"/>
        </w:rPr>
      </w:pPr>
      <w:r>
        <w:rPr>
          <w:color w:val="000000" w:themeColor="text1"/>
        </w:rPr>
        <w:tab/>
      </w:r>
    </w:p>
    <w:p w14:paraId="6DD4983C" w14:textId="4224EF35" w:rsidR="002E573D" w:rsidRPr="00297F21" w:rsidRDefault="00151ECC" w:rsidP="00072B0A">
      <w:pPr>
        <w:spacing w:before="0" w:after="160" w:line="259" w:lineRule="auto"/>
        <w:rPr>
          <w:color w:val="000000" w:themeColor="text1"/>
        </w:rPr>
        <w:sectPr w:rsidR="002E573D" w:rsidRPr="00297F21" w:rsidSect="00714B6F">
          <w:headerReference w:type="default" r:id="rId11"/>
          <w:footerReference w:type="default" r:id="rId12"/>
          <w:headerReference w:type="first" r:id="rId13"/>
          <w:footerReference w:type="first" r:id="rId14"/>
          <w:pgSz w:w="11906" w:h="16838"/>
          <w:pgMar w:top="1134" w:right="851" w:bottom="1134" w:left="851" w:header="720" w:footer="720" w:gutter="0"/>
          <w:cols w:space="350"/>
          <w:titlePg/>
          <w:docGrid w:linePitch="272"/>
        </w:sectPr>
      </w:pPr>
      <w:r w:rsidRPr="00DC0C60">
        <w:br w:type="page"/>
      </w:r>
    </w:p>
    <w:p w14:paraId="23C08142" w14:textId="228F241C" w:rsidR="00C042D9" w:rsidRPr="00097251" w:rsidRDefault="00C042D9" w:rsidP="00094979">
      <w:pPr>
        <w:pStyle w:val="DECheading11"/>
      </w:pPr>
      <w:bookmarkStart w:id="1" w:name="_Toc138317819"/>
      <w:bookmarkStart w:id="2" w:name="_Toc172794848"/>
      <w:bookmarkStart w:id="3" w:name="_Toc172808394"/>
      <w:bookmarkStart w:id="4" w:name="_Toc172808461"/>
      <w:bookmarkStart w:id="5" w:name="_Toc174605606"/>
      <w:bookmarkStart w:id="6" w:name="_Toc176424746"/>
      <w:bookmarkStart w:id="7" w:name="_Toc176424905"/>
      <w:r>
        <w:lastRenderedPageBreak/>
        <w:t>Contents</w:t>
      </w:r>
      <w:bookmarkEnd w:id="0"/>
      <w:bookmarkEnd w:id="1"/>
      <w:bookmarkEnd w:id="2"/>
      <w:bookmarkEnd w:id="3"/>
      <w:bookmarkEnd w:id="4"/>
      <w:bookmarkEnd w:id="5"/>
      <w:bookmarkEnd w:id="6"/>
      <w:bookmarkEnd w:id="7"/>
    </w:p>
    <w:p w14:paraId="392171D3" w14:textId="426AAF1D" w:rsidR="00623405" w:rsidRPr="00623405" w:rsidRDefault="00C16617" w:rsidP="00623405">
      <w:pPr>
        <w:pStyle w:val="TOC1"/>
        <w:rPr>
          <w:rStyle w:val="Hyperlink"/>
          <w:noProof/>
        </w:rPr>
      </w:pPr>
      <w:r w:rsidRPr="00623405">
        <w:rPr>
          <w:rStyle w:val="Hyperlink"/>
          <w:noProof/>
        </w:rPr>
        <w:fldChar w:fldCharType="begin"/>
      </w:r>
      <w:r w:rsidRPr="00623405">
        <w:rPr>
          <w:rStyle w:val="Hyperlink"/>
          <w:noProof/>
        </w:rPr>
        <w:instrText xml:space="preserve"> TOC \o \h \z \u </w:instrText>
      </w:r>
      <w:r w:rsidRPr="00623405">
        <w:rPr>
          <w:rStyle w:val="Hyperlink"/>
          <w:noProof/>
        </w:rPr>
        <w:fldChar w:fldCharType="separate"/>
      </w:r>
    </w:p>
    <w:p w14:paraId="53186F89" w14:textId="661D793A" w:rsidR="00623405" w:rsidRPr="00623405" w:rsidRDefault="00000000" w:rsidP="00623405">
      <w:pPr>
        <w:pStyle w:val="TOC1"/>
        <w:rPr>
          <w:rStyle w:val="Hyperlink"/>
          <w:noProof/>
        </w:rPr>
      </w:pPr>
      <w:hyperlink w:anchor="_Toc176424910" w:history="1">
        <w:r w:rsidR="00623405" w:rsidRPr="00BC1C3A">
          <w:rPr>
            <w:rStyle w:val="Hyperlink"/>
            <w:noProof/>
          </w:rPr>
          <w:t>Message from the Director-General</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_Toc176424910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6</w:t>
        </w:r>
        <w:r w:rsidR="00623405" w:rsidRPr="00623405">
          <w:rPr>
            <w:rStyle w:val="Hyperlink"/>
            <w:noProof/>
            <w:webHidden/>
          </w:rPr>
          <w:fldChar w:fldCharType="end"/>
        </w:r>
      </w:hyperlink>
    </w:p>
    <w:p w14:paraId="678F209F" w14:textId="514ADF98" w:rsidR="00623405" w:rsidRPr="00623405" w:rsidRDefault="00000000" w:rsidP="00623405">
      <w:pPr>
        <w:pStyle w:val="TOC1"/>
        <w:rPr>
          <w:rStyle w:val="Hyperlink"/>
          <w:noProof/>
        </w:rPr>
      </w:pPr>
      <w:hyperlink w:anchor="_Toc176424911" w:history="1">
        <w:r w:rsidR="00623405" w:rsidRPr="00BC1C3A">
          <w:rPr>
            <w:rStyle w:val="Hyperlink"/>
            <w:noProof/>
          </w:rPr>
          <w:t>About us</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_Toc176424911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8</w:t>
        </w:r>
        <w:r w:rsidR="00623405" w:rsidRPr="00623405">
          <w:rPr>
            <w:rStyle w:val="Hyperlink"/>
            <w:noProof/>
            <w:webHidden/>
          </w:rPr>
          <w:fldChar w:fldCharType="end"/>
        </w:r>
      </w:hyperlink>
    </w:p>
    <w:p w14:paraId="78E37084" w14:textId="3C780371" w:rsidR="00623405" w:rsidRPr="00623405" w:rsidRDefault="00000000" w:rsidP="00623405">
      <w:pPr>
        <w:pStyle w:val="TOC1"/>
        <w:rPr>
          <w:rStyle w:val="Hyperlink"/>
          <w:noProof/>
        </w:rPr>
      </w:pPr>
      <w:hyperlink w:anchor="_Toc176424939" w:history="1">
        <w:r w:rsidR="00623405" w:rsidRPr="00BC1C3A">
          <w:rPr>
            <w:rStyle w:val="Hyperlink"/>
            <w:noProof/>
          </w:rPr>
          <w:t>Our strategic objectives</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_Toc176424939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19</w:t>
        </w:r>
        <w:r w:rsidR="00623405" w:rsidRPr="00623405">
          <w:rPr>
            <w:rStyle w:val="Hyperlink"/>
            <w:noProof/>
            <w:webHidden/>
          </w:rPr>
          <w:fldChar w:fldCharType="end"/>
        </w:r>
      </w:hyperlink>
    </w:p>
    <w:p w14:paraId="5799AF0D" w14:textId="2FC93A88" w:rsidR="00623405" w:rsidRPr="00623405" w:rsidRDefault="00000000" w:rsidP="00623405">
      <w:pPr>
        <w:pStyle w:val="TOC1"/>
        <w:rPr>
          <w:rStyle w:val="Hyperlink"/>
          <w:noProof/>
        </w:rPr>
      </w:pPr>
      <w:hyperlink w:anchor="_Toc176424940" w:history="1">
        <w:r w:rsidR="00623405" w:rsidRPr="00BC1C3A">
          <w:rPr>
            <w:rStyle w:val="Hyperlink"/>
            <w:noProof/>
          </w:rPr>
          <w:t>Our 2023–24 highlights</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_Toc176424940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19</w:t>
        </w:r>
        <w:r w:rsidR="00623405" w:rsidRPr="00623405">
          <w:rPr>
            <w:rStyle w:val="Hyperlink"/>
            <w:noProof/>
            <w:webHidden/>
          </w:rPr>
          <w:fldChar w:fldCharType="end"/>
        </w:r>
      </w:hyperlink>
    </w:p>
    <w:p w14:paraId="70AAE4AD" w14:textId="3C8240AD" w:rsidR="00623405" w:rsidRPr="00623405" w:rsidRDefault="00000000" w:rsidP="00623405">
      <w:pPr>
        <w:pStyle w:val="TOC1"/>
        <w:rPr>
          <w:rStyle w:val="Hyperlink"/>
          <w:noProof/>
        </w:rPr>
      </w:pPr>
      <w:hyperlink w:anchor="_Toc176424945" w:history="1">
        <w:r w:rsidR="00623405" w:rsidRPr="00BC1C3A">
          <w:rPr>
            <w:rStyle w:val="Hyperlink"/>
            <w:noProof/>
          </w:rPr>
          <w:t>Objective one</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_Toc176424945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21</w:t>
        </w:r>
        <w:r w:rsidR="00623405" w:rsidRPr="00623405">
          <w:rPr>
            <w:rStyle w:val="Hyperlink"/>
            <w:noProof/>
            <w:webHidden/>
          </w:rPr>
          <w:fldChar w:fldCharType="end"/>
        </w:r>
      </w:hyperlink>
    </w:p>
    <w:p w14:paraId="7E1B1A1E" w14:textId="241A0BA4" w:rsidR="00623405" w:rsidRPr="00623405" w:rsidRDefault="00000000" w:rsidP="00623405">
      <w:pPr>
        <w:pStyle w:val="TOC1"/>
        <w:rPr>
          <w:rStyle w:val="Hyperlink"/>
          <w:noProof/>
        </w:rPr>
      </w:pPr>
      <w:hyperlink w:anchor="_Toc176424967" w:history="1">
        <w:r w:rsidR="00623405" w:rsidRPr="00BC1C3A">
          <w:rPr>
            <w:rStyle w:val="Hyperlink"/>
            <w:noProof/>
          </w:rPr>
          <w:t>Objective two</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_Toc176424967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30</w:t>
        </w:r>
        <w:r w:rsidR="00623405" w:rsidRPr="00623405">
          <w:rPr>
            <w:rStyle w:val="Hyperlink"/>
            <w:noProof/>
            <w:webHidden/>
          </w:rPr>
          <w:fldChar w:fldCharType="end"/>
        </w:r>
      </w:hyperlink>
    </w:p>
    <w:p w14:paraId="18EF0003" w14:textId="47989A0D" w:rsidR="00623405" w:rsidRPr="00623405" w:rsidRDefault="00000000" w:rsidP="00623405">
      <w:pPr>
        <w:pStyle w:val="TOC1"/>
        <w:rPr>
          <w:rStyle w:val="Hyperlink"/>
          <w:noProof/>
        </w:rPr>
      </w:pPr>
      <w:hyperlink w:anchor="_Toc176424983" w:history="1">
        <w:r w:rsidR="00623405" w:rsidRPr="00BC1C3A">
          <w:rPr>
            <w:rStyle w:val="Hyperlink"/>
            <w:noProof/>
          </w:rPr>
          <w:t>Objective three</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_Toc176424983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35</w:t>
        </w:r>
        <w:r w:rsidR="00623405" w:rsidRPr="00623405">
          <w:rPr>
            <w:rStyle w:val="Hyperlink"/>
            <w:noProof/>
            <w:webHidden/>
          </w:rPr>
          <w:fldChar w:fldCharType="end"/>
        </w:r>
      </w:hyperlink>
    </w:p>
    <w:p w14:paraId="23E0370D" w14:textId="68A967D8" w:rsidR="00623405" w:rsidRPr="00623405" w:rsidRDefault="00000000" w:rsidP="00623405">
      <w:pPr>
        <w:pStyle w:val="TOC1"/>
        <w:rPr>
          <w:rStyle w:val="Hyperlink"/>
          <w:noProof/>
        </w:rPr>
      </w:pPr>
      <w:hyperlink w:anchor="_Toc176425041" w:history="1">
        <w:r w:rsidR="00623405" w:rsidRPr="00BC1C3A">
          <w:rPr>
            <w:rStyle w:val="Hyperlink"/>
            <w:noProof/>
          </w:rPr>
          <w:t>Appendices</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_Toc176425041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56</w:t>
        </w:r>
        <w:r w:rsidR="00623405" w:rsidRPr="00623405">
          <w:rPr>
            <w:rStyle w:val="Hyperlink"/>
            <w:noProof/>
            <w:webHidden/>
          </w:rPr>
          <w:fldChar w:fldCharType="end"/>
        </w:r>
      </w:hyperlink>
    </w:p>
    <w:p w14:paraId="6BACBDE5" w14:textId="4B0D7AE7" w:rsidR="00623405" w:rsidRPr="00623405" w:rsidRDefault="00000000">
      <w:pPr>
        <w:pStyle w:val="TOC1"/>
        <w:rPr>
          <w:rStyle w:val="Hyperlink"/>
          <w:noProof/>
        </w:rPr>
      </w:pPr>
      <w:hyperlink w:anchor="_Toc176425042" w:history="1">
        <w:r w:rsidR="00623405" w:rsidRPr="00BC1C3A">
          <w:rPr>
            <w:rStyle w:val="Hyperlink"/>
            <w:noProof/>
          </w:rPr>
          <w:t>Appendix 1 – Statutory bodies</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_Toc176425042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56</w:t>
        </w:r>
        <w:r w:rsidR="00623405" w:rsidRPr="00623405">
          <w:rPr>
            <w:rStyle w:val="Hyperlink"/>
            <w:noProof/>
            <w:webHidden/>
          </w:rPr>
          <w:fldChar w:fldCharType="end"/>
        </w:r>
      </w:hyperlink>
    </w:p>
    <w:p w14:paraId="3C7885F0" w14:textId="6BF87D52" w:rsidR="00623405" w:rsidRPr="00623405" w:rsidRDefault="00000000" w:rsidP="00623405">
      <w:pPr>
        <w:pStyle w:val="TOC1"/>
        <w:rPr>
          <w:rStyle w:val="Hyperlink"/>
          <w:noProof/>
        </w:rPr>
      </w:pPr>
      <w:hyperlink w:anchor="_Toc176425043" w:history="1">
        <w:r w:rsidR="00623405" w:rsidRPr="00BC1C3A">
          <w:rPr>
            <w:rStyle w:val="Hyperlink"/>
            <w:noProof/>
          </w:rPr>
          <w:t>Appendix 2 – Government bodies</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_Toc176425043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57</w:t>
        </w:r>
        <w:r w:rsidR="00623405" w:rsidRPr="00623405">
          <w:rPr>
            <w:rStyle w:val="Hyperlink"/>
            <w:noProof/>
            <w:webHidden/>
          </w:rPr>
          <w:fldChar w:fldCharType="end"/>
        </w:r>
      </w:hyperlink>
    </w:p>
    <w:p w14:paraId="76B70A6C" w14:textId="3025DCD5" w:rsidR="00623405" w:rsidRPr="00623405" w:rsidRDefault="00000000">
      <w:pPr>
        <w:pStyle w:val="TOC1"/>
        <w:rPr>
          <w:rStyle w:val="Hyperlink"/>
          <w:noProof/>
        </w:rPr>
      </w:pPr>
      <w:hyperlink w:anchor="_Toc176425050" w:history="1">
        <w:r w:rsidR="00623405" w:rsidRPr="00BC1C3A">
          <w:rPr>
            <w:rStyle w:val="Hyperlink"/>
            <w:noProof/>
          </w:rPr>
          <w:t>Appendix 3 - Glossary of Terms</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_Toc176425050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59</w:t>
        </w:r>
        <w:r w:rsidR="00623405" w:rsidRPr="00623405">
          <w:rPr>
            <w:rStyle w:val="Hyperlink"/>
            <w:noProof/>
            <w:webHidden/>
          </w:rPr>
          <w:fldChar w:fldCharType="end"/>
        </w:r>
      </w:hyperlink>
    </w:p>
    <w:p w14:paraId="6717CC6A" w14:textId="0582DA19" w:rsidR="00623405" w:rsidRPr="00623405" w:rsidRDefault="00000000">
      <w:pPr>
        <w:pStyle w:val="TOC1"/>
        <w:rPr>
          <w:rStyle w:val="Hyperlink"/>
          <w:noProof/>
        </w:rPr>
      </w:pPr>
      <w:hyperlink w:anchor="_Toc176425051" w:history="1">
        <w:r w:rsidR="00623405" w:rsidRPr="00BC1C3A">
          <w:rPr>
            <w:rStyle w:val="Hyperlink"/>
            <w:noProof/>
          </w:rPr>
          <w:t>Appendix 4 – Compliance checklist</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_Toc176425051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60</w:t>
        </w:r>
        <w:r w:rsidR="00623405" w:rsidRPr="00623405">
          <w:rPr>
            <w:rStyle w:val="Hyperlink"/>
            <w:noProof/>
            <w:webHidden/>
          </w:rPr>
          <w:fldChar w:fldCharType="end"/>
        </w:r>
      </w:hyperlink>
    </w:p>
    <w:p w14:paraId="1709F007" w14:textId="73470FAF" w:rsidR="00623405" w:rsidRPr="00623405" w:rsidRDefault="00000000" w:rsidP="00623405">
      <w:pPr>
        <w:pStyle w:val="TOC1"/>
        <w:rPr>
          <w:rStyle w:val="Hyperlink"/>
          <w:noProof/>
        </w:rPr>
      </w:pPr>
      <w:hyperlink w:anchor="_Toc176425052" w:history="1">
        <w:r w:rsidR="00623405" w:rsidRPr="00BC1C3A">
          <w:rPr>
            <w:rStyle w:val="Hyperlink"/>
            <w:noProof/>
          </w:rPr>
          <w:t>Financial Statements</w:t>
        </w:r>
        <w:r w:rsidR="00623405">
          <w:rPr>
            <w:rStyle w:val="Hyperlink"/>
            <w:noProof/>
          </w:rPr>
          <w:t xml:space="preserve"> 2023-24</w:t>
        </w:r>
        <w:r w:rsidR="00623405" w:rsidRPr="00623405">
          <w:rPr>
            <w:rStyle w:val="Hyperlink"/>
            <w:noProof/>
            <w:webHidden/>
          </w:rPr>
          <w:tab/>
        </w:r>
        <w:r w:rsidR="00623405" w:rsidRPr="00623405">
          <w:rPr>
            <w:rStyle w:val="Hyperlink"/>
            <w:noProof/>
            <w:webHidden/>
          </w:rPr>
          <w:fldChar w:fldCharType="begin"/>
        </w:r>
        <w:r w:rsidR="00623405" w:rsidRPr="00623405">
          <w:rPr>
            <w:rStyle w:val="Hyperlink"/>
            <w:noProof/>
            <w:webHidden/>
          </w:rPr>
          <w:instrText xml:space="preserve"> PAGEREF _Toc176425052 \h </w:instrText>
        </w:r>
        <w:r w:rsidR="00623405" w:rsidRPr="00623405">
          <w:rPr>
            <w:rStyle w:val="Hyperlink"/>
            <w:noProof/>
            <w:webHidden/>
          </w:rPr>
        </w:r>
        <w:r w:rsidR="00623405" w:rsidRPr="00623405">
          <w:rPr>
            <w:rStyle w:val="Hyperlink"/>
            <w:noProof/>
            <w:webHidden/>
          </w:rPr>
          <w:fldChar w:fldCharType="separate"/>
        </w:r>
        <w:r w:rsidR="00BD1260">
          <w:rPr>
            <w:rStyle w:val="Hyperlink"/>
            <w:noProof/>
            <w:webHidden/>
          </w:rPr>
          <w:t>62</w:t>
        </w:r>
        <w:r w:rsidR="00623405" w:rsidRPr="00623405">
          <w:rPr>
            <w:rStyle w:val="Hyperlink"/>
            <w:noProof/>
            <w:webHidden/>
          </w:rPr>
          <w:fldChar w:fldCharType="end"/>
        </w:r>
      </w:hyperlink>
    </w:p>
    <w:p w14:paraId="712AB784" w14:textId="1CFE63D7" w:rsidR="00C16617" w:rsidRPr="00623405" w:rsidRDefault="00C16617" w:rsidP="00623405">
      <w:pPr>
        <w:pStyle w:val="TOC1"/>
        <w:rPr>
          <w:rStyle w:val="Hyperlink"/>
          <w:noProof/>
        </w:rPr>
      </w:pPr>
      <w:r w:rsidRPr="00623405">
        <w:rPr>
          <w:rStyle w:val="Hyperlink"/>
          <w:noProof/>
        </w:rPr>
        <w:fldChar w:fldCharType="end"/>
      </w:r>
      <w:r w:rsidR="00CC2A9D" w:rsidRPr="00623405">
        <w:rPr>
          <w:rStyle w:val="Hyperlink"/>
          <w:noProof/>
        </w:rPr>
        <w:br w:type="page"/>
      </w:r>
    </w:p>
    <w:p w14:paraId="4BD0495B" w14:textId="77777777" w:rsidR="00781B85" w:rsidRPr="002F76C0" w:rsidRDefault="00781B85" w:rsidP="00C669DC">
      <w:pPr>
        <w:pStyle w:val="DECHeading2"/>
      </w:pPr>
      <w:bookmarkStart w:id="8" w:name="_Toc172794850"/>
      <w:bookmarkStart w:id="9" w:name="_Toc172806371"/>
      <w:bookmarkStart w:id="10" w:name="_Toc172806563"/>
      <w:bookmarkStart w:id="11" w:name="_Toc172808463"/>
      <w:bookmarkStart w:id="12" w:name="_Toc174605607"/>
      <w:bookmarkStart w:id="13" w:name="_Toc176424747"/>
      <w:bookmarkStart w:id="14" w:name="_Toc176424906"/>
      <w:r w:rsidRPr="002F76C0">
        <w:lastRenderedPageBreak/>
        <w:t>Communication objective</w:t>
      </w:r>
      <w:bookmarkEnd w:id="8"/>
      <w:bookmarkEnd w:id="9"/>
      <w:bookmarkEnd w:id="10"/>
      <w:bookmarkEnd w:id="11"/>
      <w:bookmarkEnd w:id="12"/>
      <w:bookmarkEnd w:id="13"/>
      <w:bookmarkEnd w:id="14"/>
    </w:p>
    <w:p w14:paraId="109AF84F" w14:textId="362FC48C" w:rsidR="00781B85" w:rsidRPr="00EF5232" w:rsidRDefault="00781B85" w:rsidP="00781B85">
      <w:pPr>
        <w:pStyle w:val="BodyText"/>
      </w:pPr>
      <w:r w:rsidRPr="003C2161">
        <w:t xml:space="preserve">This annual report provides information about the </w:t>
      </w:r>
      <w:r>
        <w:t xml:space="preserve">Department of </w:t>
      </w:r>
      <w:r w:rsidR="00832056">
        <w:t>E</w:t>
      </w:r>
      <w:r>
        <w:t xml:space="preserve">nergy and </w:t>
      </w:r>
      <w:r w:rsidR="00832056">
        <w:t>C</w:t>
      </w:r>
      <w:r>
        <w:t>limate</w:t>
      </w:r>
      <w:r w:rsidRPr="003C2161">
        <w:t>’</w:t>
      </w:r>
      <w:r w:rsidR="00832056">
        <w:t>s</w:t>
      </w:r>
      <w:r w:rsidRPr="003C2161">
        <w:t xml:space="preserve"> financial and non-financial performance for </w:t>
      </w:r>
      <w:r>
        <w:t>2023</w:t>
      </w:r>
      <w:r w:rsidR="00A34C71">
        <w:t>–</w:t>
      </w:r>
      <w:r>
        <w:t>24</w:t>
      </w:r>
      <w:r w:rsidRPr="003C2161">
        <w:t xml:space="preserve">. It has been prepared in accordance with the </w:t>
      </w:r>
      <w:r w:rsidRPr="00EF5232">
        <w:rPr>
          <w:i/>
          <w:iCs/>
        </w:rPr>
        <w:t>Financial Accountability Act 2009</w:t>
      </w:r>
      <w:r w:rsidRPr="003C2161">
        <w:t xml:space="preserve">, the </w:t>
      </w:r>
      <w:r w:rsidRPr="006C6741">
        <w:rPr>
          <w:i/>
          <w:iCs/>
        </w:rPr>
        <w:t>Financial and Performance Management Standard 2019</w:t>
      </w:r>
      <w:r w:rsidRPr="00EF5232">
        <w:t xml:space="preserve"> and the </w:t>
      </w:r>
      <w:r w:rsidRPr="006227F0">
        <w:rPr>
          <w:i/>
        </w:rPr>
        <w:t>Annual report requirements for Queensland Government agencies.</w:t>
      </w:r>
    </w:p>
    <w:p w14:paraId="2434B6C8" w14:textId="2506314F" w:rsidR="00781B85" w:rsidRPr="00EF5232" w:rsidRDefault="00781B85" w:rsidP="00781B85">
      <w:pPr>
        <w:pStyle w:val="BodyText"/>
      </w:pPr>
      <w:r w:rsidRPr="00EF5232">
        <w:t xml:space="preserve">The report records the significant achievements against the strategies detailed in the department’s </w:t>
      </w:r>
      <w:r w:rsidRPr="006C6741">
        <w:rPr>
          <w:i/>
          <w:iCs/>
        </w:rPr>
        <w:t xml:space="preserve">Strategic Plan </w:t>
      </w:r>
      <w:r>
        <w:rPr>
          <w:i/>
          <w:iCs/>
        </w:rPr>
        <w:t>2023</w:t>
      </w:r>
      <w:r w:rsidR="00775788">
        <w:rPr>
          <w:i/>
          <w:iCs/>
        </w:rPr>
        <w:t>–</w:t>
      </w:r>
      <w:r w:rsidR="0043033A">
        <w:rPr>
          <w:i/>
          <w:iCs/>
        </w:rPr>
        <w:t>20</w:t>
      </w:r>
      <w:r>
        <w:rPr>
          <w:i/>
          <w:iCs/>
        </w:rPr>
        <w:t>27</w:t>
      </w:r>
      <w:r w:rsidRPr="006C6741">
        <w:rPr>
          <w:i/>
          <w:iCs/>
        </w:rPr>
        <w:t xml:space="preserve"> </w:t>
      </w:r>
      <w:r w:rsidRPr="00EF5232">
        <w:t xml:space="preserve">and the </w:t>
      </w:r>
      <w:r>
        <w:rPr>
          <w:i/>
          <w:iCs/>
        </w:rPr>
        <w:t>2023</w:t>
      </w:r>
      <w:r w:rsidR="0043033A">
        <w:rPr>
          <w:i/>
          <w:iCs/>
        </w:rPr>
        <w:t>–</w:t>
      </w:r>
      <w:r>
        <w:rPr>
          <w:i/>
          <w:iCs/>
        </w:rPr>
        <w:t>24</w:t>
      </w:r>
      <w:r w:rsidRPr="006C6741">
        <w:rPr>
          <w:i/>
          <w:iCs/>
        </w:rPr>
        <w:t xml:space="preserve"> Service Delivery Statements</w:t>
      </w:r>
      <w:r w:rsidRPr="00EF5232">
        <w:t>.</w:t>
      </w:r>
    </w:p>
    <w:p w14:paraId="1554E675" w14:textId="08FEFC0C" w:rsidR="00781B85" w:rsidRPr="003C2161" w:rsidRDefault="00781B85" w:rsidP="00781B85">
      <w:pPr>
        <w:pStyle w:val="BodyText"/>
        <w:rPr>
          <w:rFonts w:eastAsia="Calibri" w:cs="Calibri"/>
          <w:color w:val="000000" w:themeColor="text1"/>
          <w:sz w:val="18"/>
        </w:rPr>
      </w:pPr>
      <w:r w:rsidRPr="00EF5232">
        <w:t xml:space="preserve">The Queensland </w:t>
      </w:r>
      <w:r w:rsidR="007071DB">
        <w:t>G</w:t>
      </w:r>
      <w:r w:rsidRPr="00EF5232">
        <w:t>overnment is committed to providing accessible services to Queenslanders from all culturally and linguistically diverse backgrounds. If you have difficulty understanding the annual report, you can contact us on</w:t>
      </w:r>
      <w:r w:rsidR="00F536EE">
        <w:t xml:space="preserve"> </w:t>
      </w:r>
      <w:r w:rsidRPr="003C2161">
        <w:t xml:space="preserve">13 QGOV (13 74 68) and we will arrange an interpreter to communicate the </w:t>
      </w:r>
      <w:r w:rsidRPr="00A31EF6">
        <w:rPr>
          <w:szCs w:val="20"/>
        </w:rPr>
        <w:t>repo</w:t>
      </w:r>
      <w:r w:rsidRPr="00412380">
        <w:rPr>
          <w:rFonts w:eastAsia="Calibri" w:cs="Calibri"/>
          <w:color w:val="000000" w:themeColor="text1"/>
          <w:szCs w:val="20"/>
        </w:rPr>
        <w:t>rt to you.</w:t>
      </w:r>
    </w:p>
    <w:p w14:paraId="7519DB23" w14:textId="77777777" w:rsidR="00781B85" w:rsidRPr="00297F21" w:rsidRDefault="00781B85" w:rsidP="00781B85">
      <w:pPr>
        <w:pStyle w:val="BodyText"/>
        <w:rPr>
          <w:color w:val="000000" w:themeColor="text1"/>
        </w:rPr>
      </w:pPr>
      <w:r w:rsidRPr="00297F21">
        <w:rPr>
          <w:noProof/>
          <w:color w:val="000000" w:themeColor="text1"/>
        </w:rPr>
        <mc:AlternateContent>
          <mc:Choice Requires="wpg">
            <w:drawing>
              <wp:inline distT="0" distB="0" distL="0" distR="0" wp14:anchorId="4E3E5843" wp14:editId="48CCF461">
                <wp:extent cx="447672" cy="443460"/>
                <wp:effectExtent l="0" t="0" r="0" b="0"/>
                <wp:docPr id="281777" name="Group 281777"/>
                <wp:cNvGraphicFramePr/>
                <a:graphic xmlns:a="http://schemas.openxmlformats.org/drawingml/2006/main">
                  <a:graphicData uri="http://schemas.microsoft.com/office/word/2010/wordprocessingGroup">
                    <wpg:wgp>
                      <wpg:cNvGrpSpPr/>
                      <wpg:grpSpPr>
                        <a:xfrm>
                          <a:off x="0" y="0"/>
                          <a:ext cx="447672" cy="443460"/>
                          <a:chOff x="0" y="0"/>
                          <a:chExt cx="447672" cy="443460"/>
                        </a:xfrm>
                      </wpg:grpSpPr>
                      <wps:wsp>
                        <wps:cNvPr id="295" name="Rectangle 295"/>
                        <wps:cNvSpPr/>
                        <wps:spPr>
                          <a:xfrm>
                            <a:off x="0" y="0"/>
                            <a:ext cx="34964" cy="210243"/>
                          </a:xfrm>
                          <a:prstGeom prst="rect">
                            <a:avLst/>
                          </a:prstGeom>
                          <a:ln>
                            <a:noFill/>
                          </a:ln>
                        </wps:spPr>
                        <wps:txbx>
                          <w:txbxContent>
                            <w:p w14:paraId="1535CB98" w14:textId="77777777" w:rsidR="00781B85" w:rsidRDefault="00781B85" w:rsidP="00781B85">
                              <w:r>
                                <w:t xml:space="preserve"> </w:t>
                              </w:r>
                            </w:p>
                          </w:txbxContent>
                        </wps:txbx>
                        <wps:bodyPr horzOverflow="overflow" vert="horz" lIns="0" tIns="0" rIns="0" bIns="0" rtlCol="0">
                          <a:noAutofit/>
                        </wps:bodyPr>
                      </wps:wsp>
                      <pic:pic xmlns:pic="http://schemas.openxmlformats.org/drawingml/2006/picture">
                        <pic:nvPicPr>
                          <pic:cNvPr id="297" name="Picture 297"/>
                          <pic:cNvPicPr/>
                        </pic:nvPicPr>
                        <pic:blipFill>
                          <a:blip r:embed="rId15"/>
                          <a:stretch>
                            <a:fillRect/>
                          </a:stretch>
                        </pic:blipFill>
                        <pic:spPr>
                          <a:xfrm>
                            <a:off x="0" y="3280"/>
                            <a:ext cx="447672" cy="440180"/>
                          </a:xfrm>
                          <a:prstGeom prst="rect">
                            <a:avLst/>
                          </a:prstGeom>
                        </pic:spPr>
                      </pic:pic>
                    </wpg:wgp>
                  </a:graphicData>
                </a:graphic>
              </wp:inline>
            </w:drawing>
          </mc:Choice>
          <mc:Fallback>
            <w:pict>
              <v:group w14:anchorId="4E3E5843" id="Group 281777" o:spid="_x0000_s1026" style="width:35.25pt;height:34.9pt;mso-position-horizontal-relative:char;mso-position-vertical-relative:line" coordsize="447672,44346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">
                <v:rect id="Rectangle 295" o:spid="_x0000_s1027" style="position:absolute;width:34964;height:210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14:paraId="1535CB98" w14:textId="77777777" w:rsidR="00781B85" w:rsidRDefault="00781B85" w:rsidP="00781B85">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 o:spid="_x0000_s1028" type="#_x0000_t75" style="position:absolute;top:3280;width:447672;height:44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">
                  <v:imagedata r:id="rId16" o:title=""/>
                </v:shape>
                <w10:anchorlock/>
              </v:group>
            </w:pict>
          </mc:Fallback>
        </mc:AlternateContent>
      </w:r>
      <w:r>
        <w:rPr>
          <w:rFonts w:eastAsia="Calibri" w:cs="Calibri"/>
          <w:color w:val="000000" w:themeColor="text1"/>
          <w:sz w:val="18"/>
          <w:u w:val="single" w:color="404042"/>
        </w:rPr>
        <w:t xml:space="preserve"> </w:t>
      </w:r>
      <w:hyperlink r:id="rId17">
        <w:r w:rsidRPr="00297F21">
          <w:rPr>
            <w:rFonts w:eastAsia="Calibri" w:cs="Calibri"/>
            <w:color w:val="000000" w:themeColor="text1"/>
            <w:sz w:val="18"/>
            <w:u w:val="single" w:color="404042"/>
          </w:rPr>
          <w:t>www.qld.gov.au/languages</w:t>
        </w:r>
      </w:hyperlink>
    </w:p>
    <w:p w14:paraId="7BF8B63D" w14:textId="4864550E" w:rsidR="00781B85" w:rsidRPr="00E35484" w:rsidRDefault="00781B85" w:rsidP="00781B85">
      <w:pPr>
        <w:pStyle w:val="BodyText"/>
      </w:pPr>
      <w:r>
        <w:t>Department of Energy and Climate</w:t>
      </w:r>
      <w:r w:rsidRPr="00E35484">
        <w:t xml:space="preserve"> Annual Report </w:t>
      </w:r>
      <w:r>
        <w:t>2023</w:t>
      </w:r>
      <w:r w:rsidR="00952275">
        <w:t>–</w:t>
      </w:r>
      <w:r>
        <w:t>24</w:t>
      </w:r>
    </w:p>
    <w:p w14:paraId="0F742AFD" w14:textId="4E438F70" w:rsidR="00781B85" w:rsidRPr="00E35484" w:rsidRDefault="00781B85" w:rsidP="00781B85">
      <w:pPr>
        <w:pStyle w:val="BodyText"/>
      </w:pPr>
      <w:r w:rsidRPr="00E35484">
        <w:t>© The State of Queensland (</w:t>
      </w:r>
      <w:r>
        <w:t>Department of Energy and Climate</w:t>
      </w:r>
      <w:r w:rsidRPr="00E35484">
        <w:t>) 202</w:t>
      </w:r>
      <w:r>
        <w:t>4</w:t>
      </w:r>
      <w:r w:rsidRPr="00E35484">
        <w:t>.</w:t>
      </w:r>
    </w:p>
    <w:p w14:paraId="76A1E3E1" w14:textId="3DCFEE71" w:rsidR="00781B85" w:rsidRPr="00E35484" w:rsidRDefault="00781B85" w:rsidP="00781B85">
      <w:pPr>
        <w:pStyle w:val="BodyText"/>
      </w:pPr>
      <w:r w:rsidRPr="00E35484">
        <w:t xml:space="preserve">Published by the Queensland </w:t>
      </w:r>
      <w:r w:rsidR="007071DB">
        <w:t>G</w:t>
      </w:r>
      <w:r>
        <w:t>overnment</w:t>
      </w:r>
      <w:r w:rsidRPr="00E35484">
        <w:t>, September 202</w:t>
      </w:r>
      <w:r>
        <w:t>4</w:t>
      </w:r>
      <w:r w:rsidRPr="00E35484">
        <w:t>, 1 William Street, Brisbane Qld 4000.</w:t>
      </w:r>
    </w:p>
    <w:p w14:paraId="3BB022E1" w14:textId="77777777" w:rsidR="00781B85" w:rsidRPr="002F76C0" w:rsidRDefault="00781B85" w:rsidP="00781B85">
      <w:pPr>
        <w:pStyle w:val="Heading2"/>
      </w:pPr>
      <w:bookmarkStart w:id="15" w:name="_Toc172794851"/>
      <w:bookmarkStart w:id="16" w:name="_Toc172806372"/>
      <w:bookmarkStart w:id="17" w:name="_Toc172806564"/>
      <w:bookmarkStart w:id="18" w:name="_Toc172808464"/>
      <w:bookmarkStart w:id="19" w:name="_Toc174605608"/>
      <w:bookmarkStart w:id="20" w:name="_Toc176424748"/>
      <w:bookmarkStart w:id="21" w:name="_Toc176424907"/>
      <w:r w:rsidRPr="00E35484">
        <w:rPr>
          <w:noProof/>
        </w:rPr>
        <w:drawing>
          <wp:anchor distT="0" distB="0" distL="114300" distR="114300" simplePos="0" relativeHeight="251658241" behindDoc="0" locked="0" layoutInCell="1" allowOverlap="1" wp14:anchorId="79C8189B" wp14:editId="0C64FDAE">
            <wp:simplePos x="0" y="0"/>
            <wp:positionH relativeFrom="column">
              <wp:posOffset>44440</wp:posOffset>
            </wp:positionH>
            <wp:positionV relativeFrom="paragraph">
              <wp:posOffset>461645</wp:posOffset>
            </wp:positionV>
            <wp:extent cx="942715" cy="327725"/>
            <wp:effectExtent l="0" t="0" r="0" b="0"/>
            <wp:wrapTopAndBottom/>
            <wp:docPr id="304" name="Picture 304" descr="A grey and black sign with a person in a circle&#10;&#10;Description automatically generated"/>
            <wp:cNvGraphicFramePr/>
            <a:graphic xmlns:a="http://schemas.openxmlformats.org/drawingml/2006/main">
              <a:graphicData uri="http://schemas.openxmlformats.org/drawingml/2006/picture">
                <pic:pic xmlns:pic="http://schemas.openxmlformats.org/drawingml/2006/picture">
                  <pic:nvPicPr>
                    <pic:cNvPr id="304" name="Picture 6" descr="A grey and black sign with a person in a circ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942715" cy="327725"/>
                    </a:xfrm>
                    <a:prstGeom prst="rect">
                      <a:avLst/>
                    </a:prstGeom>
                  </pic:spPr>
                </pic:pic>
              </a:graphicData>
            </a:graphic>
          </wp:anchor>
        </w:drawing>
      </w:r>
      <w:r w:rsidRPr="002F76C0">
        <w:t>Licence</w:t>
      </w:r>
      <w:bookmarkEnd w:id="15"/>
      <w:bookmarkEnd w:id="16"/>
      <w:bookmarkEnd w:id="17"/>
      <w:bookmarkEnd w:id="18"/>
      <w:bookmarkEnd w:id="19"/>
      <w:bookmarkEnd w:id="20"/>
      <w:bookmarkEnd w:id="21"/>
      <w:r>
        <w:t xml:space="preserve"> </w:t>
      </w:r>
    </w:p>
    <w:p w14:paraId="6F36DA31" w14:textId="77777777" w:rsidR="00781B85" w:rsidRPr="00297F21" w:rsidRDefault="00781B85" w:rsidP="00781B85">
      <w:pPr>
        <w:pStyle w:val="BodyText"/>
      </w:pPr>
    </w:p>
    <w:p w14:paraId="265D7C71" w14:textId="0A27A3DF" w:rsidR="00781B85" w:rsidRPr="00E35484" w:rsidRDefault="00781B85" w:rsidP="00781B85">
      <w:pPr>
        <w:pStyle w:val="BodyText"/>
      </w:pPr>
      <w:r w:rsidRPr="00E35484">
        <w:t>This annual report is licensed by the State of Queensland (</w:t>
      </w:r>
      <w:r>
        <w:t xml:space="preserve">Department of </w:t>
      </w:r>
      <w:r w:rsidR="007E3796">
        <w:t>E</w:t>
      </w:r>
      <w:r>
        <w:t xml:space="preserve">nergy and </w:t>
      </w:r>
      <w:r w:rsidR="007E3796">
        <w:t>C</w:t>
      </w:r>
      <w:r>
        <w:t>limate</w:t>
      </w:r>
      <w:r w:rsidRPr="00E35484">
        <w:t>) under a Creative Commons Attribution (CC BY) 4.0 International licence.</w:t>
      </w:r>
    </w:p>
    <w:p w14:paraId="6B7BD197" w14:textId="0492D6A5" w:rsidR="00781B85" w:rsidRPr="00E35484" w:rsidRDefault="00781B85" w:rsidP="00781B85">
      <w:pPr>
        <w:pStyle w:val="BodyText"/>
      </w:pPr>
      <w:r w:rsidRPr="00E35484">
        <w:t xml:space="preserve">CC </w:t>
      </w:r>
      <w:r w:rsidR="006776FE">
        <w:t>by</w:t>
      </w:r>
      <w:r w:rsidRPr="00E35484">
        <w:t xml:space="preserve"> licence summary statement:</w:t>
      </w:r>
    </w:p>
    <w:p w14:paraId="08248632" w14:textId="3A5C1E7E" w:rsidR="00781B85" w:rsidRPr="00E35484" w:rsidRDefault="00781B85" w:rsidP="00781B85">
      <w:pPr>
        <w:pStyle w:val="BodyText"/>
      </w:pPr>
      <w:r w:rsidRPr="00E35484">
        <w:t xml:space="preserve">In essence, you are free to copy, communicate and adapt this annual report, </w:t>
      </w:r>
      <w:proofErr w:type="gramStart"/>
      <w:r w:rsidRPr="00E35484">
        <w:t>as long as</w:t>
      </w:r>
      <w:proofErr w:type="gramEnd"/>
      <w:r w:rsidRPr="00E35484">
        <w:t xml:space="preserve"> you attribute the work to the State of Queensland (</w:t>
      </w:r>
      <w:r>
        <w:t xml:space="preserve">Department of </w:t>
      </w:r>
      <w:r w:rsidR="00DE611B">
        <w:t>E</w:t>
      </w:r>
      <w:r>
        <w:t xml:space="preserve">nergy and </w:t>
      </w:r>
      <w:r w:rsidR="00DE611B">
        <w:t>C</w:t>
      </w:r>
      <w:r>
        <w:t>limate</w:t>
      </w:r>
      <w:r w:rsidRPr="00E35484">
        <w:t>).</w:t>
      </w:r>
    </w:p>
    <w:p w14:paraId="7C3CD4D9" w14:textId="77777777" w:rsidR="00781B85" w:rsidRPr="00E35484" w:rsidRDefault="00781B85" w:rsidP="00781B85">
      <w:pPr>
        <w:pStyle w:val="BodyText"/>
      </w:pPr>
      <w:r w:rsidRPr="00E35484">
        <w:t xml:space="preserve">To view a copy of this licence, visit: </w:t>
      </w:r>
      <w:hyperlink r:id="rId19">
        <w:r w:rsidRPr="00412380">
          <w:rPr>
            <w:u w:val="single"/>
          </w:rPr>
          <w:t>http://creativecommons.org/licenses/by/4.0/</w:t>
        </w:r>
      </w:hyperlink>
    </w:p>
    <w:p w14:paraId="44BE7ADF" w14:textId="77777777" w:rsidR="00781B85" w:rsidRPr="002F76C0" w:rsidRDefault="00781B85" w:rsidP="00C669DC">
      <w:pPr>
        <w:pStyle w:val="DECHeading2"/>
      </w:pPr>
      <w:bookmarkStart w:id="22" w:name="_Toc172794852"/>
      <w:bookmarkStart w:id="23" w:name="_Toc172806373"/>
      <w:bookmarkStart w:id="24" w:name="_Toc172806565"/>
      <w:bookmarkStart w:id="25" w:name="_Toc172808465"/>
      <w:bookmarkStart w:id="26" w:name="_Toc174605609"/>
      <w:bookmarkStart w:id="27" w:name="_Toc176424749"/>
      <w:bookmarkStart w:id="28" w:name="_Toc176424908"/>
      <w:r w:rsidRPr="002F76C0">
        <w:t>Attribution</w:t>
      </w:r>
      <w:bookmarkEnd w:id="22"/>
      <w:bookmarkEnd w:id="23"/>
      <w:bookmarkEnd w:id="24"/>
      <w:bookmarkEnd w:id="25"/>
      <w:bookmarkEnd w:id="26"/>
      <w:bookmarkEnd w:id="27"/>
      <w:bookmarkEnd w:id="28"/>
    </w:p>
    <w:p w14:paraId="5A7CA888" w14:textId="77777777" w:rsidR="00781B85" w:rsidRPr="00E35484" w:rsidRDefault="00781B85" w:rsidP="00781B85">
      <w:pPr>
        <w:pStyle w:val="BodyText"/>
      </w:pPr>
      <w:r w:rsidRPr="00E35484">
        <w:t>Content from this annual report should be attributed as:</w:t>
      </w:r>
    </w:p>
    <w:p w14:paraId="7B5A5C58" w14:textId="0E24D9EC" w:rsidR="00781B85" w:rsidRPr="00E35484" w:rsidRDefault="00781B85" w:rsidP="00781B85">
      <w:pPr>
        <w:pStyle w:val="BodyText"/>
      </w:pPr>
      <w:r w:rsidRPr="00E35484">
        <w:t>The State of Queensland (</w:t>
      </w:r>
      <w:r>
        <w:t>Department of Energy and Climate</w:t>
      </w:r>
      <w:r w:rsidRPr="00E35484">
        <w:t xml:space="preserve">) Annual Report </w:t>
      </w:r>
      <w:r>
        <w:t>2023</w:t>
      </w:r>
      <w:r w:rsidR="00952275">
        <w:t>–</w:t>
      </w:r>
      <w:r>
        <w:t>24</w:t>
      </w:r>
    </w:p>
    <w:p w14:paraId="54958E3C" w14:textId="23D72FAD" w:rsidR="00781B85" w:rsidRPr="00E35484" w:rsidRDefault="00781B85" w:rsidP="00781B85">
      <w:pPr>
        <w:pStyle w:val="BodyText"/>
      </w:pPr>
      <w:r w:rsidRPr="00E35484">
        <w:t>Further copies of this report are available at</w:t>
      </w:r>
      <w:r w:rsidR="00FA046B" w:rsidRPr="00FA046B">
        <w:t xml:space="preserve"> </w:t>
      </w:r>
      <w:hyperlink r:id="rId20" w:history="1">
        <w:r w:rsidR="00EA728F" w:rsidRPr="008C2F9B">
          <w:rPr>
            <w:rStyle w:val="Hyperlink"/>
          </w:rPr>
          <w:t>www.energyandclimate.qld.gov.au</w:t>
        </w:r>
      </w:hyperlink>
      <w:r w:rsidR="00FA046B">
        <w:rPr>
          <w:u w:val="single"/>
        </w:rPr>
        <w:t xml:space="preserve"> </w:t>
      </w:r>
      <w:r w:rsidRPr="00E35484">
        <w:t xml:space="preserve">or by contacting </w:t>
      </w:r>
      <w:r w:rsidR="00DB7B8A">
        <w:t>Strategy, Planning and Performance</w:t>
      </w:r>
      <w:r w:rsidRPr="00E35484">
        <w:t xml:space="preserve">, </w:t>
      </w:r>
      <w:r>
        <w:t xml:space="preserve">Department of </w:t>
      </w:r>
      <w:r w:rsidR="00DB7B8A">
        <w:t>E</w:t>
      </w:r>
      <w:r>
        <w:t xml:space="preserve">nergy and </w:t>
      </w:r>
      <w:r w:rsidR="00DB7B8A">
        <w:t>C</w:t>
      </w:r>
      <w:r>
        <w:t>limate</w:t>
      </w:r>
      <w:r w:rsidRPr="00E35484">
        <w:t xml:space="preserve"> on 13 QGOV (13 74 68).</w:t>
      </w:r>
    </w:p>
    <w:p w14:paraId="087E6DCA" w14:textId="77777777" w:rsidR="00781B85" w:rsidRPr="00297F21" w:rsidRDefault="00781B85" w:rsidP="00781B85">
      <w:pPr>
        <w:pStyle w:val="BodyText"/>
      </w:pPr>
      <w:r w:rsidRPr="00297F21">
        <w:t xml:space="preserve">If you have trouble viewing or printing this document, contact us and we will supply it in an alternative format, such as hardcopy or portable storage device. </w:t>
      </w:r>
    </w:p>
    <w:p w14:paraId="754697A0" w14:textId="3067B8BB" w:rsidR="00781B85" w:rsidRPr="00297F21" w:rsidRDefault="00781B85" w:rsidP="00781B85">
      <w:pPr>
        <w:pStyle w:val="BodyText"/>
        <w:rPr>
          <w:color w:val="000000" w:themeColor="text1"/>
        </w:rPr>
      </w:pPr>
      <w:r w:rsidRPr="00297F21">
        <w:rPr>
          <w:rFonts w:eastAsia="Calibri" w:cs="Calibri"/>
          <w:color w:val="000000" w:themeColor="text1"/>
          <w:sz w:val="18"/>
        </w:rPr>
        <w:t>Email:</w:t>
      </w:r>
      <w:r>
        <w:rPr>
          <w:rFonts w:eastAsia="Calibri" w:cs="Calibri"/>
          <w:color w:val="000000" w:themeColor="text1"/>
          <w:sz w:val="18"/>
        </w:rPr>
        <w:t xml:space="preserve"> </w:t>
      </w:r>
      <w:r w:rsidRPr="00781B85">
        <w:rPr>
          <w:rFonts w:eastAsia="Calibri" w:cs="Calibri"/>
          <w:color w:val="000000" w:themeColor="text1"/>
          <w:sz w:val="18"/>
          <w:u w:val="single"/>
        </w:rPr>
        <w:t>SPP@DEC.qld.gov.au</w:t>
      </w:r>
    </w:p>
    <w:p w14:paraId="3033CCA3" w14:textId="77777777" w:rsidR="00781B85" w:rsidRDefault="00781B85" w:rsidP="00781B85">
      <w:pPr>
        <w:pStyle w:val="BodyText"/>
      </w:pPr>
      <w:r w:rsidRPr="0042569F">
        <w:t xml:space="preserve">ISSN </w:t>
      </w:r>
      <w:r w:rsidRPr="0004416E">
        <w:t>2653-2247</w:t>
      </w:r>
    </w:p>
    <w:p w14:paraId="2AF8791F" w14:textId="77777777" w:rsidR="009E50BA" w:rsidRDefault="009E50BA">
      <w:pPr>
        <w:spacing w:before="0" w:after="160" w:line="259" w:lineRule="auto"/>
        <w:rPr>
          <w:rFonts w:eastAsiaTheme="majorEastAsia" w:cstheme="majorBidi"/>
          <w:color w:val="000000" w:themeColor="text1"/>
          <w:sz w:val="36"/>
          <w:szCs w:val="36"/>
          <w:lang w:eastAsia="en-GB"/>
        </w:rPr>
      </w:pPr>
      <w:bookmarkStart w:id="29" w:name="_Toc172794853"/>
      <w:bookmarkStart w:id="30" w:name="_Toc172806374"/>
      <w:bookmarkStart w:id="31" w:name="_Toc172806566"/>
      <w:bookmarkStart w:id="32" w:name="_Toc172808466"/>
      <w:r>
        <w:rPr>
          <w:lang w:eastAsia="en-GB"/>
        </w:rPr>
        <w:br w:type="page"/>
      </w:r>
    </w:p>
    <w:p w14:paraId="0192F255" w14:textId="14C6D57A" w:rsidR="00890817" w:rsidRPr="00257C9A" w:rsidRDefault="00890817" w:rsidP="00C669DC">
      <w:pPr>
        <w:pStyle w:val="DECHeading2"/>
        <w:rPr>
          <w:lang w:eastAsia="en-GB"/>
        </w:rPr>
      </w:pPr>
      <w:bookmarkStart w:id="33" w:name="_Toc174605610"/>
      <w:bookmarkStart w:id="34" w:name="_Toc176424750"/>
      <w:bookmarkStart w:id="35" w:name="_Toc176424909"/>
      <w:r w:rsidRPr="00257C9A">
        <w:rPr>
          <w:lang w:eastAsia="en-GB"/>
        </w:rPr>
        <w:lastRenderedPageBreak/>
        <w:t>Online open data reporting</w:t>
      </w:r>
      <w:bookmarkEnd w:id="29"/>
      <w:bookmarkEnd w:id="30"/>
      <w:bookmarkEnd w:id="31"/>
      <w:bookmarkEnd w:id="32"/>
      <w:bookmarkEnd w:id="33"/>
      <w:bookmarkEnd w:id="34"/>
      <w:bookmarkEnd w:id="35"/>
    </w:p>
    <w:p w14:paraId="7D675B53" w14:textId="25D70A73" w:rsidR="00890817" w:rsidRPr="00297F21" w:rsidRDefault="00890817" w:rsidP="007D5C38">
      <w:pPr>
        <w:pStyle w:val="BodyText"/>
      </w:pPr>
      <w:r w:rsidRPr="00297F21">
        <w:t>Content for the following annual reporting requirements can also be accessed on the depar</w:t>
      </w:r>
      <w:r w:rsidRPr="000A0BE1">
        <w:rPr>
          <w:rFonts w:eastAsia="Calibri" w:cs="Calibri"/>
          <w:color w:val="000000" w:themeColor="text1"/>
          <w:szCs w:val="20"/>
        </w:rPr>
        <w:t>tment’s website</w:t>
      </w:r>
      <w:r>
        <w:rPr>
          <w:rFonts w:eastAsia="Calibri" w:cs="Calibri"/>
          <w:color w:val="000000" w:themeColor="text1"/>
          <w:szCs w:val="20"/>
        </w:rPr>
        <w:t xml:space="preserve"> </w:t>
      </w:r>
      <w:hyperlink r:id="rId21" w:history="1">
        <w:r w:rsidR="00661557" w:rsidRPr="00CB25A5">
          <w:rPr>
            <w:rStyle w:val="Hyperlink"/>
            <w:rFonts w:eastAsia="Calibri" w:cs="Calibri"/>
            <w:szCs w:val="20"/>
          </w:rPr>
          <w:t>www.energyandclimate.qld.gov.au</w:t>
        </w:r>
      </w:hyperlink>
      <w:r>
        <w:rPr>
          <w:rFonts w:eastAsia="Calibri" w:cs="Calibri"/>
          <w:color w:val="000000" w:themeColor="text1"/>
          <w:szCs w:val="20"/>
        </w:rPr>
        <w:t xml:space="preserve"> </w:t>
      </w:r>
      <w:r w:rsidRPr="000A0BE1">
        <w:rPr>
          <w:rFonts w:eastAsia="Calibri" w:cs="Calibri"/>
          <w:color w:val="000000" w:themeColor="text1"/>
          <w:szCs w:val="20"/>
        </w:rPr>
        <w:t xml:space="preserve">and the Queensland </w:t>
      </w:r>
      <w:r w:rsidR="007071DB">
        <w:rPr>
          <w:rFonts w:eastAsia="Calibri" w:cs="Calibri"/>
          <w:color w:val="000000" w:themeColor="text1"/>
          <w:szCs w:val="20"/>
        </w:rPr>
        <w:t>G</w:t>
      </w:r>
      <w:r w:rsidRPr="000A0BE1">
        <w:rPr>
          <w:rFonts w:eastAsia="Calibri" w:cs="Calibri"/>
          <w:color w:val="000000" w:themeColor="text1"/>
          <w:szCs w:val="20"/>
        </w:rPr>
        <w:t>overnment data website at</w:t>
      </w:r>
      <w:r>
        <w:rPr>
          <w:rFonts w:eastAsia="Calibri" w:cs="Calibri"/>
          <w:color w:val="000000" w:themeColor="text1"/>
          <w:szCs w:val="20"/>
        </w:rPr>
        <w:t xml:space="preserve"> </w:t>
      </w:r>
      <w:hyperlink r:id="rId22" w:history="1">
        <w:r w:rsidR="008D675F" w:rsidRPr="008C2F9B">
          <w:rPr>
            <w:rStyle w:val="Hyperlink"/>
            <w:rFonts w:eastAsia="Calibri" w:cs="Calibri"/>
            <w:szCs w:val="20"/>
          </w:rPr>
          <w:t>https://data.qld.gov.au/</w:t>
        </w:r>
      </w:hyperlink>
      <w:hyperlink r:id="rId23">
        <w:r w:rsidRPr="000A0BE1">
          <w:rPr>
            <w:rFonts w:eastAsia="Calibri" w:cs="Calibri"/>
            <w:color w:val="000000" w:themeColor="text1"/>
            <w:szCs w:val="20"/>
          </w:rPr>
          <w:t>:</w:t>
        </w:r>
      </w:hyperlink>
    </w:p>
    <w:p w14:paraId="0127850E" w14:textId="2E68EBB6" w:rsidR="00890817" w:rsidRPr="00297F21" w:rsidRDefault="00890817" w:rsidP="001D7BC5">
      <w:pPr>
        <w:pStyle w:val="ListParagraph"/>
      </w:pPr>
      <w:r w:rsidRPr="00297F21">
        <w:t>consultancies</w:t>
      </w:r>
    </w:p>
    <w:p w14:paraId="64281983" w14:textId="2E68EBB6" w:rsidR="00890817" w:rsidRPr="00297F21" w:rsidRDefault="00890817" w:rsidP="001D7BC5">
      <w:pPr>
        <w:pStyle w:val="ListParagraph"/>
      </w:pPr>
      <w:r w:rsidRPr="00297F21">
        <w:t>overseas travel</w:t>
      </w:r>
    </w:p>
    <w:p w14:paraId="7167B5F7" w14:textId="2E68EBB6" w:rsidR="00890817" w:rsidRPr="00297F21" w:rsidRDefault="00890817" w:rsidP="001D7BC5">
      <w:pPr>
        <w:pStyle w:val="ListParagraph"/>
      </w:pPr>
      <w:r w:rsidRPr="00297F21">
        <w:t>Queensland Language Services Policy</w:t>
      </w:r>
      <w:r w:rsidR="00CE3811" w:rsidRPr="00297F21">
        <w:t>.</w:t>
      </w:r>
    </w:p>
    <w:p w14:paraId="55536070" w14:textId="77777777" w:rsidR="00AD2C2A" w:rsidRPr="00297F21" w:rsidRDefault="00AD2C2A" w:rsidP="007D5C38">
      <w:pPr>
        <w:pStyle w:val="BodyText"/>
        <w:sectPr w:rsidR="00AD2C2A" w:rsidRPr="00297F21" w:rsidSect="00D56527">
          <w:headerReference w:type="even" r:id="rId24"/>
          <w:headerReference w:type="default" r:id="rId25"/>
          <w:footerReference w:type="even" r:id="rId26"/>
          <w:headerReference w:type="first" r:id="rId27"/>
          <w:footerReference w:type="first" r:id="rId28"/>
          <w:type w:val="continuous"/>
          <w:pgSz w:w="11906" w:h="16838"/>
          <w:pgMar w:top="2098" w:right="1191" w:bottom="1701" w:left="1191" w:header="720" w:footer="720" w:gutter="0"/>
          <w:cols w:space="720"/>
          <w:docGrid w:linePitch="272"/>
        </w:sectPr>
      </w:pPr>
    </w:p>
    <w:p w14:paraId="5C5727A5" w14:textId="77777777" w:rsidR="00980D9E" w:rsidRDefault="00980D9E" w:rsidP="00980D9E">
      <w:pPr>
        <w:tabs>
          <w:tab w:val="left" w:pos="6643"/>
        </w:tabs>
        <w:rPr>
          <w:rFonts w:ascii="Arial Nova" w:hAnsi="Arial Nova"/>
          <w:color w:val="000000" w:themeColor="text1"/>
          <w:sz w:val="28"/>
          <w:szCs w:val="28"/>
        </w:rPr>
      </w:pPr>
    </w:p>
    <w:p w14:paraId="47424401" w14:textId="77777777" w:rsidR="00317D3A" w:rsidRDefault="00980D9E" w:rsidP="00980D9E">
      <w:pPr>
        <w:tabs>
          <w:tab w:val="left" w:pos="6643"/>
        </w:tabs>
        <w:rPr>
          <w:rFonts w:ascii="Arial Nova" w:hAnsi="Arial Nova"/>
          <w:color w:val="000000" w:themeColor="text1"/>
          <w:sz w:val="28"/>
          <w:szCs w:val="28"/>
        </w:rPr>
      </w:pPr>
      <w:r w:rsidRPr="00B415F1">
        <w:rPr>
          <w:rFonts w:ascii="Arial Nova" w:hAnsi="Arial Nova"/>
          <w:color w:val="000000" w:themeColor="text1"/>
          <w:sz w:val="28"/>
          <w:szCs w:val="28"/>
        </w:rPr>
        <w:t>Letter of compliance</w:t>
      </w:r>
    </w:p>
    <w:p w14:paraId="1F522687" w14:textId="26272850" w:rsidR="00317D3A" w:rsidRDefault="00317D3A" w:rsidP="00980D9E">
      <w:pPr>
        <w:tabs>
          <w:tab w:val="left" w:pos="6643"/>
        </w:tabs>
      </w:pPr>
      <w:r>
        <w:rPr>
          <w:noProof/>
        </w:rPr>
        <mc:AlternateContent>
          <mc:Choice Requires="wps">
            <w:drawing>
              <wp:anchor distT="0" distB="0" distL="114300" distR="114300" simplePos="0" relativeHeight="251658240" behindDoc="0" locked="0" layoutInCell="1" allowOverlap="1" wp14:anchorId="36CB0087" wp14:editId="66A73FCC">
                <wp:simplePos x="0" y="0"/>
                <wp:positionH relativeFrom="column">
                  <wp:posOffset>133925</wp:posOffset>
                </wp:positionH>
                <wp:positionV relativeFrom="paragraph">
                  <wp:posOffset>224490</wp:posOffset>
                </wp:positionV>
                <wp:extent cx="6039485" cy="7901797"/>
                <wp:effectExtent l="0" t="0" r="208915" b="2139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9485" cy="7901797"/>
                        </a:xfrm>
                        <a:prstGeom prst="rect">
                          <a:avLst/>
                        </a:prstGeom>
                        <a:solidFill>
                          <a:schemeClr val="lt1"/>
                        </a:solidFill>
                        <a:ln w="6350">
                          <a:solidFill>
                            <a:prstClr val="black"/>
                          </a:solidFill>
                        </a:ln>
                        <a:effectLst>
                          <a:outerShdw blurRad="50800" dist="177800" dir="2700000" algn="tl" rotWithShape="0">
                            <a:prstClr val="black">
                              <a:alpha val="40000"/>
                            </a:prstClr>
                          </a:outerShdw>
                        </a:effectLst>
                      </wps:spPr>
                      <wps:txbx>
                        <w:txbxContent>
                          <w:p w14:paraId="6F89E08E" w14:textId="77777777" w:rsidR="00317D3A" w:rsidRDefault="00317D3A" w:rsidP="0029535E"/>
                          <w:p w14:paraId="3CC96CB6" w14:textId="0B87B07A" w:rsidR="00542459" w:rsidRPr="00BF29C7" w:rsidRDefault="00E060D8" w:rsidP="0029535E">
                            <w:r>
                              <w:t>03</w:t>
                            </w:r>
                            <w:r w:rsidRPr="00BF29C7">
                              <w:t xml:space="preserve"> </w:t>
                            </w:r>
                            <w:r w:rsidR="00542459" w:rsidRPr="00BF29C7">
                              <w:t>September 202</w:t>
                            </w:r>
                            <w:r w:rsidR="00B76D95">
                              <w:t>4</w:t>
                            </w:r>
                          </w:p>
                          <w:p w14:paraId="7F57DEF6" w14:textId="77777777" w:rsidR="00542459" w:rsidRDefault="00542459" w:rsidP="0029535E"/>
                          <w:p w14:paraId="65549F52" w14:textId="77777777" w:rsidR="00317D3A" w:rsidRDefault="00317D3A" w:rsidP="0029535E"/>
                          <w:p w14:paraId="40764239" w14:textId="77777777" w:rsidR="00317D3A" w:rsidRPr="00BF29C7" w:rsidRDefault="00317D3A" w:rsidP="0029535E"/>
                          <w:p w14:paraId="69117362" w14:textId="77777777" w:rsidR="00542459" w:rsidRPr="00BF29C7" w:rsidRDefault="00542459" w:rsidP="0029535E">
                            <w:r w:rsidRPr="00BF29C7">
                              <w:t xml:space="preserve">The Honourable Mick de </w:t>
                            </w:r>
                            <w:r w:rsidRPr="00BF29C7">
                              <w:t>Brenni MP</w:t>
                            </w:r>
                          </w:p>
                          <w:p w14:paraId="60F570C7" w14:textId="77777777" w:rsidR="00B76D95" w:rsidRDefault="00B76D95" w:rsidP="0029535E">
                            <w:r w:rsidRPr="00B76D95">
                              <w:t>Minister for Energy and Clean Economy Jobs</w:t>
                            </w:r>
                          </w:p>
                          <w:p w14:paraId="4A670F64" w14:textId="77777777" w:rsidR="00542459" w:rsidRPr="00BF29C7" w:rsidRDefault="00542459" w:rsidP="0029535E">
                            <w:r w:rsidRPr="00BF29C7">
                              <w:t>Level 36, 1 William Street</w:t>
                            </w:r>
                          </w:p>
                          <w:p w14:paraId="6EC65EBF" w14:textId="77777777" w:rsidR="00542459" w:rsidRPr="00BF29C7" w:rsidRDefault="00542459" w:rsidP="0029535E">
                            <w:r w:rsidRPr="00BF29C7">
                              <w:t>BRISBANE QLD 4000</w:t>
                            </w:r>
                          </w:p>
                          <w:p w14:paraId="4B2DAE83" w14:textId="77777777" w:rsidR="00542459" w:rsidRPr="00BF29C7" w:rsidRDefault="00542459" w:rsidP="0029535E"/>
                          <w:p w14:paraId="328CAB70" w14:textId="77777777" w:rsidR="00542459" w:rsidRPr="00BF29C7" w:rsidRDefault="00542459" w:rsidP="0029535E"/>
                          <w:p w14:paraId="5999A4FA" w14:textId="77777777" w:rsidR="00542459" w:rsidRDefault="00542459" w:rsidP="0029535E">
                            <w:r w:rsidRPr="00BF29C7">
                              <w:t>Dear Minister</w:t>
                            </w:r>
                          </w:p>
                          <w:p w14:paraId="3FD7955B" w14:textId="77777777" w:rsidR="00C878B4" w:rsidRPr="00BF29C7" w:rsidRDefault="00C878B4" w:rsidP="0029535E"/>
                          <w:p w14:paraId="765AFAFC" w14:textId="5F8DF57A" w:rsidR="00542459" w:rsidRDefault="00542459" w:rsidP="0029535E">
                            <w:r w:rsidRPr="00BF29C7">
                              <w:t>I am pleased to submit for presentation to the Parliament</w:t>
                            </w:r>
                            <w:r w:rsidR="00FC044F">
                              <w:t>,</w:t>
                            </w:r>
                            <w:r w:rsidRPr="00BF29C7">
                              <w:t xml:space="preserve"> the Annual Report </w:t>
                            </w:r>
                            <w:r w:rsidR="00B36407">
                              <w:t>2023</w:t>
                            </w:r>
                            <w:r w:rsidR="00952275">
                              <w:t>–</w:t>
                            </w:r>
                            <w:r w:rsidR="00B36407">
                              <w:t>2</w:t>
                            </w:r>
                            <w:r w:rsidR="00F4223B">
                              <w:t>02</w:t>
                            </w:r>
                            <w:r w:rsidR="00B36407">
                              <w:t>4</w:t>
                            </w:r>
                            <w:r w:rsidRPr="00BF29C7">
                              <w:t xml:space="preserve"> </w:t>
                            </w:r>
                            <w:r w:rsidR="00F4223B">
                              <w:t xml:space="preserve">and </w:t>
                            </w:r>
                            <w:r w:rsidRPr="00BF29C7">
                              <w:t xml:space="preserve">financial statements for the Department of Energy and </w:t>
                            </w:r>
                            <w:r w:rsidR="00B36407">
                              <w:t>Climate.</w:t>
                            </w:r>
                          </w:p>
                          <w:p w14:paraId="0D2467DF" w14:textId="77777777" w:rsidR="00C878B4" w:rsidRPr="00BF29C7" w:rsidRDefault="00C878B4" w:rsidP="0029535E"/>
                          <w:p w14:paraId="1B5B9288" w14:textId="2605A7C5" w:rsidR="00542459" w:rsidRPr="00BF29C7" w:rsidRDefault="00542459" w:rsidP="0029535E">
                            <w:r w:rsidRPr="00BF29C7">
                              <w:t xml:space="preserve">I certify that this </w:t>
                            </w:r>
                            <w:r w:rsidR="00A043E6">
                              <w:t>A</w:t>
                            </w:r>
                            <w:r w:rsidRPr="00BF29C7">
                              <w:t xml:space="preserve">nnual </w:t>
                            </w:r>
                            <w:r w:rsidR="00A043E6">
                              <w:t>R</w:t>
                            </w:r>
                            <w:r w:rsidRPr="00BF29C7">
                              <w:t>eport complies with:</w:t>
                            </w:r>
                          </w:p>
                          <w:p w14:paraId="23111DFC" w14:textId="77777777" w:rsidR="00542459" w:rsidRPr="00BF29C7" w:rsidRDefault="00542459" w:rsidP="0029535E">
                            <w:pPr>
                              <w:pStyle w:val="Bulletsround"/>
                            </w:pPr>
                            <w:r w:rsidRPr="00BF29C7">
                              <w:t xml:space="preserve">the prescribed requirements of the </w:t>
                            </w:r>
                            <w:r w:rsidRPr="00CB04ED">
                              <w:rPr>
                                <w:i/>
                              </w:rPr>
                              <w:t>Financial Accountability Act 2009</w:t>
                            </w:r>
                            <w:r w:rsidRPr="00BF29C7">
                              <w:t xml:space="preserve"> and the </w:t>
                            </w:r>
                            <w:r w:rsidRPr="00CB04ED">
                              <w:rPr>
                                <w:i/>
                                <w:iCs/>
                              </w:rPr>
                              <w:t>Financial and Performance Management Standard 2019</w:t>
                            </w:r>
                            <w:r w:rsidRPr="00BF29C7">
                              <w:t>, and</w:t>
                            </w:r>
                          </w:p>
                          <w:p w14:paraId="62B81753" w14:textId="4969FB8D" w:rsidR="00542459" w:rsidRPr="00CB04ED" w:rsidRDefault="00542459" w:rsidP="0029535E">
                            <w:pPr>
                              <w:pStyle w:val="Bulletsround"/>
                              <w:rPr>
                                <w:i/>
                                <w:iCs/>
                              </w:rPr>
                            </w:pPr>
                            <w:r w:rsidRPr="00BF29C7">
                              <w:t xml:space="preserve">the detailed requirements set out in the </w:t>
                            </w:r>
                            <w:r w:rsidRPr="00CB04ED">
                              <w:rPr>
                                <w:i/>
                              </w:rPr>
                              <w:t xml:space="preserve">Annual </w:t>
                            </w:r>
                            <w:r w:rsidR="0058103C">
                              <w:rPr>
                                <w:i/>
                              </w:rPr>
                              <w:t>r</w:t>
                            </w:r>
                            <w:r w:rsidRPr="00CB04ED">
                              <w:rPr>
                                <w:i/>
                              </w:rPr>
                              <w:t xml:space="preserve">eport </w:t>
                            </w:r>
                            <w:r w:rsidR="0058103C">
                              <w:rPr>
                                <w:i/>
                              </w:rPr>
                              <w:t>r</w:t>
                            </w:r>
                            <w:r w:rsidRPr="00CB04ED">
                              <w:rPr>
                                <w:i/>
                              </w:rPr>
                              <w:t xml:space="preserve">equirements for Queensland Government </w:t>
                            </w:r>
                            <w:r w:rsidR="0058103C">
                              <w:rPr>
                                <w:i/>
                              </w:rPr>
                              <w:t>a</w:t>
                            </w:r>
                            <w:r w:rsidRPr="00CB04ED">
                              <w:rPr>
                                <w:i/>
                              </w:rPr>
                              <w:t>gencies</w:t>
                            </w:r>
                            <w:r w:rsidRPr="00CB04ED">
                              <w:rPr>
                                <w:i/>
                                <w:iCs/>
                              </w:rPr>
                              <w:t>.</w:t>
                            </w:r>
                          </w:p>
                          <w:p w14:paraId="4B63AFA1" w14:textId="77777777" w:rsidR="00542459" w:rsidRPr="00BF29C7" w:rsidRDefault="00542459" w:rsidP="0029535E"/>
                          <w:p w14:paraId="4A55A395" w14:textId="57CD14BF" w:rsidR="00542459" w:rsidRPr="00BF29C7" w:rsidRDefault="00542459" w:rsidP="0029535E">
                            <w:r w:rsidRPr="00BF29C7">
                              <w:t xml:space="preserve">A checklist outlining the annual reporting requirements can be found at pages </w:t>
                            </w:r>
                            <w:r w:rsidR="00E50DB4">
                              <w:t>60</w:t>
                            </w:r>
                            <w:r w:rsidR="00E060D8">
                              <w:t>–61</w:t>
                            </w:r>
                            <w:r w:rsidR="00E50DB4" w:rsidRPr="00BF29C7">
                              <w:t xml:space="preserve"> </w:t>
                            </w:r>
                            <w:r w:rsidRPr="00BF29C7">
                              <w:t>of this annual report.</w:t>
                            </w:r>
                          </w:p>
                          <w:p w14:paraId="52715AC7" w14:textId="77777777" w:rsidR="00542459" w:rsidRPr="00BF29C7" w:rsidRDefault="00542459" w:rsidP="0029535E"/>
                          <w:p w14:paraId="342F2FF3" w14:textId="7A6F3138" w:rsidR="00C878B4" w:rsidRPr="00BF29C7" w:rsidRDefault="00542459" w:rsidP="0029535E">
                            <w:r w:rsidRPr="00BF29C7">
                              <w:t>Yours sincerely</w:t>
                            </w:r>
                          </w:p>
                          <w:p w14:paraId="64151AFB" w14:textId="45257C03" w:rsidR="00542459" w:rsidRPr="00BF29C7" w:rsidRDefault="0099023B" w:rsidP="0029535E">
                            <w:r>
                              <w:rPr>
                                <w:noProof/>
                              </w:rPr>
                              <w:drawing>
                                <wp:inline distT="0" distB="0" distL="0" distR="0" wp14:anchorId="4A134A51" wp14:editId="6116ED5A">
                                  <wp:extent cx="1955800" cy="726368"/>
                                  <wp:effectExtent l="0" t="0" r="6350" b="0"/>
                                  <wp:docPr id="192478880" name="Picture 192478880" descr="Signature of the Director-General, Department of Energy and Public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the Director-General, Department of Energy and Public Work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5331" cy="737336"/>
                                          </a:xfrm>
                                          <a:prstGeom prst="rect">
                                            <a:avLst/>
                                          </a:prstGeom>
                                          <a:noFill/>
                                          <a:ln>
                                            <a:noFill/>
                                          </a:ln>
                                        </pic:spPr>
                                      </pic:pic>
                                    </a:graphicData>
                                  </a:graphic>
                                </wp:inline>
                              </w:drawing>
                            </w:r>
                          </w:p>
                          <w:p w14:paraId="0CC14F76" w14:textId="59E27EF6" w:rsidR="00542459" w:rsidRPr="00BF29C7" w:rsidRDefault="00542459" w:rsidP="0029535E">
                            <w:r w:rsidRPr="00BF29C7">
                              <w:t>Paul Martyn</w:t>
                            </w:r>
                            <w:r w:rsidR="005E1DB5">
                              <w:t xml:space="preserve"> PSM</w:t>
                            </w:r>
                          </w:p>
                          <w:p w14:paraId="3A912DB1" w14:textId="40307DC8" w:rsidR="00542459" w:rsidRPr="00EC1F36" w:rsidRDefault="00542459" w:rsidP="0029535E">
                            <w:r w:rsidRPr="00BF29C7">
                              <w:t>Director-General</w:t>
                            </w:r>
                          </w:p>
                        </w:txbxContent>
                      </wps:txbx>
                      <wps:bodyPr rot="0" spcFirstLastPara="0" vertOverflow="overflow" horzOverflow="overflow" vert="horz" wrap="square" lIns="612000" tIns="45720" rIns="61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B0087" id="_x0000_t202" coordsize="21600,21600" o:spt="202" path="m,l,21600r21600,l21600,xe">
                <v:stroke joinstyle="miter"/>
                <v:path gradientshapeok="t" o:connecttype="rect"/>
              </v:shapetype>
              <v:shape id="Text Box 33" o:spid="_x0000_s1029" type="#_x0000_t202" style="position:absolute;margin-left:10.55pt;margin-top:17.7pt;width:475.55pt;height:6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" fillcolor="white [3201]" strokeweight=".5pt">
                <v:shadow on="t" color="black" opacity="26214f" origin="-.5,-.5" offset="3.49233mm,3.49233mm"/>
                <v:path arrowok="t"/>
                <v:textbox inset="17mm,,17mm">
                  <w:txbxContent>
                    <w:p w14:paraId="6F89E08E" w14:textId="77777777" w:rsidR="00317D3A" w:rsidRDefault="00317D3A" w:rsidP="0029535E"/>
                    <w:p w14:paraId="3CC96CB6" w14:textId="0B87B07A" w:rsidR="00542459" w:rsidRPr="00BF29C7" w:rsidRDefault="00E060D8" w:rsidP="0029535E">
                      <w:r>
                        <w:t>03</w:t>
                      </w:r>
                      <w:r w:rsidRPr="00BF29C7">
                        <w:t xml:space="preserve"> </w:t>
                      </w:r>
                      <w:r w:rsidR="00542459" w:rsidRPr="00BF29C7">
                        <w:t>September 202</w:t>
                      </w:r>
                      <w:r w:rsidR="00B76D95">
                        <w:t>4</w:t>
                      </w:r>
                    </w:p>
                    <w:p w14:paraId="7F57DEF6" w14:textId="77777777" w:rsidR="00542459" w:rsidRDefault="00542459" w:rsidP="0029535E"/>
                    <w:p w14:paraId="65549F52" w14:textId="77777777" w:rsidR="00317D3A" w:rsidRDefault="00317D3A" w:rsidP="0029535E"/>
                    <w:p w14:paraId="40764239" w14:textId="77777777" w:rsidR="00317D3A" w:rsidRPr="00BF29C7" w:rsidRDefault="00317D3A" w:rsidP="0029535E"/>
                    <w:p w14:paraId="69117362" w14:textId="77777777" w:rsidR="00542459" w:rsidRPr="00BF29C7" w:rsidRDefault="00542459" w:rsidP="0029535E">
                      <w:r w:rsidRPr="00BF29C7">
                        <w:t xml:space="preserve">The Honourable Mick de </w:t>
                      </w:r>
                      <w:r w:rsidRPr="00BF29C7">
                        <w:t>Brenni MP</w:t>
                      </w:r>
                    </w:p>
                    <w:p w14:paraId="60F570C7" w14:textId="77777777" w:rsidR="00B76D95" w:rsidRDefault="00B76D95" w:rsidP="0029535E">
                      <w:r w:rsidRPr="00B76D95">
                        <w:t>Minister for Energy and Clean Economy Jobs</w:t>
                      </w:r>
                    </w:p>
                    <w:p w14:paraId="4A670F64" w14:textId="77777777" w:rsidR="00542459" w:rsidRPr="00BF29C7" w:rsidRDefault="00542459" w:rsidP="0029535E">
                      <w:r w:rsidRPr="00BF29C7">
                        <w:t>Level 36, 1 William Street</w:t>
                      </w:r>
                    </w:p>
                    <w:p w14:paraId="6EC65EBF" w14:textId="77777777" w:rsidR="00542459" w:rsidRPr="00BF29C7" w:rsidRDefault="00542459" w:rsidP="0029535E">
                      <w:r w:rsidRPr="00BF29C7">
                        <w:t>BRISBANE QLD 4000</w:t>
                      </w:r>
                    </w:p>
                    <w:p w14:paraId="4B2DAE83" w14:textId="77777777" w:rsidR="00542459" w:rsidRPr="00BF29C7" w:rsidRDefault="00542459" w:rsidP="0029535E"/>
                    <w:p w14:paraId="328CAB70" w14:textId="77777777" w:rsidR="00542459" w:rsidRPr="00BF29C7" w:rsidRDefault="00542459" w:rsidP="0029535E"/>
                    <w:p w14:paraId="5999A4FA" w14:textId="77777777" w:rsidR="00542459" w:rsidRDefault="00542459" w:rsidP="0029535E">
                      <w:r w:rsidRPr="00BF29C7">
                        <w:t>Dear Minister</w:t>
                      </w:r>
                    </w:p>
                    <w:p w14:paraId="3FD7955B" w14:textId="77777777" w:rsidR="00C878B4" w:rsidRPr="00BF29C7" w:rsidRDefault="00C878B4" w:rsidP="0029535E"/>
                    <w:p w14:paraId="765AFAFC" w14:textId="5F8DF57A" w:rsidR="00542459" w:rsidRDefault="00542459" w:rsidP="0029535E">
                      <w:r w:rsidRPr="00BF29C7">
                        <w:t>I am pleased to submit for presentation to the Parliament</w:t>
                      </w:r>
                      <w:r w:rsidR="00FC044F">
                        <w:t>,</w:t>
                      </w:r>
                      <w:r w:rsidRPr="00BF29C7">
                        <w:t xml:space="preserve"> the Annual Report </w:t>
                      </w:r>
                      <w:r w:rsidR="00B36407">
                        <w:t>2023</w:t>
                      </w:r>
                      <w:r w:rsidR="00952275">
                        <w:t>–</w:t>
                      </w:r>
                      <w:r w:rsidR="00B36407">
                        <w:t>2</w:t>
                      </w:r>
                      <w:r w:rsidR="00F4223B">
                        <w:t>02</w:t>
                      </w:r>
                      <w:r w:rsidR="00B36407">
                        <w:t>4</w:t>
                      </w:r>
                      <w:r w:rsidRPr="00BF29C7">
                        <w:t xml:space="preserve"> </w:t>
                      </w:r>
                      <w:r w:rsidR="00F4223B">
                        <w:t xml:space="preserve">and </w:t>
                      </w:r>
                      <w:r w:rsidRPr="00BF29C7">
                        <w:t xml:space="preserve">financial statements for the Department of Energy and </w:t>
                      </w:r>
                      <w:r w:rsidR="00B36407">
                        <w:t>Climate.</w:t>
                      </w:r>
                    </w:p>
                    <w:p w14:paraId="0D2467DF" w14:textId="77777777" w:rsidR="00C878B4" w:rsidRPr="00BF29C7" w:rsidRDefault="00C878B4" w:rsidP="0029535E"/>
                    <w:p w14:paraId="1B5B9288" w14:textId="2605A7C5" w:rsidR="00542459" w:rsidRPr="00BF29C7" w:rsidRDefault="00542459" w:rsidP="0029535E">
                      <w:r w:rsidRPr="00BF29C7">
                        <w:t xml:space="preserve">I certify that this </w:t>
                      </w:r>
                      <w:r w:rsidR="00A043E6">
                        <w:t>A</w:t>
                      </w:r>
                      <w:r w:rsidRPr="00BF29C7">
                        <w:t xml:space="preserve">nnual </w:t>
                      </w:r>
                      <w:r w:rsidR="00A043E6">
                        <w:t>R</w:t>
                      </w:r>
                      <w:r w:rsidRPr="00BF29C7">
                        <w:t>eport complies with:</w:t>
                      </w:r>
                    </w:p>
                    <w:p w14:paraId="23111DFC" w14:textId="77777777" w:rsidR="00542459" w:rsidRPr="00BF29C7" w:rsidRDefault="00542459" w:rsidP="0029535E">
                      <w:pPr>
                        <w:pStyle w:val="Bulletsround"/>
                      </w:pPr>
                      <w:r w:rsidRPr="00BF29C7">
                        <w:t xml:space="preserve">the prescribed requirements of the </w:t>
                      </w:r>
                      <w:r w:rsidRPr="00CB04ED">
                        <w:rPr>
                          <w:i/>
                        </w:rPr>
                        <w:t>Financial Accountability Act 2009</w:t>
                      </w:r>
                      <w:r w:rsidRPr="00BF29C7">
                        <w:t xml:space="preserve"> and the </w:t>
                      </w:r>
                      <w:r w:rsidRPr="00CB04ED">
                        <w:rPr>
                          <w:i/>
                          <w:iCs/>
                        </w:rPr>
                        <w:t>Financial and Performance Management Standard 2019</w:t>
                      </w:r>
                      <w:r w:rsidRPr="00BF29C7">
                        <w:t>, and</w:t>
                      </w:r>
                    </w:p>
                    <w:p w14:paraId="62B81753" w14:textId="4969FB8D" w:rsidR="00542459" w:rsidRPr="00CB04ED" w:rsidRDefault="00542459" w:rsidP="0029535E">
                      <w:pPr>
                        <w:pStyle w:val="Bulletsround"/>
                        <w:rPr>
                          <w:i/>
                          <w:iCs/>
                        </w:rPr>
                      </w:pPr>
                      <w:r w:rsidRPr="00BF29C7">
                        <w:t xml:space="preserve">the detailed requirements set out in the </w:t>
                      </w:r>
                      <w:r w:rsidRPr="00CB04ED">
                        <w:rPr>
                          <w:i/>
                        </w:rPr>
                        <w:t xml:space="preserve">Annual </w:t>
                      </w:r>
                      <w:r w:rsidR="0058103C">
                        <w:rPr>
                          <w:i/>
                        </w:rPr>
                        <w:t>r</w:t>
                      </w:r>
                      <w:r w:rsidRPr="00CB04ED">
                        <w:rPr>
                          <w:i/>
                        </w:rPr>
                        <w:t xml:space="preserve">eport </w:t>
                      </w:r>
                      <w:r w:rsidR="0058103C">
                        <w:rPr>
                          <w:i/>
                        </w:rPr>
                        <w:t>r</w:t>
                      </w:r>
                      <w:r w:rsidRPr="00CB04ED">
                        <w:rPr>
                          <w:i/>
                        </w:rPr>
                        <w:t xml:space="preserve">equirements for Queensland Government </w:t>
                      </w:r>
                      <w:r w:rsidR="0058103C">
                        <w:rPr>
                          <w:i/>
                        </w:rPr>
                        <w:t>a</w:t>
                      </w:r>
                      <w:r w:rsidRPr="00CB04ED">
                        <w:rPr>
                          <w:i/>
                        </w:rPr>
                        <w:t>gencies</w:t>
                      </w:r>
                      <w:r w:rsidRPr="00CB04ED">
                        <w:rPr>
                          <w:i/>
                          <w:iCs/>
                        </w:rPr>
                        <w:t>.</w:t>
                      </w:r>
                    </w:p>
                    <w:p w14:paraId="4B63AFA1" w14:textId="77777777" w:rsidR="00542459" w:rsidRPr="00BF29C7" w:rsidRDefault="00542459" w:rsidP="0029535E"/>
                    <w:p w14:paraId="4A55A395" w14:textId="57CD14BF" w:rsidR="00542459" w:rsidRPr="00BF29C7" w:rsidRDefault="00542459" w:rsidP="0029535E">
                      <w:r w:rsidRPr="00BF29C7">
                        <w:t xml:space="preserve">A checklist outlining the annual reporting requirements can be found at pages </w:t>
                      </w:r>
                      <w:r w:rsidR="00E50DB4">
                        <w:t>60</w:t>
                      </w:r>
                      <w:r w:rsidR="00E060D8">
                        <w:t>–61</w:t>
                      </w:r>
                      <w:r w:rsidR="00E50DB4" w:rsidRPr="00BF29C7">
                        <w:t xml:space="preserve"> </w:t>
                      </w:r>
                      <w:r w:rsidRPr="00BF29C7">
                        <w:t>of this annual report.</w:t>
                      </w:r>
                    </w:p>
                    <w:p w14:paraId="52715AC7" w14:textId="77777777" w:rsidR="00542459" w:rsidRPr="00BF29C7" w:rsidRDefault="00542459" w:rsidP="0029535E"/>
                    <w:p w14:paraId="342F2FF3" w14:textId="7A6F3138" w:rsidR="00C878B4" w:rsidRPr="00BF29C7" w:rsidRDefault="00542459" w:rsidP="0029535E">
                      <w:r w:rsidRPr="00BF29C7">
                        <w:t>Yours sincerely</w:t>
                      </w:r>
                    </w:p>
                    <w:p w14:paraId="64151AFB" w14:textId="45257C03" w:rsidR="00542459" w:rsidRPr="00BF29C7" w:rsidRDefault="0099023B" w:rsidP="0029535E">
                      <w:r>
                        <w:rPr>
                          <w:noProof/>
                        </w:rPr>
                        <w:drawing>
                          <wp:inline distT="0" distB="0" distL="0" distR="0" wp14:anchorId="4A134A51" wp14:editId="6116ED5A">
                            <wp:extent cx="1955800" cy="726368"/>
                            <wp:effectExtent l="0" t="0" r="6350" b="0"/>
                            <wp:docPr id="192478880" name="Picture 192478880" descr="Signature of the Director-General, Department of Energy and Public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the Director-General, Department of Energy and Public Work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85331" cy="737336"/>
                                    </a:xfrm>
                                    <a:prstGeom prst="rect">
                                      <a:avLst/>
                                    </a:prstGeom>
                                    <a:noFill/>
                                    <a:ln>
                                      <a:noFill/>
                                    </a:ln>
                                  </pic:spPr>
                                </pic:pic>
                              </a:graphicData>
                            </a:graphic>
                          </wp:inline>
                        </w:drawing>
                      </w:r>
                    </w:p>
                    <w:p w14:paraId="0CC14F76" w14:textId="59E27EF6" w:rsidR="00542459" w:rsidRPr="00BF29C7" w:rsidRDefault="00542459" w:rsidP="0029535E">
                      <w:r w:rsidRPr="00BF29C7">
                        <w:t>Paul Martyn</w:t>
                      </w:r>
                      <w:r w:rsidR="005E1DB5">
                        <w:t xml:space="preserve"> PSM</w:t>
                      </w:r>
                    </w:p>
                    <w:p w14:paraId="3A912DB1" w14:textId="40307DC8" w:rsidR="00542459" w:rsidRPr="00EC1F36" w:rsidRDefault="00542459" w:rsidP="0029535E">
                      <w:r w:rsidRPr="00BF29C7">
                        <w:t>Director-General</w:t>
                      </w:r>
                    </w:p>
                  </w:txbxContent>
                </v:textbox>
              </v:shape>
            </w:pict>
          </mc:Fallback>
        </mc:AlternateContent>
      </w:r>
    </w:p>
    <w:p w14:paraId="0AA4CF39" w14:textId="6FA532E2" w:rsidR="0087524A" w:rsidRDefault="00317D3A" w:rsidP="007D5C38">
      <w:pPr>
        <w:pStyle w:val="BodyText"/>
      </w:pPr>
      <w:r>
        <w:rPr>
          <w:noProof/>
        </w:rPr>
        <w:drawing>
          <wp:anchor distT="0" distB="0" distL="114300" distR="114300" simplePos="0" relativeHeight="251658258" behindDoc="0" locked="0" layoutInCell="1" allowOverlap="1" wp14:anchorId="5961D7C7" wp14:editId="7972C7BD">
            <wp:simplePos x="0" y="0"/>
            <wp:positionH relativeFrom="column">
              <wp:posOffset>4644126</wp:posOffset>
            </wp:positionH>
            <wp:positionV relativeFrom="paragraph">
              <wp:posOffset>94615</wp:posOffset>
            </wp:positionV>
            <wp:extent cx="1313815" cy="1285875"/>
            <wp:effectExtent l="0" t="0" r="635" b="9525"/>
            <wp:wrapNone/>
            <wp:docPr id="7494905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9058" name="Picture 1" descr="A black and white logo&#10;&#10;Description automatically generated"/>
                    <pic:cNvPicPr>
                      <a:picLocks noChangeAspect="1"/>
                    </pic:cNvPicPr>
                  </pic:nvPicPr>
                  <pic:blipFill rotWithShape="1">
                    <a:blip r:embed="rId30">
                      <a:extLst>
                        <a:ext uri="{28A0092B-C50C-407E-A947-70E740481C1C}">
                          <a14:useLocalDpi xmlns:a14="http://schemas.microsoft.com/office/drawing/2010/main" val="0"/>
                        </a:ext>
                      </a:extLst>
                    </a:blip>
                    <a:srcRect r="16934" b="10556"/>
                    <a:stretch/>
                  </pic:blipFill>
                  <pic:spPr bwMode="auto">
                    <a:xfrm>
                      <a:off x="0" y="0"/>
                      <a:ext cx="1313815" cy="1285875"/>
                    </a:xfrm>
                    <a:prstGeom prst="rect">
                      <a:avLst/>
                    </a:prstGeom>
                    <a:ln>
                      <a:noFill/>
                    </a:ln>
                    <a:extLst>
                      <a:ext uri="{53640926-AAD7-44D8-BBD7-CCE9431645EC}">
                        <a14:shadowObscured xmlns:a14="http://schemas.microsoft.com/office/drawing/2010/main"/>
                      </a:ext>
                    </a:extLst>
                  </pic:spPr>
                </pic:pic>
              </a:graphicData>
            </a:graphic>
          </wp:anchor>
        </w:drawing>
      </w:r>
    </w:p>
    <w:p w14:paraId="13751B86" w14:textId="14071B0B" w:rsidR="0087524A" w:rsidRDefault="0087524A" w:rsidP="007D5C38">
      <w:pPr>
        <w:pStyle w:val="BodyText"/>
      </w:pPr>
    </w:p>
    <w:p w14:paraId="31A567FF" w14:textId="7DE87A9E" w:rsidR="0087524A" w:rsidRDefault="0087524A" w:rsidP="007D5C38">
      <w:pPr>
        <w:pStyle w:val="BodyText"/>
      </w:pPr>
    </w:p>
    <w:p w14:paraId="21A586AF" w14:textId="192D67D8" w:rsidR="003311C1" w:rsidRDefault="00317D3A" w:rsidP="007D5C38">
      <w:pPr>
        <w:pStyle w:val="BodyText"/>
      </w:pPr>
      <w:r>
        <w:rPr>
          <w:rFonts w:ascii="Arial" w:hAnsi="Arial" w:cs="Arial"/>
          <w:noProof/>
        </w:rPr>
        <mc:AlternateContent>
          <mc:Choice Requires="wps">
            <w:drawing>
              <wp:anchor distT="0" distB="0" distL="114300" distR="114300" simplePos="0" relativeHeight="251658259" behindDoc="0" locked="0" layoutInCell="1" allowOverlap="1" wp14:anchorId="76A97AD7" wp14:editId="10D18C96">
                <wp:simplePos x="0" y="0"/>
                <wp:positionH relativeFrom="margin">
                  <wp:posOffset>4636914</wp:posOffset>
                </wp:positionH>
                <wp:positionV relativeFrom="bottomMargin">
                  <wp:posOffset>-1439521</wp:posOffset>
                </wp:positionV>
                <wp:extent cx="1352550" cy="828675"/>
                <wp:effectExtent l="0" t="0" r="0" b="95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677B2" w14:textId="77777777" w:rsidR="00317D3A" w:rsidRPr="000E435E" w:rsidRDefault="00317D3A" w:rsidP="00317D3A">
                            <w:pPr>
                              <w:pStyle w:val="Footer"/>
                              <w:tabs>
                                <w:tab w:val="left" w:pos="851"/>
                              </w:tabs>
                              <w:spacing w:line="190" w:lineRule="exact"/>
                              <w:rPr>
                                <w:rFonts w:ascii="Arial" w:hAnsi="Arial" w:cs="Arial"/>
                                <w:b/>
                                <w:sz w:val="15"/>
                                <w:szCs w:val="15"/>
                              </w:rPr>
                            </w:pPr>
                            <w:r>
                              <w:rPr>
                                <w:rFonts w:ascii="Arial" w:hAnsi="Arial" w:cs="Arial"/>
                                <w:b/>
                                <w:sz w:val="15"/>
                                <w:szCs w:val="15"/>
                              </w:rPr>
                              <w:t>1 William Street</w:t>
                            </w:r>
                          </w:p>
                          <w:p w14:paraId="2DBAB8E3" w14:textId="3693142B" w:rsidR="00317D3A" w:rsidRPr="000537F2" w:rsidRDefault="00317D3A" w:rsidP="00317D3A">
                            <w:pPr>
                              <w:pStyle w:val="Footer"/>
                              <w:spacing w:after="80" w:line="190" w:lineRule="exact"/>
                            </w:pPr>
                            <w:r w:rsidRPr="000E435E">
                              <w:rPr>
                                <w:rFonts w:ascii="Arial" w:hAnsi="Arial" w:cs="Arial"/>
                                <w:b/>
                                <w:sz w:val="15"/>
                                <w:szCs w:val="15"/>
                              </w:rPr>
                              <w:t>Brisbane Queensland</w:t>
                            </w:r>
                            <w:r w:rsidRPr="000E435E">
                              <w:rPr>
                                <w:rFonts w:ascii="Arial" w:hAnsi="Arial" w:cs="Arial"/>
                                <w:sz w:val="15"/>
                                <w:szCs w:val="15"/>
                              </w:rPr>
                              <w:t xml:space="preserve">  </w:t>
                            </w:r>
                            <w:r w:rsidRPr="000E435E">
                              <w:rPr>
                                <w:rFonts w:ascii="Arial" w:hAnsi="Arial" w:cs="Arial"/>
                                <w:sz w:val="15"/>
                                <w:szCs w:val="15"/>
                              </w:rPr>
                              <w:br/>
                              <w:t xml:space="preserve">GPO Box 2457 Brisbane  </w:t>
                            </w:r>
                            <w:r w:rsidRPr="000E435E">
                              <w:rPr>
                                <w:rFonts w:ascii="Arial" w:hAnsi="Arial" w:cs="Arial"/>
                                <w:sz w:val="15"/>
                                <w:szCs w:val="15"/>
                              </w:rPr>
                              <w:br/>
                              <w:t xml:space="preserve">Queensland 4001 Australia </w:t>
                            </w:r>
                          </w:p>
                          <w:p w14:paraId="6F53B268" w14:textId="77777777" w:rsidR="00317D3A" w:rsidRPr="000E435E" w:rsidRDefault="00317D3A" w:rsidP="00317D3A">
                            <w:pPr>
                              <w:pStyle w:val="Footer"/>
                              <w:tabs>
                                <w:tab w:val="left" w:pos="851"/>
                              </w:tabs>
                              <w:spacing w:line="190" w:lineRule="exact"/>
                              <w:rPr>
                                <w:rFonts w:ascii="Arial" w:hAnsi="Arial" w:cs="Arial"/>
                                <w:b/>
                                <w:sz w:val="15"/>
                                <w:szCs w:val="15"/>
                              </w:rPr>
                            </w:pPr>
                            <w:r w:rsidRPr="000E435E">
                              <w:rPr>
                                <w:rFonts w:ascii="Arial" w:hAnsi="Arial" w:cs="Arial"/>
                                <w:b/>
                                <w:sz w:val="15"/>
                                <w:szCs w:val="15"/>
                              </w:rPr>
                              <w:t>Telephone +617</w:t>
                            </w:r>
                            <w:r>
                              <w:rPr>
                                <w:rFonts w:ascii="Arial" w:hAnsi="Arial" w:cs="Arial"/>
                                <w:b/>
                                <w:sz w:val="15"/>
                                <w:szCs w:val="15"/>
                              </w:rPr>
                              <w:t xml:space="preserve"> </w:t>
                            </w:r>
                            <w:r w:rsidRPr="00D03902">
                              <w:rPr>
                                <w:rFonts w:ascii="Arial" w:hAnsi="Arial" w:cs="Arial"/>
                                <w:b/>
                                <w:sz w:val="15"/>
                                <w:szCs w:val="15"/>
                              </w:rPr>
                              <w:t>3008 2934</w:t>
                            </w:r>
                          </w:p>
                          <w:p w14:paraId="78F026BB" w14:textId="77777777" w:rsidR="00317D3A" w:rsidRPr="000E435E" w:rsidRDefault="00317D3A" w:rsidP="00317D3A">
                            <w:pPr>
                              <w:pStyle w:val="Footer"/>
                              <w:tabs>
                                <w:tab w:val="left" w:pos="851"/>
                              </w:tabs>
                              <w:spacing w:line="190" w:lineRule="exact"/>
                              <w:rPr>
                                <w:rFonts w:ascii="Arial" w:hAnsi="Arial" w:cs="Arial"/>
                                <w:sz w:val="15"/>
                                <w:szCs w:val="15"/>
                              </w:rPr>
                            </w:pPr>
                            <w:r w:rsidRPr="000E435E">
                              <w:rPr>
                                <w:rFonts w:ascii="Arial" w:hAnsi="Arial" w:cs="Arial"/>
                                <w:b/>
                                <w:sz w:val="15"/>
                                <w:szCs w:val="15"/>
                              </w:rPr>
                              <w:t xml:space="preserve">Website </w:t>
                            </w:r>
                            <w:r w:rsidRPr="000E435E">
                              <w:rPr>
                                <w:rFonts w:ascii="Arial" w:hAnsi="Arial" w:cs="Arial"/>
                                <w:sz w:val="15"/>
                                <w:szCs w:val="15"/>
                              </w:rPr>
                              <w:t>www.</w:t>
                            </w:r>
                            <w:r>
                              <w:rPr>
                                <w:rFonts w:ascii="Arial" w:hAnsi="Arial" w:cs="Arial"/>
                                <w:sz w:val="15"/>
                                <w:szCs w:val="15"/>
                              </w:rPr>
                              <w:t>e</w:t>
                            </w:r>
                            <w:r w:rsidRPr="000E435E">
                              <w:rPr>
                                <w:rFonts w:ascii="Arial" w:hAnsi="Arial" w:cs="Arial"/>
                                <w:sz w:val="15"/>
                                <w:szCs w:val="15"/>
                              </w:rPr>
                              <w:t xml:space="preserve">pw.qld.gov.au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6A97AD7" id="Text Box 56" o:spid="_x0000_s1030" type="#_x0000_t202" style="position:absolute;margin-left:365.1pt;margin-top:-113.35pt;width:106.5pt;height:65.2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" filled="f" stroked="f">
                <v:textbox inset="0,0,0,0">
                  <w:txbxContent>
                    <w:p w14:paraId="3BD677B2" w14:textId="77777777" w:rsidR="00317D3A" w:rsidRPr="000E435E" w:rsidRDefault="00317D3A" w:rsidP="00317D3A">
                      <w:pPr>
                        <w:pStyle w:val="Footer"/>
                        <w:tabs>
                          <w:tab w:val="left" w:pos="851"/>
                        </w:tabs>
                        <w:spacing w:line="190" w:lineRule="exact"/>
                        <w:rPr>
                          <w:rFonts w:ascii="Arial" w:hAnsi="Arial" w:cs="Arial"/>
                          <w:b/>
                          <w:sz w:val="15"/>
                          <w:szCs w:val="15"/>
                        </w:rPr>
                      </w:pPr>
                      <w:r>
                        <w:rPr>
                          <w:rFonts w:ascii="Arial" w:hAnsi="Arial" w:cs="Arial"/>
                          <w:b/>
                          <w:sz w:val="15"/>
                          <w:szCs w:val="15"/>
                        </w:rPr>
                        <w:t>1 William Street</w:t>
                      </w:r>
                    </w:p>
                    <w:p w14:paraId="2DBAB8E3" w14:textId="3693142B" w:rsidR="00317D3A" w:rsidRPr="000537F2" w:rsidRDefault="00317D3A" w:rsidP="00317D3A">
                      <w:pPr>
                        <w:pStyle w:val="Footer"/>
                        <w:spacing w:after="80" w:line="190" w:lineRule="exact"/>
                      </w:pPr>
                      <w:r w:rsidRPr="000E435E">
                        <w:rPr>
                          <w:rFonts w:ascii="Arial" w:hAnsi="Arial" w:cs="Arial"/>
                          <w:b/>
                          <w:sz w:val="15"/>
                          <w:szCs w:val="15"/>
                        </w:rPr>
                        <w:t>Brisbane Queensland</w:t>
                      </w:r>
                      <w:r w:rsidRPr="000E435E">
                        <w:rPr>
                          <w:rFonts w:ascii="Arial" w:hAnsi="Arial" w:cs="Arial"/>
                          <w:sz w:val="15"/>
                          <w:szCs w:val="15"/>
                        </w:rPr>
                        <w:t xml:space="preserve">  </w:t>
                      </w:r>
                      <w:r w:rsidRPr="000E435E">
                        <w:rPr>
                          <w:rFonts w:ascii="Arial" w:hAnsi="Arial" w:cs="Arial"/>
                          <w:sz w:val="15"/>
                          <w:szCs w:val="15"/>
                        </w:rPr>
                        <w:br/>
                        <w:t xml:space="preserve">GPO Box 2457 Brisbane  </w:t>
                      </w:r>
                      <w:r w:rsidRPr="000E435E">
                        <w:rPr>
                          <w:rFonts w:ascii="Arial" w:hAnsi="Arial" w:cs="Arial"/>
                          <w:sz w:val="15"/>
                          <w:szCs w:val="15"/>
                        </w:rPr>
                        <w:br/>
                        <w:t xml:space="preserve">Queensland 4001 Australia </w:t>
                      </w:r>
                    </w:p>
                    <w:p w14:paraId="6F53B268" w14:textId="77777777" w:rsidR="00317D3A" w:rsidRPr="000E435E" w:rsidRDefault="00317D3A" w:rsidP="00317D3A">
                      <w:pPr>
                        <w:pStyle w:val="Footer"/>
                        <w:tabs>
                          <w:tab w:val="left" w:pos="851"/>
                        </w:tabs>
                        <w:spacing w:line="190" w:lineRule="exact"/>
                        <w:rPr>
                          <w:rFonts w:ascii="Arial" w:hAnsi="Arial" w:cs="Arial"/>
                          <w:b/>
                          <w:sz w:val="15"/>
                          <w:szCs w:val="15"/>
                        </w:rPr>
                      </w:pPr>
                      <w:r w:rsidRPr="000E435E">
                        <w:rPr>
                          <w:rFonts w:ascii="Arial" w:hAnsi="Arial" w:cs="Arial"/>
                          <w:b/>
                          <w:sz w:val="15"/>
                          <w:szCs w:val="15"/>
                        </w:rPr>
                        <w:t>Telephone +617</w:t>
                      </w:r>
                      <w:r>
                        <w:rPr>
                          <w:rFonts w:ascii="Arial" w:hAnsi="Arial" w:cs="Arial"/>
                          <w:b/>
                          <w:sz w:val="15"/>
                          <w:szCs w:val="15"/>
                        </w:rPr>
                        <w:t xml:space="preserve"> </w:t>
                      </w:r>
                      <w:r w:rsidRPr="00D03902">
                        <w:rPr>
                          <w:rFonts w:ascii="Arial" w:hAnsi="Arial" w:cs="Arial"/>
                          <w:b/>
                          <w:sz w:val="15"/>
                          <w:szCs w:val="15"/>
                        </w:rPr>
                        <w:t>3008 2934</w:t>
                      </w:r>
                    </w:p>
                    <w:p w14:paraId="78F026BB" w14:textId="77777777" w:rsidR="00317D3A" w:rsidRPr="000E435E" w:rsidRDefault="00317D3A" w:rsidP="00317D3A">
                      <w:pPr>
                        <w:pStyle w:val="Footer"/>
                        <w:tabs>
                          <w:tab w:val="left" w:pos="851"/>
                        </w:tabs>
                        <w:spacing w:line="190" w:lineRule="exact"/>
                        <w:rPr>
                          <w:rFonts w:ascii="Arial" w:hAnsi="Arial" w:cs="Arial"/>
                          <w:sz w:val="15"/>
                          <w:szCs w:val="15"/>
                        </w:rPr>
                      </w:pPr>
                      <w:r w:rsidRPr="000E435E">
                        <w:rPr>
                          <w:rFonts w:ascii="Arial" w:hAnsi="Arial" w:cs="Arial"/>
                          <w:b/>
                          <w:sz w:val="15"/>
                          <w:szCs w:val="15"/>
                        </w:rPr>
                        <w:t xml:space="preserve">Website </w:t>
                      </w:r>
                      <w:r w:rsidRPr="000E435E">
                        <w:rPr>
                          <w:rFonts w:ascii="Arial" w:hAnsi="Arial" w:cs="Arial"/>
                          <w:sz w:val="15"/>
                          <w:szCs w:val="15"/>
                        </w:rPr>
                        <w:t>www.</w:t>
                      </w:r>
                      <w:r>
                        <w:rPr>
                          <w:rFonts w:ascii="Arial" w:hAnsi="Arial" w:cs="Arial"/>
                          <w:sz w:val="15"/>
                          <w:szCs w:val="15"/>
                        </w:rPr>
                        <w:t>e</w:t>
                      </w:r>
                      <w:r w:rsidRPr="000E435E">
                        <w:rPr>
                          <w:rFonts w:ascii="Arial" w:hAnsi="Arial" w:cs="Arial"/>
                          <w:sz w:val="15"/>
                          <w:szCs w:val="15"/>
                        </w:rPr>
                        <w:t xml:space="preserve">pw.qld.gov.au  </w:t>
                      </w:r>
                    </w:p>
                  </w:txbxContent>
                </v:textbox>
                <w10:wrap anchorx="margin" anchory="margin"/>
              </v:shape>
            </w:pict>
          </mc:Fallback>
        </mc:AlternateContent>
      </w:r>
      <w:r w:rsidR="003311C1">
        <w:br w:type="page"/>
      </w:r>
    </w:p>
    <w:p w14:paraId="3531EBAC" w14:textId="3B9B610D" w:rsidR="008E61FB" w:rsidRDefault="008E61FB" w:rsidP="00925335">
      <w:pPr>
        <w:pStyle w:val="Heading1"/>
        <w:sectPr w:rsidR="008E61FB" w:rsidSect="0012233F">
          <w:headerReference w:type="even" r:id="rId31"/>
          <w:headerReference w:type="default" r:id="rId32"/>
          <w:footerReference w:type="even" r:id="rId33"/>
          <w:headerReference w:type="first" r:id="rId34"/>
          <w:footerReference w:type="first" r:id="rId35"/>
          <w:pgSz w:w="11906" w:h="16838"/>
          <w:pgMar w:top="1134" w:right="1134" w:bottom="1134" w:left="1134" w:header="720" w:footer="850" w:gutter="0"/>
          <w:cols w:space="720"/>
          <w:docGrid w:linePitch="272"/>
        </w:sectPr>
      </w:pPr>
    </w:p>
    <w:p w14:paraId="0BF6166B" w14:textId="77777777" w:rsidR="00D64707" w:rsidRPr="00297F21" w:rsidRDefault="00D64707" w:rsidP="00D64707">
      <w:pPr>
        <w:pStyle w:val="DECChapterHeading"/>
      </w:pPr>
      <w:bookmarkStart w:id="36" w:name="_Toc111189199"/>
      <w:bookmarkStart w:id="37" w:name="_Toc138317822"/>
      <w:bookmarkStart w:id="38" w:name="_Toc172794855"/>
      <w:bookmarkStart w:id="39" w:name="_Toc172808468"/>
      <w:bookmarkStart w:id="40" w:name="_Toc176424910"/>
      <w:r>
        <w:lastRenderedPageBreak/>
        <w:t>M</w:t>
      </w:r>
      <w:r w:rsidRPr="00097251">
        <w:t>essage from the Director-General</w:t>
      </w:r>
      <w:bookmarkEnd w:id="36"/>
      <w:bookmarkEnd w:id="37"/>
      <w:bookmarkEnd w:id="38"/>
      <w:bookmarkEnd w:id="39"/>
      <w:bookmarkEnd w:id="40"/>
    </w:p>
    <w:p w14:paraId="7AC6C3EF" w14:textId="77777777" w:rsidR="00D64707" w:rsidRDefault="00D64707" w:rsidP="00D64707">
      <w:pPr>
        <w:pStyle w:val="BodyText"/>
      </w:pPr>
      <w:r>
        <w:t>The</w:t>
      </w:r>
      <w:r w:rsidRPr="006C2362">
        <w:t xml:space="preserve"> </w:t>
      </w:r>
      <w:r>
        <w:t xml:space="preserve">newly formed </w:t>
      </w:r>
      <w:r w:rsidRPr="006C2362">
        <w:t>Department of Energy and Climate (DEC)</w:t>
      </w:r>
      <w:r>
        <w:t xml:space="preserve"> is addressing a set of public policy issues that are of vital significance to the future of Queensland. The work on the transformation of the energy system, the role of future fuels and hydrogen in that transformation, and how government procurement can achieve greater value for the state is now combined with the broader question of how to successfully reduce emissions whilst maintaining economic growth.  </w:t>
      </w:r>
    </w:p>
    <w:p w14:paraId="3657A973" w14:textId="77777777" w:rsidR="00D64707" w:rsidRDefault="00D64707" w:rsidP="00D64707">
      <w:pPr>
        <w:pStyle w:val="BodyText"/>
      </w:pPr>
      <w:r>
        <w:t xml:space="preserve">For DEC, the whole is truly greater than the sum of the parts. Integrating these agendas provides a broader opportunity to achieve our mission of new energy, less carbon, and more jobs. It also allows us to work in a more holistic way with key stakeholders and partner agencies, drawing together drivers around the interaction of a changing energy mix with emissions reduction and what this means for industries and communities across the state.   </w:t>
      </w:r>
    </w:p>
    <w:p w14:paraId="5C0C83E8" w14:textId="77777777" w:rsidR="00D64707" w:rsidRDefault="00D64707" w:rsidP="00D64707">
      <w:pPr>
        <w:pStyle w:val="BodyText"/>
      </w:pPr>
      <w:r>
        <w:t xml:space="preserve">I also acknowledge the work of the previous Department of Energy and Public Works, who laid some important foundations for DEC to build upon. </w:t>
      </w:r>
    </w:p>
    <w:p w14:paraId="672D4108" w14:textId="7D7C420C" w:rsidR="00D64707" w:rsidRPr="006C2362" w:rsidRDefault="00D64707" w:rsidP="00D64707">
      <w:pPr>
        <w:pStyle w:val="BodyText"/>
      </w:pPr>
      <w:r>
        <w:t xml:space="preserve">In the short time since the </w:t>
      </w:r>
      <w:r w:rsidR="005F7433">
        <w:t>d</w:t>
      </w:r>
      <w:r>
        <w:t xml:space="preserve">epartment has been created, major steps forward have been taken in delivering certainty for industry, </w:t>
      </w:r>
      <w:proofErr w:type="gramStart"/>
      <w:r>
        <w:t>investors</w:t>
      </w:r>
      <w:proofErr w:type="gramEnd"/>
      <w:r>
        <w:t xml:space="preserve"> and communities. In April 2024</w:t>
      </w:r>
      <w:r w:rsidRPr="006C2362">
        <w:t xml:space="preserve">, the Queensland Parliament passed two landmark pieces of legislation that will deliver direct action on climate change and </w:t>
      </w:r>
      <w:r>
        <w:t xml:space="preserve">increase </w:t>
      </w:r>
      <w:r w:rsidRPr="006C2362">
        <w:t>economic opportunity across the state, and beyond. </w:t>
      </w:r>
    </w:p>
    <w:p w14:paraId="4E24C35F" w14:textId="77777777" w:rsidR="00D64707" w:rsidRPr="006C2362" w:rsidRDefault="00D64707" w:rsidP="00D64707">
      <w:pPr>
        <w:pStyle w:val="BodyText"/>
      </w:pPr>
      <w:r w:rsidRPr="006C2362">
        <w:t xml:space="preserve">The </w:t>
      </w:r>
      <w:r w:rsidRPr="00010172">
        <w:rPr>
          <w:i/>
          <w:iCs/>
        </w:rPr>
        <w:t>Clean Economy Jobs Act 2024</w:t>
      </w:r>
      <w:r w:rsidRPr="006C2362">
        <w:t xml:space="preserve"> and </w:t>
      </w:r>
      <w:r w:rsidRPr="00010172">
        <w:rPr>
          <w:i/>
          <w:iCs/>
        </w:rPr>
        <w:t>Energy (Renewable Transformation and Jobs) Act 2024</w:t>
      </w:r>
      <w:r w:rsidRPr="006C2362">
        <w:t xml:space="preserve"> </w:t>
      </w:r>
      <w:r>
        <w:t>create robust frameworks for change that have been carefully designed with stakeholder input and a review of contemporary best practice.</w:t>
      </w:r>
      <w:r w:rsidRPr="006C2362">
        <w:t>  </w:t>
      </w:r>
    </w:p>
    <w:p w14:paraId="7367E9D4" w14:textId="4CBF8A05" w:rsidR="00D64707" w:rsidRPr="006C2362" w:rsidRDefault="00D64707" w:rsidP="00D64707">
      <w:pPr>
        <w:pStyle w:val="BodyText"/>
      </w:pPr>
      <w:r w:rsidRPr="006C2362">
        <w:t xml:space="preserve">The legislation provides the infrastructure frameworks needed to build </w:t>
      </w:r>
      <w:r>
        <w:t xml:space="preserve">out an energy system that is clean, </w:t>
      </w:r>
      <w:r w:rsidR="00AE49BF">
        <w:t>reliable,</w:t>
      </w:r>
      <w:r>
        <w:t xml:space="preserve"> and affordable</w:t>
      </w:r>
      <w:r w:rsidR="00312FFC">
        <w:t>.</w:t>
      </w:r>
      <w:r w:rsidR="00AE49BF">
        <w:t xml:space="preserve"> It also </w:t>
      </w:r>
      <w:r w:rsidRPr="006C2362">
        <w:t>establish</w:t>
      </w:r>
      <w:r w:rsidR="00AE49BF">
        <w:t>es</w:t>
      </w:r>
      <w:r w:rsidRPr="006C2362">
        <w:t xml:space="preserve"> the</w:t>
      </w:r>
      <w:r>
        <w:t xml:space="preserve"> </w:t>
      </w:r>
      <w:r w:rsidRPr="006C2362">
        <w:t xml:space="preserve">Queensland Energy System Advisory Board, </w:t>
      </w:r>
      <w:r>
        <w:t xml:space="preserve">the </w:t>
      </w:r>
      <w:r w:rsidRPr="006C2362">
        <w:t>Energy Industry Council</w:t>
      </w:r>
      <w:r>
        <w:t>,</w:t>
      </w:r>
      <w:r w:rsidRPr="006C2362">
        <w:t xml:space="preserve"> and </w:t>
      </w:r>
      <w:r>
        <w:t xml:space="preserve">the </w:t>
      </w:r>
      <w:r w:rsidRPr="006C2362">
        <w:t>Queensland Renewable Energy Jobs Advocate</w:t>
      </w:r>
      <w:r>
        <w:t xml:space="preserve">. These bodies </w:t>
      </w:r>
      <w:r w:rsidRPr="006C2362">
        <w:t xml:space="preserve">ensure </w:t>
      </w:r>
      <w:r>
        <w:t>independent expertise contributes to decision-making</w:t>
      </w:r>
      <w:r w:rsidRPr="006C2362">
        <w:t>. </w:t>
      </w:r>
    </w:p>
    <w:p w14:paraId="74824D71" w14:textId="77777777" w:rsidR="00D64707" w:rsidRDefault="00D64707" w:rsidP="00D64707">
      <w:pPr>
        <w:pStyle w:val="BodyText"/>
      </w:pPr>
      <w:r>
        <w:t xml:space="preserve">Communities </w:t>
      </w:r>
      <w:r w:rsidRPr="006C2362">
        <w:t>are at the heart of Queensland's future clean energy system</w:t>
      </w:r>
      <w:r>
        <w:t>. The legislated Renewable Energy Zone framework is critical to ensure communities benefit from the growth of renewable energy and that the interaction between the renewables sector and local stakeholders is constructive. DEC has been working closely on the first Renewable Energy Zone Readiness Assessment with communities in central Queensland and has received positive feedback for this engagement. The mandatory code for renewable developers is nation-leading and will be built with stakeholder input.</w:t>
      </w:r>
    </w:p>
    <w:p w14:paraId="45E1E9C0" w14:textId="54C5E17F" w:rsidR="00D64707" w:rsidRDefault="00D64707" w:rsidP="00D64707">
      <w:pPr>
        <w:pStyle w:val="BodyText"/>
      </w:pPr>
      <w:r>
        <w:t xml:space="preserve">The </w:t>
      </w:r>
      <w:r w:rsidR="005F7433">
        <w:t>s</w:t>
      </w:r>
      <w:r>
        <w:t xml:space="preserve">tate’s new emissions reduction targets have been legislated. What is critical is how these targets are achieved. The legislation sets up a structured process – the </w:t>
      </w:r>
      <w:r w:rsidR="00A61388">
        <w:t>‘</w:t>
      </w:r>
      <w:r>
        <w:t>how</w:t>
      </w:r>
      <w:r w:rsidR="00A61388">
        <w:t>’</w:t>
      </w:r>
      <w:r>
        <w:t xml:space="preserve"> of emissions reduction – that involves a focus on practical solutions, strong engagement with key sectors, independent expert advice, and regular reviews.</w:t>
      </w:r>
    </w:p>
    <w:p w14:paraId="06D154C7" w14:textId="4A741B91" w:rsidR="00D64707" w:rsidRPr="006C2362" w:rsidRDefault="00D64707" w:rsidP="00D64707">
      <w:pPr>
        <w:pStyle w:val="BodyText"/>
      </w:pPr>
      <w:r w:rsidRPr="006C2362">
        <w:t>This year, the state also ushered in new legislation to enable hydrogen and other renewable gases to be transported in pipelines.</w:t>
      </w:r>
      <w:r>
        <w:t xml:space="preserve"> Hydrogen will be important for hard-to-abate sectors to reduce their emissions and we are working closely around key hydrogen hubs along the coast to plan for what a larger scale hydrogen industry will look like. In addition, new forms of fuel like sustainable aviation fuel and renewable diesel are solutions that will help the transport sector decarbonise</w:t>
      </w:r>
      <w:r w:rsidR="00997D9D">
        <w:t>,</w:t>
      </w:r>
      <w:r>
        <w:t xml:space="preserve"> and we are partnering with other agencies and industries to develop approaches to advance these important opportunities.</w:t>
      </w:r>
      <w:r w:rsidRPr="006C2362">
        <w:t> </w:t>
      </w:r>
    </w:p>
    <w:p w14:paraId="27AE0A98" w14:textId="77777777" w:rsidR="00D64707" w:rsidRPr="006C2362" w:rsidRDefault="00D64707" w:rsidP="00D64707">
      <w:pPr>
        <w:pStyle w:val="BodyText"/>
      </w:pPr>
      <w:r>
        <w:t xml:space="preserve">Our approach is working. </w:t>
      </w:r>
      <w:r w:rsidRPr="006C2362">
        <w:t>Queensland is now home to one of Australia’s largest solar farms, the world’s largest hydrogen electrolyser manufacturing facility, the largest battery blitz in Australia and, very soon, one of the largest onshore wind farms in the Southern Hemisphere. </w:t>
      </w:r>
    </w:p>
    <w:p w14:paraId="5AD93AD0" w14:textId="77777777" w:rsidR="00D64707" w:rsidRPr="006C2362" w:rsidRDefault="00D64707" w:rsidP="00D64707">
      <w:pPr>
        <w:pStyle w:val="BodyText"/>
      </w:pPr>
      <w:r w:rsidRPr="006C2362">
        <w:t xml:space="preserve">Work is underway on the Central Queensland Hydrogen Project in Gladstone, forecast to create more than $14 billion in exports, and the </w:t>
      </w:r>
      <w:proofErr w:type="spellStart"/>
      <w:r w:rsidRPr="006C2362">
        <w:t>CopperString</w:t>
      </w:r>
      <w:proofErr w:type="spellEnd"/>
      <w:r w:rsidRPr="006C2362">
        <w:t xml:space="preserve"> 2032</w:t>
      </w:r>
      <w:r>
        <w:t xml:space="preserve"> transmission line</w:t>
      </w:r>
      <w:r w:rsidRPr="006C2362">
        <w:t xml:space="preserve"> which will unlock the next resources boom.  </w:t>
      </w:r>
    </w:p>
    <w:p w14:paraId="5AB23658" w14:textId="77777777" w:rsidR="00D64707" w:rsidRDefault="00D64707" w:rsidP="00D64707">
      <w:pPr>
        <w:pStyle w:val="BodyText"/>
      </w:pPr>
      <w:r w:rsidRPr="006C2362">
        <w:lastRenderedPageBreak/>
        <w:t>Queenslanders are leading the way at home too, with more than 850,000 households and businesses having installed more than 5</w:t>
      </w:r>
      <w:r>
        <w:t>,</w:t>
      </w:r>
      <w:r w:rsidRPr="006C2362">
        <w:t>200 megawatts of small-scale solar capacity. That’s nearly two-thirds the capacity of Queensland’s eight coal-fired power stations combined, and three times more than the state’s largest at Gladstone. </w:t>
      </w:r>
    </w:p>
    <w:p w14:paraId="01DBC6AF" w14:textId="0EBA10E5" w:rsidR="00D64707" w:rsidRPr="006C2362" w:rsidRDefault="00D64707" w:rsidP="00D64707">
      <w:pPr>
        <w:pStyle w:val="BodyText"/>
      </w:pPr>
      <w:r>
        <w:t>Cost of living is a major issue for Queensland households</w:t>
      </w:r>
      <w:r w:rsidR="00B11E5E">
        <w:t xml:space="preserve"> and</w:t>
      </w:r>
      <w:r>
        <w:t xml:space="preserve"> DEC has supported the administration of </w:t>
      </w:r>
      <w:proofErr w:type="gramStart"/>
      <w:r>
        <w:t>cost of living</w:t>
      </w:r>
      <w:proofErr w:type="gramEnd"/>
      <w:r>
        <w:t xml:space="preserve"> rebates for Queensland</w:t>
      </w:r>
      <w:r w:rsidR="00B11E5E">
        <w:t>ers</w:t>
      </w:r>
      <w:r>
        <w:t xml:space="preserve">. The </w:t>
      </w:r>
      <w:r w:rsidR="00160415">
        <w:t>d</w:t>
      </w:r>
      <w:r>
        <w:t xml:space="preserve">epartment has also worked to enable tens of thousands of households and businesses to reduce their power bills (and emissions too) through </w:t>
      </w:r>
      <w:r w:rsidR="004476B0">
        <w:t>initiatives</w:t>
      </w:r>
      <w:r>
        <w:t xml:space="preserve"> like </w:t>
      </w:r>
      <w:r w:rsidRPr="006C2362">
        <w:t>the Battery Booster, QBEST and Climate Smart Energy Savers programs</w:t>
      </w:r>
      <w:r>
        <w:t xml:space="preserve">. </w:t>
      </w:r>
      <w:r w:rsidRPr="006C2362">
        <w:t xml:space="preserve"> </w:t>
      </w:r>
    </w:p>
    <w:p w14:paraId="6761CC96" w14:textId="6BD0EC21" w:rsidR="00D64707" w:rsidRDefault="00D64707" w:rsidP="00D64707">
      <w:pPr>
        <w:pStyle w:val="BodyText"/>
      </w:pPr>
      <w:r>
        <w:t xml:space="preserve">Queensland is leading Australia in its approach to government procurement and the new </w:t>
      </w:r>
      <w:r w:rsidRPr="008B462B">
        <w:rPr>
          <w:i/>
          <w:iCs/>
        </w:rPr>
        <w:t>Buy Queensland</w:t>
      </w:r>
      <w:r>
        <w:t xml:space="preserve"> strategy embeds and builds on that approach. </w:t>
      </w:r>
      <w:r w:rsidRPr="006C2362">
        <w:t xml:space="preserve">Already, our </w:t>
      </w:r>
      <w:r w:rsidRPr="00890E16">
        <w:rPr>
          <w:i/>
        </w:rPr>
        <w:t>Buy Queensland</w:t>
      </w:r>
      <w:r w:rsidRPr="006C2362">
        <w:t xml:space="preserve"> approach has injected almost $80</w:t>
      </w:r>
      <w:r w:rsidR="002D4BD6">
        <w:t> </w:t>
      </w:r>
      <w:r w:rsidRPr="006C2362">
        <w:t xml:space="preserve">billion into 85,800 local businesses – 37,100 of which are in </w:t>
      </w:r>
      <w:r>
        <w:t>our</w:t>
      </w:r>
      <w:r w:rsidRPr="006C2362">
        <w:t xml:space="preserve"> regions.</w:t>
      </w:r>
      <w:r>
        <w:t xml:space="preserve"> The work we do is around </w:t>
      </w:r>
      <w:r w:rsidR="00C5402A">
        <w:t>e</w:t>
      </w:r>
      <w:r>
        <w:t xml:space="preserve">ncouraging more suppliers – </w:t>
      </w:r>
      <w:r w:rsidR="0085377D">
        <w:t xml:space="preserve">including </w:t>
      </w:r>
      <w:r>
        <w:t xml:space="preserve">small business, regional businesses, indigenous businesses – to do work with the Queensland Government, creating opportunities and jobs across the </w:t>
      </w:r>
      <w:r w:rsidR="002D4BD6">
        <w:t>s</w:t>
      </w:r>
      <w:r>
        <w:t xml:space="preserve">tate. Often a small contract can make a big difference. We are working to capture better data around how the </w:t>
      </w:r>
      <w:r w:rsidR="002D4BD6">
        <w:t>s</w:t>
      </w:r>
      <w:r>
        <w:t>tate procures to help make even better decisions around how to create value from our spend.</w:t>
      </w:r>
    </w:p>
    <w:p w14:paraId="2DF28C5C" w14:textId="77777777" w:rsidR="00D64707" w:rsidRPr="006C2362" w:rsidRDefault="00D64707" w:rsidP="00D64707">
      <w:pPr>
        <w:pStyle w:val="BodyText"/>
      </w:pPr>
      <w:r>
        <w:t>Queenslanders spend a lot of time</w:t>
      </w:r>
      <w:r w:rsidRPr="006C2362">
        <w:t xml:space="preserve"> on the road</w:t>
      </w:r>
      <w:r>
        <w:t xml:space="preserve"> and</w:t>
      </w:r>
      <w:r w:rsidRPr="006C2362">
        <w:t xml:space="preserve"> </w:t>
      </w:r>
      <w:proofErr w:type="spellStart"/>
      <w:r w:rsidRPr="006C2362">
        <w:t>QFleet’s</w:t>
      </w:r>
      <w:proofErr w:type="spellEnd"/>
      <w:r w:rsidRPr="006C2362">
        <w:t xml:space="preserve"> ongoing leadership continues to </w:t>
      </w:r>
      <w:r>
        <w:t>support</w:t>
      </w:r>
      <w:r w:rsidRPr="006C2362">
        <w:t xml:space="preserve"> the transition to electric vehicles (EVs). Overall, the number of </w:t>
      </w:r>
      <w:proofErr w:type="gramStart"/>
      <w:r w:rsidRPr="006C2362">
        <w:t>battery</w:t>
      </w:r>
      <w:proofErr w:type="gramEnd"/>
      <w:r w:rsidRPr="006C2362">
        <w:t xml:space="preserve"> EVs registered in Queensland has more than tripled in 20 months to 46,200. </w:t>
      </w:r>
    </w:p>
    <w:p w14:paraId="4CFF652F" w14:textId="6C2AB0E1" w:rsidR="00D64707" w:rsidRPr="006C2362" w:rsidRDefault="00D64707" w:rsidP="00D64707">
      <w:pPr>
        <w:pStyle w:val="BodyText"/>
      </w:pPr>
      <w:r w:rsidRPr="006C2362">
        <w:t xml:space="preserve">As you can see, </w:t>
      </w:r>
      <w:r>
        <w:t>2023</w:t>
      </w:r>
      <w:r w:rsidR="00752CC7">
        <w:t>–</w:t>
      </w:r>
      <w:r>
        <w:t>24</w:t>
      </w:r>
      <w:r w:rsidRPr="006C2362">
        <w:t xml:space="preserve"> has been a big year</w:t>
      </w:r>
      <w:r>
        <w:t>, with a lot done and a lot more to do</w:t>
      </w:r>
      <w:r w:rsidRPr="006C2362">
        <w:t>.  </w:t>
      </w:r>
    </w:p>
    <w:p w14:paraId="7CD9AC04" w14:textId="73910241" w:rsidR="00D64707" w:rsidRDefault="00D64707" w:rsidP="00D64707">
      <w:pPr>
        <w:pStyle w:val="BodyText"/>
      </w:pPr>
      <w:r>
        <w:t xml:space="preserve">While the </w:t>
      </w:r>
      <w:r w:rsidR="00752CC7">
        <w:t>d</w:t>
      </w:r>
      <w:r>
        <w:t>epartment has changed this year, our approach has not. People are at the heart of everything we do – our own talented and passionate team</w:t>
      </w:r>
      <w:r w:rsidR="0085377D">
        <w:t xml:space="preserve"> and</w:t>
      </w:r>
      <w:r>
        <w:t xml:space="preserve"> the connections we make with stakeholders right across Queensland</w:t>
      </w:r>
      <w:r w:rsidR="0085377D">
        <w:t>.</w:t>
      </w:r>
      <w:r w:rsidR="001903F4">
        <w:t xml:space="preserve"> We</w:t>
      </w:r>
      <w:r>
        <w:t xml:space="preserve"> constantly keep in mind why we do this work – to help Queenslanders navigate a changing world successfully.   </w:t>
      </w:r>
    </w:p>
    <w:p w14:paraId="45A8FD87" w14:textId="77777777" w:rsidR="00D64707" w:rsidRPr="006C2362" w:rsidRDefault="00D64707" w:rsidP="00D64707">
      <w:pPr>
        <w:pStyle w:val="BodyText"/>
      </w:pPr>
      <w:r>
        <w:t xml:space="preserve">I would like to acknowledge my Executive Leadership Team and the more than 400 people in DEC for their hard work, </w:t>
      </w:r>
      <w:proofErr w:type="gramStart"/>
      <w:r>
        <w:t>expertise</w:t>
      </w:r>
      <w:proofErr w:type="gramEnd"/>
      <w:r>
        <w:t xml:space="preserve"> and passion. It is a privilege to work with them and for the people of </w:t>
      </w:r>
      <w:r w:rsidDel="00F553A8">
        <w:t>Queensland</w:t>
      </w:r>
      <w:r>
        <w:t xml:space="preserve">. </w:t>
      </w:r>
    </w:p>
    <w:p w14:paraId="7F13096B" w14:textId="77777777" w:rsidR="00D64707" w:rsidRPr="006C2362" w:rsidRDefault="00D64707" w:rsidP="00D64707">
      <w:pPr>
        <w:pStyle w:val="BodyText"/>
      </w:pPr>
      <w:r w:rsidRPr="006C2362">
        <w:t xml:space="preserve">We play a critical role for Queensland, now and for generations to come. I’m immensely proud of how we have formed as a new department with a clear </w:t>
      </w:r>
      <w:r>
        <w:t xml:space="preserve">focus on what is </w:t>
      </w:r>
      <w:proofErr w:type="gramStart"/>
      <w:r>
        <w:t>important</w:t>
      </w:r>
      <w:proofErr w:type="gramEnd"/>
      <w:r w:rsidRPr="006C2362">
        <w:t xml:space="preserve"> and </w:t>
      </w:r>
      <w:r>
        <w:t>I</w:t>
      </w:r>
      <w:r w:rsidRPr="006C2362">
        <w:t xml:space="preserve"> am looking forward to how we will continue to work together to deliver a </w:t>
      </w:r>
      <w:r>
        <w:t xml:space="preserve">strong </w:t>
      </w:r>
      <w:r w:rsidRPr="006C2362">
        <w:t>future for Queensland.</w:t>
      </w:r>
      <w:r w:rsidRPr="006C2362">
        <w:rPr>
          <w:rFonts w:ascii="Arial" w:hAnsi="Arial" w:cs="Arial"/>
        </w:rPr>
        <w:t> </w:t>
      </w:r>
      <w:r w:rsidRPr="006C2362">
        <w:t> </w:t>
      </w:r>
    </w:p>
    <w:p w14:paraId="185D44DC" w14:textId="77777777" w:rsidR="00D64707" w:rsidRPr="006C2362" w:rsidRDefault="00D64707" w:rsidP="00D64707">
      <w:pPr>
        <w:pStyle w:val="BodyText"/>
      </w:pPr>
      <w:r w:rsidRPr="006C2362">
        <w:rPr>
          <w:rFonts w:ascii="Arial" w:hAnsi="Arial" w:cs="Arial"/>
        </w:rPr>
        <w:t> </w:t>
      </w:r>
      <w:r w:rsidRPr="006C2362">
        <w:t> </w:t>
      </w:r>
    </w:p>
    <w:p w14:paraId="4D27707B" w14:textId="77777777" w:rsidR="00D64707" w:rsidRPr="006C2362" w:rsidRDefault="00D64707" w:rsidP="00D64707">
      <w:pPr>
        <w:pStyle w:val="BodyText"/>
      </w:pPr>
      <w:r w:rsidRPr="006C2362">
        <w:rPr>
          <w:rFonts w:ascii="Arial" w:hAnsi="Arial" w:cs="Arial"/>
        </w:rPr>
        <w:t> </w:t>
      </w:r>
      <w:r w:rsidRPr="006C2362">
        <w:t> </w:t>
      </w:r>
    </w:p>
    <w:p w14:paraId="7D13003D" w14:textId="77777777" w:rsidR="00D64707" w:rsidRPr="006C2362" w:rsidRDefault="00D64707" w:rsidP="00D64707">
      <w:pPr>
        <w:pStyle w:val="BodyText"/>
      </w:pPr>
      <w:r w:rsidRPr="724EAA83">
        <w:rPr>
          <w:rFonts w:ascii="Arial" w:hAnsi="Arial" w:cs="Arial"/>
        </w:rPr>
        <w:t> </w:t>
      </w:r>
      <w:r>
        <w:t> </w:t>
      </w:r>
      <w:r w:rsidRPr="006C2362">
        <w:t> </w:t>
      </w:r>
    </w:p>
    <w:p w14:paraId="5CFD1108" w14:textId="77777777" w:rsidR="00D64707" w:rsidRPr="006C2362" w:rsidRDefault="00D64707" w:rsidP="00D64707">
      <w:pPr>
        <w:pStyle w:val="BodyText"/>
      </w:pPr>
      <w:r w:rsidRPr="006C2362">
        <w:t>Paul Martyn </w:t>
      </w:r>
      <w:r>
        <w:t>PSM</w:t>
      </w:r>
    </w:p>
    <w:p w14:paraId="738336E5" w14:textId="77777777" w:rsidR="00D64707" w:rsidRPr="006C2362" w:rsidRDefault="00D64707" w:rsidP="00D64707">
      <w:pPr>
        <w:pStyle w:val="BodyText"/>
      </w:pPr>
      <w:r w:rsidRPr="006C2362">
        <w:t>Director-General</w:t>
      </w:r>
      <w:r w:rsidRPr="006C2362">
        <w:rPr>
          <w:rFonts w:ascii="Arial" w:hAnsi="Arial" w:cs="Arial"/>
        </w:rPr>
        <w:t> </w:t>
      </w:r>
      <w:r w:rsidRPr="006C2362">
        <w:t> </w:t>
      </w:r>
    </w:p>
    <w:p w14:paraId="4CF8C09D" w14:textId="77777777" w:rsidR="00890817" w:rsidRPr="00297F21" w:rsidRDefault="00890817" w:rsidP="006C2362">
      <w:pPr>
        <w:pStyle w:val="DECChapterHeading"/>
      </w:pPr>
      <w:r w:rsidRPr="00297F21">
        <w:br w:type="page"/>
      </w:r>
    </w:p>
    <w:p w14:paraId="1DE72094" w14:textId="72EAF15D" w:rsidR="00727CE6" w:rsidRPr="00F36EFF" w:rsidRDefault="00890817" w:rsidP="00963E26">
      <w:pPr>
        <w:pStyle w:val="DECChapterHeading"/>
      </w:pPr>
      <w:bookmarkStart w:id="41" w:name="_Toc111189200"/>
      <w:bookmarkStart w:id="42" w:name="_Toc138317823"/>
      <w:bookmarkStart w:id="43" w:name="_Toc172808395"/>
      <w:bookmarkStart w:id="44" w:name="_Toc176424911"/>
      <w:r w:rsidRPr="00EE4F8E">
        <w:lastRenderedPageBreak/>
        <w:t>About us</w:t>
      </w:r>
      <w:bookmarkStart w:id="45" w:name="_Toc111189201"/>
      <w:bookmarkStart w:id="46" w:name="_Toc73900122"/>
      <w:bookmarkEnd w:id="41"/>
      <w:bookmarkEnd w:id="42"/>
      <w:bookmarkEnd w:id="43"/>
      <w:bookmarkEnd w:id="44"/>
    </w:p>
    <w:p w14:paraId="190F3458" w14:textId="4D9D019E" w:rsidR="006E162F" w:rsidRDefault="00194AFD" w:rsidP="00EF5885">
      <w:pPr>
        <w:pStyle w:val="BodyText"/>
      </w:pPr>
      <w:r w:rsidDel="002620A4">
        <w:t xml:space="preserve">Formed </w:t>
      </w:r>
      <w:proofErr w:type="gramStart"/>
      <w:r w:rsidDel="002620A4">
        <w:t>as a result of</w:t>
      </w:r>
      <w:proofErr w:type="gramEnd"/>
      <w:r w:rsidDel="002620A4">
        <w:t xml:space="preserve"> </w:t>
      </w:r>
      <w:r w:rsidR="00DB7EB8">
        <w:t>m</w:t>
      </w:r>
      <w:r w:rsidR="00DB6F84" w:rsidRPr="00590339">
        <w:t>achinery</w:t>
      </w:r>
      <w:r w:rsidR="00DB7EB8">
        <w:t>-</w:t>
      </w:r>
      <w:r w:rsidR="00DB6F84" w:rsidRPr="00590339">
        <w:t>of</w:t>
      </w:r>
      <w:r w:rsidR="00DB7EB8">
        <w:t>-g</w:t>
      </w:r>
      <w:r w:rsidR="00DB6F84" w:rsidRPr="00590339">
        <w:t>overnment changes effective 18 December 2023</w:t>
      </w:r>
      <w:r w:rsidR="00DB6F84">
        <w:t xml:space="preserve">, the Department of Energy and Climate works together to grow Queensland by powering today, securing tomorrow, protecting existing jobs and creating new job opportunities – particularly in regional </w:t>
      </w:r>
      <w:r w:rsidR="00A03995">
        <w:t>communities</w:t>
      </w:r>
      <w:r w:rsidR="00DB6F84">
        <w:t>.</w:t>
      </w:r>
      <w:r w:rsidR="00DB6F84" w:rsidRPr="00590339">
        <w:t xml:space="preserve"> This annual report outlines the progress the department has already made in</w:t>
      </w:r>
      <w:r w:rsidR="00DB6F84">
        <w:t xml:space="preserve"> leveraging innovative policy development </w:t>
      </w:r>
      <w:r w:rsidR="00E805E2">
        <w:t xml:space="preserve">and programs </w:t>
      </w:r>
      <w:r w:rsidR="00DB6F84">
        <w:t xml:space="preserve">in energy, </w:t>
      </w:r>
      <w:r w:rsidR="00E3268E">
        <w:t xml:space="preserve">hydrogen and </w:t>
      </w:r>
      <w:r w:rsidR="00DB6F84">
        <w:t>sustainable liquid fuels, climate, and procurement to</w:t>
      </w:r>
      <w:r w:rsidR="00DB6F84" w:rsidRPr="00590339">
        <w:t xml:space="preserve"> contribut</w:t>
      </w:r>
      <w:r w:rsidR="00DB6F84">
        <w:t>e</w:t>
      </w:r>
      <w:r w:rsidR="00DB6F84" w:rsidRPr="00590339">
        <w:t xml:space="preserve"> to </w:t>
      </w:r>
      <w:r w:rsidR="00DB6F84">
        <w:t xml:space="preserve">Queensland’s future and </w:t>
      </w:r>
      <w:r w:rsidR="00DB6F84" w:rsidRPr="00590339">
        <w:t xml:space="preserve">the </w:t>
      </w:r>
      <w:r w:rsidR="0039349D">
        <w:t>g</w:t>
      </w:r>
      <w:r w:rsidR="00DB6F84" w:rsidRPr="00590339">
        <w:t xml:space="preserve">overnment’s objectives for the community. It recognises the ongoing work </w:t>
      </w:r>
      <w:r w:rsidR="002142F2">
        <w:t>and key achievements</w:t>
      </w:r>
      <w:r w:rsidR="00DB6F84" w:rsidRPr="00590339">
        <w:t xml:space="preserve"> across the department throughout the past year.</w:t>
      </w:r>
    </w:p>
    <w:p w14:paraId="4991D8F1" w14:textId="447103A5" w:rsidR="002F0EBF" w:rsidRDefault="002F0EBF" w:rsidP="00EF5885">
      <w:pPr>
        <w:pStyle w:val="BodyText"/>
      </w:pPr>
      <w:r>
        <w:t xml:space="preserve">The Department of Energy and Climate was established </w:t>
      </w:r>
      <w:r w:rsidR="008B393F">
        <w:t>on 18 December</w:t>
      </w:r>
      <w:r w:rsidR="00F420C4">
        <w:t xml:space="preserve"> </w:t>
      </w:r>
      <w:r>
        <w:t xml:space="preserve">2023 under the </w:t>
      </w:r>
      <w:r w:rsidRPr="009A79BE">
        <w:rPr>
          <w:i/>
          <w:iCs/>
        </w:rPr>
        <w:t>Public Service Act 2022</w:t>
      </w:r>
      <w:r>
        <w:t xml:space="preserve"> sections 197 and 198.</w:t>
      </w:r>
    </w:p>
    <w:p w14:paraId="35436590" w14:textId="378C0F42" w:rsidR="00890817" w:rsidRPr="00362FAE" w:rsidRDefault="00890817" w:rsidP="008B6DB9">
      <w:pPr>
        <w:pStyle w:val="DECheading11"/>
        <w:rPr>
          <w:b/>
        </w:rPr>
      </w:pPr>
      <w:bookmarkStart w:id="47" w:name="_Toc111189202"/>
      <w:bookmarkStart w:id="48" w:name="_Toc138317825"/>
      <w:bookmarkStart w:id="49" w:name="_Toc172794856"/>
      <w:bookmarkStart w:id="50" w:name="_Toc172806376"/>
      <w:bookmarkStart w:id="51" w:name="_Toc172808396"/>
      <w:bookmarkStart w:id="52" w:name="_Toc172808470"/>
      <w:bookmarkStart w:id="53" w:name="_Toc174605614"/>
      <w:bookmarkStart w:id="54" w:name="_Toc176424753"/>
      <w:bookmarkStart w:id="55" w:name="_Toc176424912"/>
      <w:bookmarkEnd w:id="45"/>
      <w:r w:rsidRPr="00362FAE">
        <w:t xml:space="preserve">Our </w:t>
      </w:r>
      <w:r w:rsidRPr="004F3530">
        <w:t>vision</w:t>
      </w:r>
      <w:bookmarkEnd w:id="46"/>
      <w:bookmarkEnd w:id="47"/>
      <w:bookmarkEnd w:id="48"/>
      <w:bookmarkEnd w:id="49"/>
      <w:bookmarkEnd w:id="50"/>
      <w:bookmarkEnd w:id="51"/>
      <w:bookmarkEnd w:id="52"/>
      <w:bookmarkEnd w:id="53"/>
      <w:bookmarkEnd w:id="54"/>
      <w:bookmarkEnd w:id="55"/>
    </w:p>
    <w:p w14:paraId="2B6196F2" w14:textId="34320BF3" w:rsidR="00931396" w:rsidRPr="002D0126" w:rsidRDefault="00972CBA" w:rsidP="007D5C38">
      <w:pPr>
        <w:pStyle w:val="BodyText"/>
      </w:pPr>
      <w:r>
        <w:t>Powering today, securing tomorrow.</w:t>
      </w:r>
    </w:p>
    <w:p w14:paraId="7E840DF2" w14:textId="39D494EA" w:rsidR="00890817" w:rsidRPr="00362FAE" w:rsidRDefault="00890817" w:rsidP="00195122">
      <w:pPr>
        <w:pStyle w:val="DECheading11"/>
        <w:rPr>
          <w:b/>
        </w:rPr>
      </w:pPr>
      <w:bookmarkStart w:id="56" w:name="_Toc73900123"/>
      <w:bookmarkStart w:id="57" w:name="_Toc111189203"/>
      <w:bookmarkStart w:id="58" w:name="_Toc138317826"/>
      <w:bookmarkStart w:id="59" w:name="_Toc172794857"/>
      <w:bookmarkStart w:id="60" w:name="_Toc172806377"/>
      <w:bookmarkStart w:id="61" w:name="_Toc172808397"/>
      <w:bookmarkStart w:id="62" w:name="_Toc172808471"/>
      <w:bookmarkStart w:id="63" w:name="_Toc174605615"/>
      <w:bookmarkStart w:id="64" w:name="_Toc176424754"/>
      <w:bookmarkStart w:id="65" w:name="_Toc176424913"/>
      <w:r w:rsidRPr="00362FAE">
        <w:t>Our purpose</w:t>
      </w:r>
      <w:bookmarkEnd w:id="56"/>
      <w:bookmarkEnd w:id="57"/>
      <w:bookmarkEnd w:id="58"/>
      <w:bookmarkEnd w:id="59"/>
      <w:bookmarkEnd w:id="60"/>
      <w:bookmarkEnd w:id="61"/>
      <w:bookmarkEnd w:id="62"/>
      <w:bookmarkEnd w:id="63"/>
      <w:bookmarkEnd w:id="64"/>
      <w:bookmarkEnd w:id="65"/>
    </w:p>
    <w:p w14:paraId="14622162" w14:textId="19D9E73E" w:rsidR="002D0126" w:rsidRPr="00723608" w:rsidRDefault="00194910" w:rsidP="00854DD2">
      <w:pPr>
        <w:pStyle w:val="BodyText"/>
      </w:pPr>
      <w:r>
        <w:t>New Energy. Less Carbon. More Jobs. A Clean Economy – Together.</w:t>
      </w:r>
    </w:p>
    <w:p w14:paraId="670D6C75" w14:textId="056EA4F0" w:rsidR="00F6219C" w:rsidRPr="00B36F29" w:rsidRDefault="00890817" w:rsidP="00195122">
      <w:pPr>
        <w:pStyle w:val="DECheading11"/>
        <w:rPr>
          <w:b/>
        </w:rPr>
      </w:pPr>
      <w:bookmarkStart w:id="66" w:name="_Toc73900124"/>
      <w:bookmarkStart w:id="67" w:name="_Toc111189204"/>
      <w:bookmarkStart w:id="68" w:name="_Toc138317827"/>
      <w:bookmarkStart w:id="69" w:name="_Toc172794858"/>
      <w:bookmarkStart w:id="70" w:name="_Toc172806378"/>
      <w:bookmarkStart w:id="71" w:name="_Toc172808398"/>
      <w:bookmarkStart w:id="72" w:name="_Toc172808472"/>
      <w:bookmarkStart w:id="73" w:name="_Toc174605616"/>
      <w:bookmarkStart w:id="74" w:name="_Toc176424755"/>
      <w:bookmarkStart w:id="75" w:name="_Toc176424914"/>
      <w:r w:rsidRPr="00362FAE">
        <w:t>Our operating environment</w:t>
      </w:r>
      <w:bookmarkEnd w:id="66"/>
      <w:bookmarkEnd w:id="67"/>
      <w:bookmarkEnd w:id="68"/>
      <w:bookmarkEnd w:id="69"/>
      <w:bookmarkEnd w:id="70"/>
      <w:bookmarkEnd w:id="71"/>
      <w:bookmarkEnd w:id="72"/>
      <w:bookmarkEnd w:id="73"/>
      <w:bookmarkEnd w:id="74"/>
      <w:bookmarkEnd w:id="75"/>
    </w:p>
    <w:p w14:paraId="203D3262" w14:textId="14E29DB3" w:rsidR="00982BCB" w:rsidRDefault="00982BCB" w:rsidP="007D5C38">
      <w:pPr>
        <w:pStyle w:val="BodyText"/>
      </w:pPr>
      <w:r>
        <w:t xml:space="preserve">We </w:t>
      </w:r>
      <w:r w:rsidR="00B65906">
        <w:t xml:space="preserve">are playing a significant role in Queensland’s future </w:t>
      </w:r>
      <w:r w:rsidR="006D3EA9">
        <w:t>by driving</w:t>
      </w:r>
      <w:r>
        <w:t xml:space="preserve"> affordable, </w:t>
      </w:r>
      <w:proofErr w:type="gramStart"/>
      <w:r w:rsidR="00873194">
        <w:t>reliable</w:t>
      </w:r>
      <w:proofErr w:type="gramEnd"/>
      <w:r w:rsidR="008123BB">
        <w:t xml:space="preserve"> and </w:t>
      </w:r>
      <w:r>
        <w:t xml:space="preserve">clean energy, </w:t>
      </w:r>
      <w:r w:rsidR="00C1557A">
        <w:t xml:space="preserve">emissions reduction </w:t>
      </w:r>
      <w:r w:rsidR="00E9511B">
        <w:t xml:space="preserve">and </w:t>
      </w:r>
      <w:r w:rsidR="00AC7F0C">
        <w:t xml:space="preserve">delivering </w:t>
      </w:r>
      <w:r w:rsidR="0869453A">
        <w:t xml:space="preserve">our </w:t>
      </w:r>
      <w:r w:rsidR="006E6972">
        <w:t xml:space="preserve">nation-leading government procurement </w:t>
      </w:r>
      <w:r w:rsidR="4B7C018E">
        <w:t>approach</w:t>
      </w:r>
      <w:r w:rsidR="793A31F6">
        <w:t xml:space="preserve"> </w:t>
      </w:r>
      <w:r w:rsidR="00DA08BA">
        <w:t xml:space="preserve">that </w:t>
      </w:r>
      <w:r w:rsidR="00A4664C">
        <w:t xml:space="preserve">maximises </w:t>
      </w:r>
      <w:r w:rsidR="00277940">
        <w:t>value to Queenslanders.</w:t>
      </w:r>
      <w:r>
        <w:t xml:space="preserve"> </w:t>
      </w:r>
    </w:p>
    <w:p w14:paraId="29BAA6F9" w14:textId="689F1503" w:rsidR="000B44BE" w:rsidRDefault="00982BCB" w:rsidP="007D5C38">
      <w:pPr>
        <w:pStyle w:val="BodyText"/>
      </w:pPr>
      <w:r>
        <w:t xml:space="preserve">We are leading efforts to ensure reliable, sustainable energy services are delivered to Queenslanders through the </w:t>
      </w:r>
      <w:r w:rsidRPr="00D558FA">
        <w:rPr>
          <w:i/>
        </w:rPr>
        <w:t>Queensland Energy and Jobs Plan</w:t>
      </w:r>
      <w:r w:rsidR="00CA4C27">
        <w:t xml:space="preserve"> (QEJP)</w:t>
      </w:r>
      <w:r>
        <w:t xml:space="preserve"> and supporting the growth of a competitive hydrogen industry through </w:t>
      </w:r>
      <w:r w:rsidRPr="008C2245">
        <w:t xml:space="preserve">the </w:t>
      </w:r>
      <w:r w:rsidR="008C2245" w:rsidRPr="008C2245">
        <w:t>Hydrogen Hubs program and</w:t>
      </w:r>
      <w:r w:rsidR="00793842">
        <w:t xml:space="preserve"> </w:t>
      </w:r>
      <w:r w:rsidR="00F420C4">
        <w:t>developing policy to promote sustainable fuels.</w:t>
      </w:r>
      <w:r w:rsidR="00BF6514">
        <w:t xml:space="preserve"> </w:t>
      </w:r>
    </w:p>
    <w:p w14:paraId="4EB7678A" w14:textId="04CA321D" w:rsidR="0029291A" w:rsidRPr="008C2245" w:rsidRDefault="00B85F93" w:rsidP="007D5C38">
      <w:pPr>
        <w:pStyle w:val="BodyText"/>
      </w:pPr>
      <w:r>
        <w:t>Our work continues in enabling the</w:t>
      </w:r>
      <w:r w:rsidR="00E157C2">
        <w:t xml:space="preserve"> whole-of-</w:t>
      </w:r>
      <w:r w:rsidR="004A4223">
        <w:t>g</w:t>
      </w:r>
      <w:r w:rsidR="00E157C2">
        <w:t xml:space="preserve">overnment action to </w:t>
      </w:r>
      <w:r w:rsidR="000A23B0">
        <w:t>reduce emissions and meet ou</w:t>
      </w:r>
      <w:r w:rsidR="003463F4">
        <w:t>r</w:t>
      </w:r>
      <w:r w:rsidR="000A23B0">
        <w:t xml:space="preserve"> 2035 and 2050 emissions reduction targets </w:t>
      </w:r>
      <w:r w:rsidR="003463F4">
        <w:t xml:space="preserve">through the </w:t>
      </w:r>
      <w:r w:rsidR="003463F4" w:rsidRPr="009A79BE">
        <w:rPr>
          <w:i/>
          <w:iCs/>
        </w:rPr>
        <w:t>Clean Economy Jobs Act 2024.</w:t>
      </w:r>
      <w:r w:rsidR="000A23B0">
        <w:t xml:space="preserve"> </w:t>
      </w:r>
      <w:r w:rsidR="0029291A" w:rsidRPr="6CE83CF0">
        <w:rPr>
          <w:rFonts w:eastAsia="Arial Nova Light" w:cs="Arial Nova Light"/>
        </w:rPr>
        <w:t xml:space="preserve">As the Queensland </w:t>
      </w:r>
      <w:r w:rsidR="007071DB">
        <w:rPr>
          <w:rFonts w:eastAsia="Arial Nova Light" w:cs="Arial Nova Light"/>
        </w:rPr>
        <w:t>G</w:t>
      </w:r>
      <w:r w:rsidR="0029291A" w:rsidRPr="6CE83CF0">
        <w:rPr>
          <w:rFonts w:eastAsia="Arial Nova Light" w:cs="Arial Nova Light"/>
        </w:rPr>
        <w:t xml:space="preserve">overnment fleet manager, QFleet is leading the government’s transition to electric vehicles ensuring a low emissions future through the </w:t>
      </w:r>
      <w:r w:rsidR="0029291A" w:rsidRPr="6CE83CF0">
        <w:rPr>
          <w:rFonts w:eastAsia="Arial Nova Light" w:cs="Arial Nova Light"/>
          <w:i/>
        </w:rPr>
        <w:t>Queensland Government Zero Emission Vehicle Strategy 2022</w:t>
      </w:r>
      <w:r w:rsidR="001F6F8F" w:rsidRPr="00DC41A1">
        <w:rPr>
          <w:i/>
          <w:iCs/>
        </w:rPr>
        <w:t>–</w:t>
      </w:r>
      <w:r w:rsidR="0029291A" w:rsidRPr="6CE83CF0">
        <w:rPr>
          <w:rFonts w:eastAsia="Arial Nova Light" w:cs="Arial Nova Light"/>
          <w:i/>
        </w:rPr>
        <w:t>2032.</w:t>
      </w:r>
      <w:r w:rsidR="0029291A" w:rsidRPr="0076788D">
        <w:rPr>
          <w:i/>
          <w:iCs/>
        </w:rPr>
        <w:t xml:space="preserve"> </w:t>
      </w:r>
    </w:p>
    <w:p w14:paraId="09AD0809" w14:textId="3F0C3C20" w:rsidR="00982BCB" w:rsidRDefault="00D477B8" w:rsidP="007D5C38">
      <w:pPr>
        <w:pStyle w:val="BodyText"/>
      </w:pPr>
      <w:r>
        <w:t>The department’s</w:t>
      </w:r>
      <w:r w:rsidR="00982BCB">
        <w:t xml:space="preserve"> leading-edge procurement practices</w:t>
      </w:r>
      <w:r w:rsidR="00BC4ABF">
        <w:t xml:space="preserve"> </w:t>
      </w:r>
      <w:r w:rsidR="00982BCB">
        <w:t xml:space="preserve">support the development of strong Queensland industries, build supplier capacity to do business with government, support jobs and grow our regions. </w:t>
      </w:r>
    </w:p>
    <w:p w14:paraId="3E8FB6A7" w14:textId="5EBAEABB" w:rsidR="00982BCB" w:rsidRDefault="00982BCB" w:rsidP="007D5C38">
      <w:pPr>
        <w:pStyle w:val="BodyText"/>
      </w:pPr>
      <w:r>
        <w:t xml:space="preserve">Our workforce is </w:t>
      </w:r>
      <w:r w:rsidR="00EC0601">
        <w:t xml:space="preserve">highly </w:t>
      </w:r>
      <w:r>
        <w:t xml:space="preserve">capable, and we strive to ensure that our systems are fit-for-purpose and that we are an employer of choice through our culture, our recruitment and training, and our governance practices. </w:t>
      </w:r>
    </w:p>
    <w:p w14:paraId="43CBEA3D" w14:textId="77777777" w:rsidR="002357B6" w:rsidRDefault="002357B6">
      <w:pPr>
        <w:spacing w:before="0" w:after="160" w:line="259" w:lineRule="auto"/>
      </w:pPr>
      <w:r>
        <w:br w:type="page"/>
      </w:r>
    </w:p>
    <w:p w14:paraId="5490473D" w14:textId="57C8A9D7" w:rsidR="00753688" w:rsidRPr="00757A21" w:rsidRDefault="00753688" w:rsidP="004D6422">
      <w:pPr>
        <w:pStyle w:val="DECHeading2"/>
      </w:pPr>
      <w:bookmarkStart w:id="76" w:name="_Toc172794859"/>
      <w:bookmarkStart w:id="77" w:name="_Toc172806379"/>
      <w:bookmarkStart w:id="78" w:name="_Toc172808399"/>
      <w:bookmarkStart w:id="79" w:name="_Toc172808473"/>
      <w:bookmarkStart w:id="80" w:name="_Toc174605617"/>
      <w:bookmarkStart w:id="81" w:name="_Toc176424756"/>
      <w:bookmarkStart w:id="82" w:name="_Toc176424915"/>
      <w:r w:rsidRPr="00757A21">
        <w:lastRenderedPageBreak/>
        <w:t xml:space="preserve">Strategic </w:t>
      </w:r>
      <w:r w:rsidR="002E5ED3">
        <w:t>o</w:t>
      </w:r>
      <w:r w:rsidRPr="00757A21">
        <w:t>pportunities</w:t>
      </w:r>
      <w:r w:rsidR="002E5ED3">
        <w:t xml:space="preserve">, </w:t>
      </w:r>
      <w:proofErr w:type="gramStart"/>
      <w:r w:rsidR="002E5ED3">
        <w:t>challenges</w:t>
      </w:r>
      <w:proofErr w:type="gramEnd"/>
      <w:r w:rsidR="00D763AF" w:rsidRPr="00757A21">
        <w:t xml:space="preserve"> and </w:t>
      </w:r>
      <w:r w:rsidR="002E5ED3">
        <w:t>r</w:t>
      </w:r>
      <w:r w:rsidR="00823CBD" w:rsidRPr="00757A21">
        <w:t>isks</w:t>
      </w:r>
      <w:bookmarkEnd w:id="76"/>
      <w:bookmarkEnd w:id="77"/>
      <w:bookmarkEnd w:id="78"/>
      <w:bookmarkEnd w:id="79"/>
      <w:bookmarkEnd w:id="80"/>
      <w:bookmarkEnd w:id="81"/>
      <w:bookmarkEnd w:id="82"/>
    </w:p>
    <w:p w14:paraId="6B3707FA" w14:textId="03368BE6" w:rsidR="00ED031D" w:rsidRPr="00DB02F4" w:rsidRDefault="00ED031D" w:rsidP="00DB02F4">
      <w:pPr>
        <w:rPr>
          <w:lang w:eastAsia="en-GB"/>
        </w:rPr>
      </w:pPr>
      <w:r>
        <w:t>In 2023</w:t>
      </w:r>
      <w:r w:rsidR="00DB26FD">
        <w:t>–</w:t>
      </w:r>
      <w:r>
        <w:t>24, the department’s strategic opportunities and challenges included:</w:t>
      </w:r>
    </w:p>
    <w:p w14:paraId="11A2A796" w14:textId="66E84C0C" w:rsidR="004C75CD" w:rsidRPr="00DB02F4" w:rsidRDefault="004C75CD" w:rsidP="00DB02F4">
      <w:pPr>
        <w:pStyle w:val="Bulletsround"/>
        <w:rPr>
          <w:lang w:eastAsia="en-GB"/>
        </w:rPr>
      </w:pPr>
      <w:bookmarkStart w:id="83" w:name="_Toc73900125"/>
      <w:r w:rsidRPr="00DB02F4">
        <w:rPr>
          <w:lang w:eastAsia="en-GB"/>
        </w:rPr>
        <w:t xml:space="preserve">Sustainability—in an increasingly socially conscious world, we considered the integration of environmental, social and governance factors into how we do our business to support our economy and advance the sustainable development of our regions. </w:t>
      </w:r>
    </w:p>
    <w:p w14:paraId="7DF22779" w14:textId="2360D681" w:rsidR="004C75CD" w:rsidRPr="007A1E0A" w:rsidRDefault="004C75CD" w:rsidP="007A63F0">
      <w:pPr>
        <w:pStyle w:val="Bulletsround"/>
        <w:rPr>
          <w:lang w:eastAsia="en-GB"/>
        </w:rPr>
      </w:pPr>
      <w:r w:rsidRPr="007A1E0A">
        <w:rPr>
          <w:lang w:eastAsia="en-GB"/>
        </w:rPr>
        <w:t xml:space="preserve">Analytics and insights—we have continued to look at how to harness the power of research, data analytics and insights and the use of new technologies to innovate and improve decision-making. </w:t>
      </w:r>
    </w:p>
    <w:p w14:paraId="47692D7C" w14:textId="02BA1EF2" w:rsidR="00CF008D" w:rsidRDefault="00CF008D" w:rsidP="007A63F0">
      <w:pPr>
        <w:pStyle w:val="Bulletsround"/>
        <w:rPr>
          <w:lang w:eastAsia="en-GB"/>
        </w:rPr>
      </w:pPr>
      <w:r w:rsidRPr="007A1E0A">
        <w:rPr>
          <w:lang w:eastAsia="en-GB"/>
        </w:rPr>
        <w:t xml:space="preserve">Investment—we </w:t>
      </w:r>
      <w:r w:rsidR="00C66F79">
        <w:rPr>
          <w:lang w:eastAsia="en-GB"/>
        </w:rPr>
        <w:t>continuously</w:t>
      </w:r>
      <w:r w:rsidR="000A2924">
        <w:rPr>
          <w:lang w:eastAsia="en-GB"/>
        </w:rPr>
        <w:t xml:space="preserve"> work towards </w:t>
      </w:r>
      <w:r w:rsidR="00E164AF">
        <w:rPr>
          <w:lang w:eastAsia="en-GB"/>
        </w:rPr>
        <w:t>investing in innovative technologies</w:t>
      </w:r>
      <w:r w:rsidR="008D639F">
        <w:rPr>
          <w:lang w:eastAsia="en-GB"/>
        </w:rPr>
        <w:t xml:space="preserve"> and engagements</w:t>
      </w:r>
      <w:r>
        <w:rPr>
          <w:lang w:eastAsia="en-GB"/>
        </w:rPr>
        <w:t xml:space="preserve"> to </w:t>
      </w:r>
      <w:r w:rsidR="008D639F">
        <w:rPr>
          <w:lang w:eastAsia="en-GB"/>
        </w:rPr>
        <w:t>assist achieving our goals</w:t>
      </w:r>
      <w:r w:rsidRPr="007A1E0A">
        <w:rPr>
          <w:lang w:eastAsia="en-GB"/>
        </w:rPr>
        <w:t xml:space="preserve">, </w:t>
      </w:r>
      <w:r w:rsidR="000A2924">
        <w:rPr>
          <w:lang w:eastAsia="en-GB"/>
        </w:rPr>
        <w:t xml:space="preserve">whilst </w:t>
      </w:r>
      <w:r w:rsidRPr="007A1E0A">
        <w:rPr>
          <w:lang w:eastAsia="en-GB"/>
        </w:rPr>
        <w:t>encourag</w:t>
      </w:r>
      <w:r w:rsidR="000A2924">
        <w:rPr>
          <w:lang w:eastAsia="en-GB"/>
        </w:rPr>
        <w:t>ing</w:t>
      </w:r>
      <w:r w:rsidRPr="007A1E0A">
        <w:rPr>
          <w:lang w:eastAsia="en-GB"/>
        </w:rPr>
        <w:t xml:space="preserve"> public and private collaborations in emerging industries to create jobs</w:t>
      </w:r>
      <w:r w:rsidR="008F2063">
        <w:rPr>
          <w:lang w:eastAsia="en-GB"/>
        </w:rPr>
        <w:t xml:space="preserve"> and</w:t>
      </w:r>
      <w:r w:rsidRPr="007A1E0A">
        <w:rPr>
          <w:lang w:eastAsia="en-GB"/>
        </w:rPr>
        <w:t xml:space="preserve"> develop and strengthen local supply chains</w:t>
      </w:r>
      <w:r w:rsidR="00E37E6F">
        <w:rPr>
          <w:lang w:eastAsia="en-GB"/>
        </w:rPr>
        <w:t>.</w:t>
      </w:r>
    </w:p>
    <w:p w14:paraId="21E06C74" w14:textId="607AD5FC" w:rsidR="00E75336" w:rsidRPr="00E75336" w:rsidRDefault="00E75336" w:rsidP="00E75336">
      <w:pPr>
        <w:pStyle w:val="Bulletsround"/>
        <w:rPr>
          <w:color w:val="000000" w:themeColor="text1"/>
          <w:lang w:eastAsia="en-GB"/>
        </w:rPr>
      </w:pPr>
      <w:r w:rsidRPr="007A1E0A">
        <w:rPr>
          <w:color w:val="000000" w:themeColor="text2"/>
        </w:rPr>
        <w:t>Organisational resilience</w:t>
      </w:r>
      <w:r w:rsidRPr="00E20B87">
        <w:rPr>
          <w:color w:val="000000" w:themeColor="text1"/>
          <w:lang w:eastAsia="en-GB"/>
        </w:rPr>
        <w:t>—we used lessons learned through severe disaster events to</w:t>
      </w:r>
      <w:r>
        <w:rPr>
          <w:color w:val="000000" w:themeColor="text1"/>
          <w:lang w:eastAsia="en-GB"/>
        </w:rPr>
        <w:t xml:space="preserve"> </w:t>
      </w:r>
      <w:r w:rsidRPr="00E20B87">
        <w:rPr>
          <w:color w:val="000000" w:themeColor="text1"/>
          <w:lang w:eastAsia="en-GB"/>
        </w:rPr>
        <w:t>evolve our operating models, enhance our ability to respond to change, and subsequently build confidence in government services.</w:t>
      </w:r>
    </w:p>
    <w:p w14:paraId="6E144853" w14:textId="5E4615BA" w:rsidR="004C75CD" w:rsidRPr="00C06D6B" w:rsidRDefault="003E1BAB" w:rsidP="003E1BAB">
      <w:pPr>
        <w:pStyle w:val="Bulletsround"/>
        <w:numPr>
          <w:ilvl w:val="0"/>
          <w:numId w:val="0"/>
        </w:numPr>
        <w:rPr>
          <w:color w:val="0070C0"/>
        </w:rPr>
      </w:pPr>
      <w:r w:rsidRPr="003F46D5">
        <w:t xml:space="preserve">We understand our strategic risks and put actions in place to manage them to support our delivery: </w:t>
      </w:r>
    </w:p>
    <w:p w14:paraId="6126D973" w14:textId="38E29259" w:rsidR="00D86BC4" w:rsidRDefault="00036210" w:rsidP="00D86BC4">
      <w:pPr>
        <w:pStyle w:val="Bulletsround"/>
        <w:rPr>
          <w:color w:val="000000" w:themeColor="text1"/>
        </w:rPr>
      </w:pPr>
      <w:r>
        <w:rPr>
          <w:b/>
          <w:color w:val="000000" w:themeColor="text2"/>
        </w:rPr>
        <w:t>C</w:t>
      </w:r>
      <w:r w:rsidR="00D86BC4" w:rsidRPr="00C06D6B">
        <w:rPr>
          <w:b/>
          <w:color w:val="000000" w:themeColor="text2"/>
        </w:rPr>
        <w:t>apacity</w:t>
      </w:r>
      <w:r>
        <w:rPr>
          <w:b/>
          <w:color w:val="000000" w:themeColor="text2"/>
        </w:rPr>
        <w:t>,</w:t>
      </w:r>
      <w:r w:rsidR="00D86BC4">
        <w:rPr>
          <w:b/>
          <w:color w:val="000000" w:themeColor="text2"/>
        </w:rPr>
        <w:t xml:space="preserve"> </w:t>
      </w:r>
      <w:proofErr w:type="gramStart"/>
      <w:r w:rsidR="00D86BC4" w:rsidRPr="00C06D6B">
        <w:rPr>
          <w:b/>
          <w:color w:val="000000" w:themeColor="text1"/>
        </w:rPr>
        <w:t>capability</w:t>
      </w:r>
      <w:proofErr w:type="gramEnd"/>
      <w:r w:rsidR="00D86BC4">
        <w:rPr>
          <w:b/>
          <w:color w:val="000000" w:themeColor="text1"/>
        </w:rPr>
        <w:t xml:space="preserve"> </w:t>
      </w:r>
      <w:r>
        <w:rPr>
          <w:b/>
          <w:color w:val="000000" w:themeColor="text1"/>
        </w:rPr>
        <w:t>and wellbeing</w:t>
      </w:r>
      <w:r w:rsidR="00D86BC4" w:rsidRPr="00C06D6B">
        <w:rPr>
          <w:color w:val="000000" w:themeColor="text1"/>
        </w:rPr>
        <w:t xml:space="preserve"> </w:t>
      </w:r>
      <w:r w:rsidR="00D86BC4" w:rsidRPr="002C4AF9">
        <w:rPr>
          <w:rFonts w:cs="Arial"/>
          <w:color w:val="000000" w:themeColor="text1"/>
          <w:shd w:val="clear" w:color="auto" w:fill="FFFFFF"/>
        </w:rPr>
        <w:t>—</w:t>
      </w:r>
      <w:r w:rsidR="00201903">
        <w:rPr>
          <w:rFonts w:ascii="Arial" w:hAnsi="Arial" w:cs="Arial"/>
          <w:color w:val="000000" w:themeColor="text1"/>
          <w:shd w:val="clear" w:color="auto" w:fill="FFFFFF"/>
        </w:rPr>
        <w:t xml:space="preserve"> </w:t>
      </w:r>
      <w:r w:rsidR="00D86BC4" w:rsidRPr="00C06D6B">
        <w:rPr>
          <w:color w:val="000000" w:themeColor="text1"/>
        </w:rPr>
        <w:t>we have been focussing on</w:t>
      </w:r>
      <w:r w:rsidR="00D86BC4">
        <w:rPr>
          <w:color w:val="000000" w:themeColor="text1"/>
        </w:rPr>
        <w:t xml:space="preserve"> </w:t>
      </w:r>
      <w:r w:rsidR="00782620">
        <w:rPr>
          <w:color w:val="000000" w:themeColor="text1"/>
        </w:rPr>
        <w:t>attracting, retaining, and</w:t>
      </w:r>
      <w:r w:rsidR="00D86BC4" w:rsidRPr="00C06D6B">
        <w:rPr>
          <w:color w:val="000000" w:themeColor="text1"/>
        </w:rPr>
        <w:t xml:space="preserve"> investing in our people to build </w:t>
      </w:r>
      <w:r w:rsidR="007926BD">
        <w:rPr>
          <w:color w:val="000000" w:themeColor="text1"/>
        </w:rPr>
        <w:t>capability</w:t>
      </w:r>
      <w:r w:rsidR="007926BD" w:rsidRPr="00C06D6B">
        <w:rPr>
          <w:color w:val="000000" w:themeColor="text1"/>
        </w:rPr>
        <w:t xml:space="preserve"> </w:t>
      </w:r>
      <w:r w:rsidR="001C1876">
        <w:rPr>
          <w:color w:val="000000" w:themeColor="text1"/>
        </w:rPr>
        <w:t>to deliver on our vision and purpose, and ensure our work environment supports staff wellbeing</w:t>
      </w:r>
      <w:r w:rsidR="008A62D5">
        <w:rPr>
          <w:color w:val="000000" w:themeColor="text1"/>
        </w:rPr>
        <w:t>.</w:t>
      </w:r>
    </w:p>
    <w:p w14:paraId="34C51661" w14:textId="30CA5277" w:rsidR="00DA0E9C" w:rsidRPr="00C06D6B" w:rsidRDefault="006229B0" w:rsidP="00DA0E9C">
      <w:pPr>
        <w:pStyle w:val="Bulletsround"/>
        <w:rPr>
          <w:color w:val="000000" w:themeColor="text1"/>
        </w:rPr>
      </w:pPr>
      <w:r>
        <w:rPr>
          <w:b/>
          <w:color w:val="000000" w:themeColor="text1"/>
        </w:rPr>
        <w:t>C</w:t>
      </w:r>
      <w:r w:rsidR="00DA0E9C" w:rsidRPr="00C06D6B">
        <w:rPr>
          <w:b/>
          <w:color w:val="000000" w:themeColor="text1"/>
        </w:rPr>
        <w:t>limate</w:t>
      </w:r>
      <w:r w:rsidR="00E20B87" w:rsidRPr="00C06D6B">
        <w:rPr>
          <w:b/>
          <w:color w:val="000000" w:themeColor="text1"/>
        </w:rPr>
        <w:t xml:space="preserve"> change</w:t>
      </w:r>
      <w:r w:rsidR="00DA0E9C" w:rsidRPr="00C06D6B">
        <w:rPr>
          <w:color w:val="000000" w:themeColor="text1"/>
          <w:lang w:eastAsia="en-GB"/>
        </w:rPr>
        <w:t xml:space="preserve"> </w:t>
      </w:r>
      <w:r w:rsidR="005A360D" w:rsidRPr="00E20B87">
        <w:rPr>
          <w:color w:val="000000" w:themeColor="text1"/>
          <w:lang w:eastAsia="en-GB"/>
        </w:rPr>
        <w:t>—</w:t>
      </w:r>
      <w:r w:rsidR="005A360D">
        <w:rPr>
          <w:color w:val="000000" w:themeColor="text1"/>
          <w:lang w:eastAsia="en-GB"/>
        </w:rPr>
        <w:t xml:space="preserve"> </w:t>
      </w:r>
      <w:r>
        <w:rPr>
          <w:color w:val="000000" w:themeColor="text1"/>
          <w:lang w:eastAsia="en-GB"/>
        </w:rPr>
        <w:t xml:space="preserve">we continued to act as a </w:t>
      </w:r>
      <w:r w:rsidR="007A59E6">
        <w:rPr>
          <w:color w:val="000000" w:themeColor="text1"/>
          <w:lang w:eastAsia="en-GB"/>
        </w:rPr>
        <w:t>leader</w:t>
      </w:r>
      <w:r w:rsidR="00640A40">
        <w:rPr>
          <w:color w:val="000000" w:themeColor="text1"/>
          <w:lang w:eastAsia="en-GB"/>
        </w:rPr>
        <w:t xml:space="preserve"> in </w:t>
      </w:r>
      <w:r w:rsidR="00DA0E9C">
        <w:rPr>
          <w:color w:val="000000" w:themeColor="text1"/>
          <w:lang w:eastAsia="en-GB"/>
        </w:rPr>
        <w:t xml:space="preserve">climate </w:t>
      </w:r>
      <w:r w:rsidR="00640A40">
        <w:rPr>
          <w:color w:val="000000" w:themeColor="text1"/>
          <w:lang w:eastAsia="en-GB"/>
        </w:rPr>
        <w:t>science and climate change mitigation and adapt</w:t>
      </w:r>
      <w:r w:rsidR="00FB1B64">
        <w:rPr>
          <w:color w:val="000000" w:themeColor="text1"/>
          <w:lang w:eastAsia="en-GB"/>
        </w:rPr>
        <w:t>at</w:t>
      </w:r>
      <w:r w:rsidR="00B97CC6">
        <w:rPr>
          <w:color w:val="000000" w:themeColor="text1"/>
          <w:lang w:eastAsia="en-GB"/>
        </w:rPr>
        <w:t>ion – driving a cleaner economy</w:t>
      </w:r>
      <w:r w:rsidR="00E33C81">
        <w:rPr>
          <w:color w:val="000000" w:themeColor="text1"/>
          <w:lang w:eastAsia="en-GB"/>
        </w:rPr>
        <w:t>,</w:t>
      </w:r>
      <w:r w:rsidR="00B97CC6">
        <w:rPr>
          <w:color w:val="000000" w:themeColor="text1"/>
          <w:lang w:eastAsia="en-GB"/>
        </w:rPr>
        <w:t xml:space="preserve"> more jobs and supporting communities to understand how to prosper in a low carbon </w:t>
      </w:r>
      <w:r w:rsidR="0092142E">
        <w:rPr>
          <w:color w:val="000000" w:themeColor="text1"/>
          <w:lang w:eastAsia="en-GB"/>
        </w:rPr>
        <w:t>world</w:t>
      </w:r>
      <w:r w:rsidR="00DA0E9C" w:rsidDel="003431BF">
        <w:rPr>
          <w:color w:val="000000" w:themeColor="text1"/>
          <w:lang w:eastAsia="en-GB"/>
        </w:rPr>
        <w:t>.</w:t>
      </w:r>
    </w:p>
    <w:p w14:paraId="3EDE9E9F" w14:textId="5A896BCE" w:rsidR="002620A4" w:rsidRDefault="00D01BE0" w:rsidP="00A63D2E">
      <w:pPr>
        <w:pStyle w:val="Bulletsround"/>
      </w:pPr>
      <w:r>
        <w:rPr>
          <w:b/>
        </w:rPr>
        <w:t>C</w:t>
      </w:r>
      <w:r w:rsidR="00D86BC4" w:rsidRPr="00C06D6B">
        <w:rPr>
          <w:b/>
        </w:rPr>
        <w:t xml:space="preserve">yber-security </w:t>
      </w:r>
      <w:r w:rsidR="007A59E6" w:rsidRPr="00E20B87">
        <w:rPr>
          <w:color w:val="000000" w:themeColor="text1"/>
          <w:lang w:eastAsia="en-GB"/>
        </w:rPr>
        <w:t>—</w:t>
      </w:r>
      <w:r w:rsidR="00D86BC4">
        <w:rPr>
          <w:color w:val="000000" w:themeColor="text1"/>
          <w:lang w:eastAsia="en-GB"/>
        </w:rPr>
        <w:t xml:space="preserve"> </w:t>
      </w:r>
      <w:r>
        <w:t>we sought to adopt a consistent risk-based approach</w:t>
      </w:r>
      <w:r w:rsidR="00D86BC4" w:rsidRPr="004821D9">
        <w:rPr>
          <w:color w:val="000000" w:themeColor="text2"/>
        </w:rPr>
        <w:t xml:space="preserve"> to maintain availability, confidentiality and integrity </w:t>
      </w:r>
      <w:r w:rsidR="002F0BBD" w:rsidRPr="004821D9">
        <w:rPr>
          <w:color w:val="000000" w:themeColor="text2"/>
        </w:rPr>
        <w:t>of our information</w:t>
      </w:r>
      <w:r w:rsidR="00A75524">
        <w:rPr>
          <w:color w:val="000000" w:themeColor="text2"/>
        </w:rPr>
        <w:t xml:space="preserve"> and ensure our systems </w:t>
      </w:r>
      <w:r w:rsidR="002F0BBD" w:rsidRPr="004821D9">
        <w:rPr>
          <w:color w:val="000000" w:themeColor="text2"/>
        </w:rPr>
        <w:t>and programs</w:t>
      </w:r>
      <w:r w:rsidR="00A75524">
        <w:rPr>
          <w:color w:val="000000" w:themeColor="text2"/>
        </w:rPr>
        <w:t xml:space="preserve"> are protected</w:t>
      </w:r>
      <w:r w:rsidR="002F0BBD" w:rsidRPr="004821D9">
        <w:rPr>
          <w:color w:val="000000" w:themeColor="text2"/>
        </w:rPr>
        <w:t xml:space="preserve">. </w:t>
      </w:r>
    </w:p>
    <w:p w14:paraId="1F914213" w14:textId="76E73B95" w:rsidR="002620A4" w:rsidRPr="00FB5AF8" w:rsidRDefault="002620A4" w:rsidP="004D6422">
      <w:pPr>
        <w:pStyle w:val="DECHeading2"/>
      </w:pPr>
      <w:bookmarkStart w:id="84" w:name="_Toc172806380"/>
      <w:bookmarkStart w:id="85" w:name="_Toc172808400"/>
      <w:bookmarkStart w:id="86" w:name="_Toc172808474"/>
      <w:bookmarkStart w:id="87" w:name="_Toc174605618"/>
      <w:bookmarkStart w:id="88" w:name="_Toc176424757"/>
      <w:bookmarkStart w:id="89" w:name="_Toc176424916"/>
      <w:r w:rsidRPr="00FB5AF8">
        <w:t>Machinery</w:t>
      </w:r>
      <w:r w:rsidR="003977C0">
        <w:t>-</w:t>
      </w:r>
      <w:r w:rsidRPr="00FB5AF8">
        <w:t>of</w:t>
      </w:r>
      <w:r w:rsidR="003977C0">
        <w:t>-g</w:t>
      </w:r>
      <w:r w:rsidRPr="00FB5AF8">
        <w:t>overnment changes</w:t>
      </w:r>
      <w:bookmarkEnd w:id="84"/>
      <w:bookmarkEnd w:id="85"/>
      <w:bookmarkEnd w:id="86"/>
      <w:bookmarkEnd w:id="87"/>
      <w:bookmarkEnd w:id="88"/>
      <w:bookmarkEnd w:id="89"/>
      <w:r w:rsidRPr="00FB5AF8">
        <w:t xml:space="preserve"> </w:t>
      </w:r>
    </w:p>
    <w:p w14:paraId="22A08A5A" w14:textId="13868F54" w:rsidR="002620A4" w:rsidRPr="00FB5AF8" w:rsidRDefault="002620A4" w:rsidP="002620A4">
      <w:pPr>
        <w:pStyle w:val="BodyText"/>
      </w:pPr>
      <w:r w:rsidRPr="00FB5AF8">
        <w:t xml:space="preserve">As a result of </w:t>
      </w:r>
      <w:r>
        <w:t xml:space="preserve">the </w:t>
      </w:r>
      <w:r w:rsidR="00372EFB">
        <w:t>m</w:t>
      </w:r>
      <w:r w:rsidRPr="00FB5AF8">
        <w:t>achinery</w:t>
      </w:r>
      <w:r w:rsidR="00372EFB">
        <w:t>-</w:t>
      </w:r>
      <w:r w:rsidRPr="00FB5AF8">
        <w:t>of</w:t>
      </w:r>
      <w:r w:rsidR="00372EFB">
        <w:t>-g</w:t>
      </w:r>
      <w:r w:rsidRPr="00FB5AF8">
        <w:t xml:space="preserve">overnment changes that came into effect on 18 December 2023, the former Department of Energy and Public Works was renamed </w:t>
      </w:r>
      <w:r w:rsidR="006669E1">
        <w:t>to</w:t>
      </w:r>
      <w:r w:rsidRPr="00FB5AF8">
        <w:t xml:space="preserve"> the Department of Energy and Climate. </w:t>
      </w:r>
    </w:p>
    <w:p w14:paraId="03E8620F" w14:textId="77777777" w:rsidR="002620A4" w:rsidRPr="00FB5AF8" w:rsidRDefault="002620A4" w:rsidP="004D6422">
      <w:pPr>
        <w:pStyle w:val="DECHeading3"/>
      </w:pPr>
      <w:bookmarkStart w:id="90" w:name="_Toc172806381"/>
      <w:bookmarkStart w:id="91" w:name="_Toc172808475"/>
      <w:bookmarkStart w:id="92" w:name="_Toc174605619"/>
      <w:bookmarkStart w:id="93" w:name="_Toc176424758"/>
      <w:bookmarkStart w:id="94" w:name="_Toc176424917"/>
      <w:r w:rsidRPr="00FB5AF8">
        <w:t xml:space="preserve">Incoming </w:t>
      </w:r>
      <w:r w:rsidRPr="00A17785">
        <w:t>divisions</w:t>
      </w:r>
      <w:r w:rsidRPr="00FB5AF8">
        <w:t xml:space="preserve"> or functions</w:t>
      </w:r>
      <w:bookmarkEnd w:id="90"/>
      <w:bookmarkEnd w:id="91"/>
      <w:bookmarkEnd w:id="92"/>
      <w:bookmarkEnd w:id="93"/>
      <w:bookmarkEnd w:id="94"/>
      <w:r w:rsidRPr="00FB5AF8">
        <w:t xml:space="preserve"> </w:t>
      </w:r>
    </w:p>
    <w:p w14:paraId="0506983E" w14:textId="311A1D9B" w:rsidR="002620A4" w:rsidRPr="003918D2" w:rsidRDefault="002620A4" w:rsidP="002620A4">
      <w:pPr>
        <w:pStyle w:val="BodyText"/>
      </w:pPr>
      <w:r w:rsidRPr="00FB5AF8">
        <w:t>The following table outlines those divisions or functions that joined the department due to</w:t>
      </w:r>
      <w:r>
        <w:t xml:space="preserve"> the</w:t>
      </w:r>
      <w:r w:rsidR="00194524">
        <w:t>se</w:t>
      </w:r>
      <w:r w:rsidRPr="00FB5AF8">
        <w:t xml:space="preserve"> </w:t>
      </w:r>
      <w:r w:rsidR="00372EFB">
        <w:t>m</w:t>
      </w:r>
      <w:r w:rsidRPr="00FB5AF8">
        <w:t>achinery</w:t>
      </w:r>
      <w:r w:rsidR="00372EFB">
        <w:t>-</w:t>
      </w:r>
      <w:r w:rsidRPr="00FB5AF8">
        <w:t>of</w:t>
      </w:r>
      <w:r w:rsidR="00372EFB">
        <w:t>-g</w:t>
      </w:r>
      <w:r w:rsidRPr="00FB5AF8">
        <w:t xml:space="preserve">overnment changes and the related annual report where the financial statements can be found for the reporting period 1 July 2023 – 31 December 2023. </w:t>
      </w:r>
    </w:p>
    <w:tbl>
      <w:tblPr>
        <w:tblStyle w:val="TableGrid"/>
        <w:tblW w:w="0" w:type="auto"/>
        <w:tblLook w:val="04A0" w:firstRow="1" w:lastRow="0" w:firstColumn="1" w:lastColumn="0" w:noHBand="0" w:noVBand="1"/>
      </w:tblPr>
      <w:tblGrid>
        <w:gridCol w:w="3173"/>
        <w:gridCol w:w="3166"/>
        <w:gridCol w:w="3175"/>
      </w:tblGrid>
      <w:tr w:rsidR="002620A4" w14:paraId="125FBFFC" w14:textId="77777777">
        <w:tc>
          <w:tcPr>
            <w:tcW w:w="3246" w:type="dxa"/>
          </w:tcPr>
          <w:p w14:paraId="690B3E3D" w14:textId="77777777" w:rsidR="002620A4" w:rsidRPr="003918D2" w:rsidRDefault="002620A4">
            <w:pPr>
              <w:pStyle w:val="BodyText"/>
              <w:rPr>
                <w:b/>
                <w:bCs/>
                <w:lang w:val="en-AU"/>
              </w:rPr>
            </w:pPr>
            <w:r w:rsidRPr="003918D2">
              <w:rPr>
                <w:b/>
                <w:bCs/>
                <w:lang w:val="en-AU"/>
              </w:rPr>
              <w:t>Incoming area/function</w:t>
            </w:r>
          </w:p>
        </w:tc>
        <w:tc>
          <w:tcPr>
            <w:tcW w:w="3247" w:type="dxa"/>
          </w:tcPr>
          <w:p w14:paraId="6F5FA172" w14:textId="77777777" w:rsidR="002620A4" w:rsidRPr="003918D2" w:rsidRDefault="002620A4">
            <w:pPr>
              <w:pStyle w:val="BodyText"/>
              <w:rPr>
                <w:b/>
                <w:bCs/>
                <w:lang w:val="en-AU"/>
              </w:rPr>
            </w:pPr>
            <w:r w:rsidRPr="003918D2">
              <w:rPr>
                <w:b/>
                <w:bCs/>
                <w:lang w:val="en-AU"/>
              </w:rPr>
              <w:t>Date of Transfer</w:t>
            </w:r>
          </w:p>
        </w:tc>
        <w:tc>
          <w:tcPr>
            <w:tcW w:w="3247" w:type="dxa"/>
          </w:tcPr>
          <w:p w14:paraId="42C172D9" w14:textId="4EEEE697" w:rsidR="002620A4" w:rsidRPr="003918D2" w:rsidRDefault="002620A4">
            <w:pPr>
              <w:pStyle w:val="BodyText"/>
              <w:rPr>
                <w:b/>
                <w:bCs/>
                <w:lang w:val="en-AU"/>
              </w:rPr>
            </w:pPr>
            <w:r w:rsidRPr="003918D2">
              <w:rPr>
                <w:b/>
                <w:bCs/>
                <w:lang w:val="en-AU"/>
              </w:rPr>
              <w:t>Related annual report</w:t>
            </w:r>
          </w:p>
        </w:tc>
      </w:tr>
      <w:tr w:rsidR="002620A4" w14:paraId="34E5A030" w14:textId="77777777" w:rsidTr="00491F92">
        <w:tc>
          <w:tcPr>
            <w:tcW w:w="3246" w:type="dxa"/>
          </w:tcPr>
          <w:p w14:paraId="7E54CF28" w14:textId="77777777" w:rsidR="002620A4" w:rsidRPr="00BD5843" w:rsidRDefault="002620A4" w:rsidP="00491F92">
            <w:pPr>
              <w:pStyle w:val="BodyText"/>
              <w:spacing w:before="0"/>
              <w:rPr>
                <w:lang w:val="en-AU"/>
              </w:rPr>
            </w:pPr>
            <w:r w:rsidRPr="00BD5843">
              <w:rPr>
                <w:lang w:val="en-AU"/>
              </w:rPr>
              <w:t>Climate</w:t>
            </w:r>
          </w:p>
        </w:tc>
        <w:tc>
          <w:tcPr>
            <w:tcW w:w="3247" w:type="dxa"/>
          </w:tcPr>
          <w:p w14:paraId="169C1C9B" w14:textId="77777777" w:rsidR="002620A4" w:rsidRPr="00084B09" w:rsidRDefault="002620A4" w:rsidP="00491F92">
            <w:pPr>
              <w:pStyle w:val="Default"/>
              <w:rPr>
                <w:rFonts w:ascii="Arial Nova Light" w:hAnsi="Arial Nova Light" w:cstheme="minorBidi"/>
                <w:color w:val="auto"/>
                <w:sz w:val="20"/>
                <w:lang w:val="en-AU"/>
              </w:rPr>
            </w:pPr>
            <w:r w:rsidRPr="00084B09">
              <w:rPr>
                <w:rFonts w:ascii="Arial Nova Light" w:hAnsi="Arial Nova Light" w:cstheme="minorBidi"/>
                <w:color w:val="auto"/>
                <w:sz w:val="20"/>
                <w:lang w:val="en-AU"/>
              </w:rPr>
              <w:t>18 December 2023</w:t>
            </w:r>
          </w:p>
        </w:tc>
        <w:tc>
          <w:tcPr>
            <w:tcW w:w="3247" w:type="dxa"/>
          </w:tcPr>
          <w:p w14:paraId="7E022F83" w14:textId="6D32CCBA" w:rsidR="002620A4" w:rsidRPr="00084B09" w:rsidRDefault="002620A4" w:rsidP="00491F92">
            <w:pPr>
              <w:pStyle w:val="Default"/>
              <w:rPr>
                <w:rFonts w:ascii="Arial Nova Light" w:hAnsi="Arial Nova Light" w:cstheme="minorBidi"/>
                <w:color w:val="auto"/>
                <w:sz w:val="20"/>
                <w:lang w:val="en-AU"/>
              </w:rPr>
            </w:pPr>
            <w:r w:rsidRPr="00084B09">
              <w:rPr>
                <w:rFonts w:ascii="Arial Nova Light" w:hAnsi="Arial Nova Light" w:cstheme="minorBidi"/>
                <w:color w:val="auto"/>
                <w:sz w:val="20"/>
                <w:lang w:val="en-AU"/>
              </w:rPr>
              <w:t xml:space="preserve">Department of Environment, </w:t>
            </w:r>
            <w:proofErr w:type="gramStart"/>
            <w:r w:rsidRPr="00084B09">
              <w:rPr>
                <w:rFonts w:ascii="Arial Nova Light" w:hAnsi="Arial Nova Light" w:cstheme="minorBidi"/>
                <w:color w:val="auto"/>
                <w:sz w:val="20"/>
                <w:lang w:val="en-AU"/>
              </w:rPr>
              <w:t>Science</w:t>
            </w:r>
            <w:proofErr w:type="gramEnd"/>
            <w:r w:rsidRPr="00084B09">
              <w:rPr>
                <w:rFonts w:ascii="Arial Nova Light" w:hAnsi="Arial Nova Light" w:cstheme="minorBidi"/>
                <w:color w:val="auto"/>
                <w:sz w:val="20"/>
                <w:lang w:val="en-AU"/>
              </w:rPr>
              <w:t xml:space="preserve"> and Innovation Annual Report 2023</w:t>
            </w:r>
            <w:r w:rsidR="00B70F44">
              <w:rPr>
                <w:rFonts w:ascii="Arial Nova Light" w:hAnsi="Arial Nova Light" w:cstheme="minorBidi"/>
                <w:color w:val="auto"/>
                <w:sz w:val="20"/>
                <w:lang w:val="en-AU"/>
              </w:rPr>
              <w:t>–</w:t>
            </w:r>
            <w:r w:rsidRPr="00084B09">
              <w:rPr>
                <w:rFonts w:ascii="Arial Nova Light" w:hAnsi="Arial Nova Light" w:cstheme="minorBidi"/>
                <w:color w:val="auto"/>
                <w:sz w:val="20"/>
                <w:lang w:val="en-AU"/>
              </w:rPr>
              <w:t>24</w:t>
            </w:r>
          </w:p>
        </w:tc>
      </w:tr>
      <w:tr w:rsidR="002620A4" w:rsidRPr="005E7252" w14:paraId="23B33AF5" w14:textId="77777777">
        <w:tc>
          <w:tcPr>
            <w:tcW w:w="3246" w:type="dxa"/>
          </w:tcPr>
          <w:p w14:paraId="683F24FB" w14:textId="77777777" w:rsidR="002620A4" w:rsidRPr="005E7252" w:rsidRDefault="002620A4">
            <w:pPr>
              <w:pStyle w:val="Default"/>
              <w:rPr>
                <w:rFonts w:ascii="Arial Nova Light" w:hAnsi="Arial Nova Light" w:cstheme="minorBidi"/>
                <w:color w:val="auto"/>
                <w:sz w:val="20"/>
                <w:lang w:val="en-AU"/>
              </w:rPr>
            </w:pPr>
            <w:r w:rsidRPr="005E7252">
              <w:rPr>
                <w:rFonts w:ascii="Arial Nova Light" w:hAnsi="Arial Nova Light" w:cstheme="minorBidi"/>
                <w:color w:val="auto"/>
                <w:sz w:val="20"/>
                <w:lang w:val="en-AU"/>
              </w:rPr>
              <w:t>Future Economy Taskforce</w:t>
            </w:r>
          </w:p>
        </w:tc>
        <w:tc>
          <w:tcPr>
            <w:tcW w:w="3247" w:type="dxa"/>
          </w:tcPr>
          <w:p w14:paraId="597A9F54" w14:textId="77777777" w:rsidR="002620A4" w:rsidRPr="00084B09" w:rsidRDefault="002620A4">
            <w:pPr>
              <w:pStyle w:val="Default"/>
              <w:rPr>
                <w:rFonts w:ascii="Arial Nova Light" w:hAnsi="Arial Nova Light" w:cstheme="minorBidi"/>
                <w:color w:val="auto"/>
                <w:sz w:val="20"/>
                <w:lang w:val="en-AU"/>
              </w:rPr>
            </w:pPr>
            <w:r w:rsidRPr="00084B09">
              <w:rPr>
                <w:rFonts w:ascii="Arial Nova Light" w:hAnsi="Arial Nova Light" w:cstheme="minorBidi"/>
                <w:color w:val="auto"/>
                <w:sz w:val="20"/>
                <w:lang w:val="en-AU"/>
              </w:rPr>
              <w:t>18 December 2023</w:t>
            </w:r>
          </w:p>
        </w:tc>
        <w:tc>
          <w:tcPr>
            <w:tcW w:w="3247" w:type="dxa"/>
          </w:tcPr>
          <w:p w14:paraId="503F33CE" w14:textId="79DB40D9" w:rsidR="002620A4" w:rsidRPr="00084B09" w:rsidRDefault="002620A4">
            <w:pPr>
              <w:pStyle w:val="Default"/>
              <w:rPr>
                <w:rFonts w:ascii="Arial Nova Light" w:hAnsi="Arial Nova Light" w:cstheme="minorBidi"/>
                <w:color w:val="auto"/>
                <w:sz w:val="20"/>
                <w:lang w:val="en-AU"/>
              </w:rPr>
            </w:pPr>
            <w:r w:rsidRPr="00084B09">
              <w:rPr>
                <w:rFonts w:ascii="Arial Nova Light" w:hAnsi="Arial Nova Light" w:cstheme="minorBidi"/>
                <w:color w:val="auto"/>
                <w:sz w:val="20"/>
                <w:lang w:val="en-AU"/>
              </w:rPr>
              <w:t>Department of the Premier and Cabinet Annual Report 2023</w:t>
            </w:r>
            <w:r w:rsidR="00B70F44">
              <w:rPr>
                <w:rFonts w:ascii="Arial Nova Light" w:hAnsi="Arial Nova Light" w:cstheme="minorBidi"/>
                <w:color w:val="auto"/>
                <w:sz w:val="20"/>
                <w:lang w:val="en-AU"/>
              </w:rPr>
              <w:t>–</w:t>
            </w:r>
            <w:r w:rsidRPr="00084B09">
              <w:rPr>
                <w:rFonts w:ascii="Arial Nova Light" w:hAnsi="Arial Nova Light" w:cstheme="minorBidi"/>
                <w:color w:val="auto"/>
                <w:sz w:val="20"/>
                <w:lang w:val="en-AU"/>
              </w:rPr>
              <w:t>24</w:t>
            </w:r>
          </w:p>
        </w:tc>
      </w:tr>
      <w:tr w:rsidR="002620A4" w:rsidRPr="005E7252" w14:paraId="46D4E5C4" w14:textId="77777777">
        <w:tc>
          <w:tcPr>
            <w:tcW w:w="3246" w:type="dxa"/>
          </w:tcPr>
          <w:p w14:paraId="2DE989AB" w14:textId="77777777" w:rsidR="002620A4" w:rsidRPr="005E7252" w:rsidRDefault="002620A4">
            <w:pPr>
              <w:pStyle w:val="Default"/>
              <w:rPr>
                <w:rFonts w:ascii="Arial Nova Light" w:hAnsi="Arial Nova Light" w:cstheme="minorBidi"/>
                <w:color w:val="auto"/>
                <w:sz w:val="20"/>
                <w:lang w:val="en-AU"/>
              </w:rPr>
            </w:pPr>
            <w:r w:rsidRPr="005E7252">
              <w:rPr>
                <w:rFonts w:ascii="Arial Nova Light" w:hAnsi="Arial Nova Light" w:cstheme="minorBidi"/>
                <w:color w:val="auto"/>
                <w:sz w:val="20"/>
                <w:lang w:val="en-AU"/>
              </w:rPr>
              <w:t>Regional Economic Futures Fund</w:t>
            </w:r>
          </w:p>
        </w:tc>
        <w:tc>
          <w:tcPr>
            <w:tcW w:w="3247" w:type="dxa"/>
          </w:tcPr>
          <w:p w14:paraId="73533597" w14:textId="77777777" w:rsidR="002620A4" w:rsidRPr="00084B09" w:rsidRDefault="002620A4">
            <w:pPr>
              <w:pStyle w:val="Default"/>
              <w:rPr>
                <w:rFonts w:ascii="Arial Nova Light" w:hAnsi="Arial Nova Light" w:cstheme="minorBidi"/>
                <w:color w:val="auto"/>
                <w:sz w:val="20"/>
                <w:lang w:val="en-AU"/>
              </w:rPr>
            </w:pPr>
            <w:r w:rsidRPr="00084B09">
              <w:rPr>
                <w:rFonts w:ascii="Arial Nova Light" w:hAnsi="Arial Nova Light" w:cstheme="minorBidi"/>
                <w:color w:val="auto"/>
                <w:sz w:val="20"/>
                <w:lang w:val="en-AU"/>
              </w:rPr>
              <w:t>18 December 2023</w:t>
            </w:r>
          </w:p>
        </w:tc>
        <w:tc>
          <w:tcPr>
            <w:tcW w:w="3247" w:type="dxa"/>
          </w:tcPr>
          <w:p w14:paraId="5A3BE534" w14:textId="075060E1" w:rsidR="002620A4" w:rsidRPr="00084B09" w:rsidRDefault="002620A4">
            <w:pPr>
              <w:pStyle w:val="Default"/>
              <w:rPr>
                <w:rFonts w:ascii="Arial Nova Light" w:hAnsi="Arial Nova Light" w:cstheme="minorBidi"/>
                <w:color w:val="auto"/>
                <w:sz w:val="20"/>
                <w:lang w:val="en-AU"/>
              </w:rPr>
            </w:pPr>
            <w:r w:rsidRPr="005E7252">
              <w:rPr>
                <w:rFonts w:ascii="Arial Nova Light" w:hAnsi="Arial Nova Light" w:cstheme="minorBidi"/>
                <w:color w:val="auto"/>
                <w:sz w:val="20"/>
                <w:lang w:val="en-AU"/>
              </w:rPr>
              <w:t>Department of State Development and Infrastructure Annual Report 2023</w:t>
            </w:r>
            <w:r w:rsidR="00B70F44">
              <w:rPr>
                <w:rFonts w:ascii="Arial Nova Light" w:hAnsi="Arial Nova Light" w:cstheme="minorBidi"/>
                <w:color w:val="auto"/>
                <w:sz w:val="20"/>
                <w:lang w:val="en-AU"/>
              </w:rPr>
              <w:t>–</w:t>
            </w:r>
            <w:r w:rsidRPr="005E7252">
              <w:rPr>
                <w:rFonts w:ascii="Arial Nova Light" w:hAnsi="Arial Nova Light" w:cstheme="minorBidi"/>
                <w:color w:val="auto"/>
                <w:sz w:val="20"/>
                <w:lang w:val="en-AU"/>
              </w:rPr>
              <w:t>24</w:t>
            </w:r>
          </w:p>
        </w:tc>
      </w:tr>
    </w:tbl>
    <w:p w14:paraId="2E3B8BB9" w14:textId="321A99C5" w:rsidR="002620A4" w:rsidRDefault="001F0A9D" w:rsidP="002620A4">
      <w:pPr>
        <w:pStyle w:val="Default"/>
        <w:rPr>
          <w:i/>
          <w:iCs/>
          <w:sz w:val="18"/>
          <w:szCs w:val="18"/>
        </w:rPr>
      </w:pPr>
      <w:r>
        <w:rPr>
          <w:i/>
          <w:iCs/>
          <w:sz w:val="18"/>
          <w:szCs w:val="18"/>
        </w:rPr>
        <w:t xml:space="preserve"> </w:t>
      </w:r>
      <w:r w:rsidR="002620A4">
        <w:rPr>
          <w:i/>
          <w:iCs/>
          <w:sz w:val="18"/>
          <w:szCs w:val="18"/>
        </w:rPr>
        <w:t xml:space="preserve"> </w:t>
      </w:r>
    </w:p>
    <w:p w14:paraId="3D6BF234" w14:textId="49F4034B" w:rsidR="002620A4" w:rsidRPr="00E10AF0" w:rsidRDefault="002620A4" w:rsidP="004D6422">
      <w:pPr>
        <w:pStyle w:val="DECHeading3"/>
      </w:pPr>
      <w:bookmarkStart w:id="95" w:name="_Toc172806382"/>
      <w:bookmarkStart w:id="96" w:name="_Toc172808476"/>
      <w:bookmarkStart w:id="97" w:name="_Toc174605620"/>
      <w:bookmarkStart w:id="98" w:name="_Toc176424759"/>
      <w:bookmarkStart w:id="99" w:name="_Toc176424918"/>
      <w:r w:rsidRPr="00E10AF0">
        <w:lastRenderedPageBreak/>
        <w:t>Outgoing divisions or functions</w:t>
      </w:r>
      <w:bookmarkEnd w:id="95"/>
      <w:bookmarkEnd w:id="96"/>
      <w:bookmarkEnd w:id="97"/>
      <w:bookmarkEnd w:id="98"/>
      <w:bookmarkEnd w:id="99"/>
    </w:p>
    <w:p w14:paraId="71377EFE" w14:textId="78BDD6B1" w:rsidR="002620A4" w:rsidRPr="007437B2" w:rsidRDefault="002620A4" w:rsidP="002620A4">
      <w:pPr>
        <w:pStyle w:val="BodyText"/>
      </w:pPr>
      <w:r w:rsidRPr="007437B2">
        <w:t xml:space="preserve">The following table outlines those divisions or functions that left the department due to </w:t>
      </w:r>
      <w:r w:rsidR="006A7133">
        <w:t>m</w:t>
      </w:r>
      <w:r w:rsidRPr="007437B2">
        <w:t>achinery</w:t>
      </w:r>
      <w:r w:rsidR="006A7133">
        <w:t>-</w:t>
      </w:r>
      <w:r w:rsidRPr="007437B2">
        <w:t>of</w:t>
      </w:r>
      <w:r w:rsidR="004A6E97">
        <w:t>-g</w:t>
      </w:r>
      <w:r w:rsidRPr="007437B2">
        <w:t>overnment changes on 18 December 2023 and the related annual report where the financial statements can be found for the reporting period 1 January 2024 – 30 June 2024.</w:t>
      </w:r>
    </w:p>
    <w:tbl>
      <w:tblPr>
        <w:tblStyle w:val="TableGrid"/>
        <w:tblW w:w="0" w:type="auto"/>
        <w:tblLook w:val="04A0" w:firstRow="1" w:lastRow="0" w:firstColumn="1" w:lastColumn="0" w:noHBand="0" w:noVBand="1"/>
      </w:tblPr>
      <w:tblGrid>
        <w:gridCol w:w="3174"/>
        <w:gridCol w:w="3166"/>
        <w:gridCol w:w="3174"/>
      </w:tblGrid>
      <w:tr w:rsidR="002620A4" w14:paraId="360F46D3" w14:textId="77777777">
        <w:tc>
          <w:tcPr>
            <w:tcW w:w="3246" w:type="dxa"/>
          </w:tcPr>
          <w:p w14:paraId="790FC8C3" w14:textId="77777777" w:rsidR="002620A4" w:rsidRPr="00D63354" w:rsidRDefault="002620A4">
            <w:pPr>
              <w:pStyle w:val="BodyText"/>
              <w:rPr>
                <w:b/>
                <w:bCs/>
                <w:lang w:val="en-AU"/>
              </w:rPr>
            </w:pPr>
            <w:r w:rsidRPr="00D63354">
              <w:rPr>
                <w:b/>
                <w:bCs/>
                <w:lang w:val="en-AU"/>
              </w:rPr>
              <w:t>Outgoing area/function</w:t>
            </w:r>
          </w:p>
        </w:tc>
        <w:tc>
          <w:tcPr>
            <w:tcW w:w="3247" w:type="dxa"/>
          </w:tcPr>
          <w:p w14:paraId="6D95CFA8" w14:textId="77777777" w:rsidR="002620A4" w:rsidRPr="00D63354" w:rsidRDefault="002620A4">
            <w:pPr>
              <w:pStyle w:val="BodyText"/>
              <w:rPr>
                <w:b/>
                <w:bCs/>
                <w:lang w:val="en-AU"/>
              </w:rPr>
            </w:pPr>
            <w:r w:rsidRPr="00D63354">
              <w:rPr>
                <w:b/>
                <w:bCs/>
                <w:lang w:val="en-AU"/>
              </w:rPr>
              <w:t>Date of Transfer</w:t>
            </w:r>
          </w:p>
        </w:tc>
        <w:tc>
          <w:tcPr>
            <w:tcW w:w="3247" w:type="dxa"/>
          </w:tcPr>
          <w:p w14:paraId="274C52C0" w14:textId="0F92B84B" w:rsidR="002620A4" w:rsidRPr="00D63354" w:rsidRDefault="002620A4">
            <w:pPr>
              <w:pStyle w:val="BodyText"/>
              <w:rPr>
                <w:b/>
                <w:bCs/>
                <w:lang w:val="en-AU"/>
              </w:rPr>
            </w:pPr>
            <w:r w:rsidRPr="00D63354">
              <w:rPr>
                <w:b/>
                <w:bCs/>
                <w:lang w:val="en-AU"/>
              </w:rPr>
              <w:t>Related annual report</w:t>
            </w:r>
            <w:r w:rsidR="003800D0">
              <w:rPr>
                <w:b/>
                <w:bCs/>
                <w:lang w:val="en-AU"/>
              </w:rPr>
              <w:t>*</w:t>
            </w:r>
          </w:p>
        </w:tc>
      </w:tr>
      <w:tr w:rsidR="002620A4" w14:paraId="193EFFC2" w14:textId="77777777">
        <w:tc>
          <w:tcPr>
            <w:tcW w:w="3246" w:type="dxa"/>
          </w:tcPr>
          <w:p w14:paraId="031CD38A" w14:textId="77777777" w:rsidR="002620A4" w:rsidRPr="00D63354" w:rsidRDefault="002620A4">
            <w:pPr>
              <w:pStyle w:val="BodyText"/>
              <w:rPr>
                <w:lang w:val="en-AU"/>
              </w:rPr>
            </w:pPr>
            <w:r w:rsidRPr="00D63354">
              <w:rPr>
                <w:lang w:val="en-AU"/>
              </w:rPr>
              <w:t>Public Works</w:t>
            </w:r>
          </w:p>
        </w:tc>
        <w:tc>
          <w:tcPr>
            <w:tcW w:w="3247" w:type="dxa"/>
          </w:tcPr>
          <w:p w14:paraId="03EC022B" w14:textId="77777777" w:rsidR="002620A4" w:rsidRPr="00D63354" w:rsidRDefault="002620A4">
            <w:pPr>
              <w:pStyle w:val="BodyText"/>
              <w:rPr>
                <w:lang w:val="en-AU"/>
              </w:rPr>
            </w:pPr>
            <w:r>
              <w:rPr>
                <w:lang w:val="en-AU"/>
              </w:rPr>
              <w:t>18 December 2023</w:t>
            </w:r>
          </w:p>
        </w:tc>
        <w:tc>
          <w:tcPr>
            <w:tcW w:w="3247" w:type="dxa"/>
          </w:tcPr>
          <w:p w14:paraId="101BE579" w14:textId="49D32F31" w:rsidR="002620A4" w:rsidRPr="00D63354" w:rsidRDefault="002620A4">
            <w:pPr>
              <w:pStyle w:val="BodyText"/>
              <w:rPr>
                <w:lang w:val="en-AU"/>
              </w:rPr>
            </w:pPr>
            <w:r w:rsidRPr="00590339">
              <w:rPr>
                <w:szCs w:val="20"/>
              </w:rPr>
              <w:t>Department of Housing, Local Government, Planning and Public Works Annual Report 2023</w:t>
            </w:r>
            <w:r w:rsidR="00521967">
              <w:rPr>
                <w:szCs w:val="20"/>
              </w:rPr>
              <w:t>–</w:t>
            </w:r>
            <w:r w:rsidRPr="00590339">
              <w:rPr>
                <w:szCs w:val="20"/>
              </w:rPr>
              <w:t>24</w:t>
            </w:r>
          </w:p>
        </w:tc>
      </w:tr>
    </w:tbl>
    <w:p w14:paraId="2AC374EF" w14:textId="1198C38A" w:rsidR="002620A4" w:rsidRDefault="003800D0" w:rsidP="002620A4">
      <w:pPr>
        <w:pStyle w:val="Default"/>
        <w:rPr>
          <w:i/>
          <w:iCs/>
          <w:sz w:val="18"/>
          <w:szCs w:val="18"/>
        </w:rPr>
      </w:pPr>
      <w:r>
        <w:rPr>
          <w:rFonts w:ascii="Arial Nova Light" w:hAnsi="Arial Nova Light"/>
          <w:i/>
          <w:sz w:val="18"/>
          <w:szCs w:val="18"/>
        </w:rPr>
        <w:t>*</w:t>
      </w:r>
      <w:r w:rsidR="002620A4" w:rsidRPr="00143564">
        <w:rPr>
          <w:rFonts w:ascii="Arial Nova Light" w:hAnsi="Arial Nova Light"/>
          <w:i/>
          <w:sz w:val="18"/>
          <w:szCs w:val="18"/>
        </w:rPr>
        <w:t xml:space="preserve"> Non-financial performance information for the 2023</w:t>
      </w:r>
      <w:r w:rsidR="00762D76">
        <w:rPr>
          <w:rFonts w:ascii="Arial Nova Light" w:hAnsi="Arial Nova Light"/>
          <w:i/>
          <w:sz w:val="18"/>
          <w:szCs w:val="18"/>
        </w:rPr>
        <w:t>–</w:t>
      </w:r>
      <w:r w:rsidR="002620A4" w:rsidRPr="00143564">
        <w:rPr>
          <w:rFonts w:ascii="Arial Nova Light" w:hAnsi="Arial Nova Light"/>
          <w:i/>
          <w:sz w:val="18"/>
          <w:szCs w:val="18"/>
        </w:rPr>
        <w:t>24 reporting period can be found in the related annual report.</w:t>
      </w:r>
    </w:p>
    <w:p w14:paraId="2769C78C" w14:textId="77777777" w:rsidR="002620A4" w:rsidRPr="00143564" w:rsidRDefault="002620A4" w:rsidP="004D6422">
      <w:pPr>
        <w:pStyle w:val="DECHeading3"/>
        <w:rPr>
          <w:sz w:val="20"/>
          <w:szCs w:val="20"/>
        </w:rPr>
      </w:pPr>
      <w:bookmarkStart w:id="100" w:name="_Toc172806383"/>
      <w:bookmarkStart w:id="101" w:name="_Toc172808477"/>
      <w:bookmarkStart w:id="102" w:name="_Toc174605621"/>
      <w:bookmarkStart w:id="103" w:name="_Toc176424760"/>
      <w:bookmarkStart w:id="104" w:name="_Toc176424919"/>
      <w:r w:rsidRPr="00143564">
        <w:t>Incoming and outgoing statutory bodies</w:t>
      </w:r>
      <w:bookmarkEnd w:id="100"/>
      <w:bookmarkEnd w:id="101"/>
      <w:bookmarkEnd w:id="102"/>
      <w:bookmarkEnd w:id="103"/>
      <w:bookmarkEnd w:id="104"/>
      <w:r w:rsidRPr="00143564">
        <w:t xml:space="preserve"> </w:t>
      </w:r>
    </w:p>
    <w:p w14:paraId="20190DB8" w14:textId="2430DFCA" w:rsidR="002620A4" w:rsidRDefault="002620A4" w:rsidP="002620A4">
      <w:pPr>
        <w:pStyle w:val="Default"/>
        <w:rPr>
          <w:rFonts w:ascii="Arial Nova Light" w:hAnsi="Arial Nova Light"/>
          <w:sz w:val="20"/>
          <w:szCs w:val="20"/>
        </w:rPr>
      </w:pPr>
      <w:r w:rsidRPr="00590339">
        <w:rPr>
          <w:rFonts w:ascii="Arial Nova Light" w:hAnsi="Arial Nova Light"/>
          <w:sz w:val="20"/>
          <w:szCs w:val="20"/>
        </w:rPr>
        <w:t xml:space="preserve">As a result of the </w:t>
      </w:r>
      <w:r w:rsidR="00EB6083">
        <w:rPr>
          <w:rFonts w:ascii="Arial Nova Light" w:hAnsi="Arial Nova Light"/>
          <w:sz w:val="20"/>
          <w:szCs w:val="20"/>
        </w:rPr>
        <w:t>m</w:t>
      </w:r>
      <w:r w:rsidRPr="00590339">
        <w:rPr>
          <w:rFonts w:ascii="Arial Nova Light" w:hAnsi="Arial Nova Light"/>
          <w:sz w:val="20"/>
          <w:szCs w:val="20"/>
        </w:rPr>
        <w:t>achinery</w:t>
      </w:r>
      <w:r w:rsidR="00EB6083">
        <w:rPr>
          <w:rFonts w:ascii="Arial Nova Light" w:hAnsi="Arial Nova Light"/>
          <w:sz w:val="20"/>
          <w:szCs w:val="20"/>
        </w:rPr>
        <w:t>-</w:t>
      </w:r>
      <w:r w:rsidRPr="00590339">
        <w:rPr>
          <w:rFonts w:ascii="Arial Nova Light" w:hAnsi="Arial Nova Light"/>
          <w:sz w:val="20"/>
          <w:szCs w:val="20"/>
        </w:rPr>
        <w:t>of</w:t>
      </w:r>
      <w:r w:rsidR="00EB6083">
        <w:rPr>
          <w:rFonts w:ascii="Arial Nova Light" w:hAnsi="Arial Nova Light"/>
          <w:sz w:val="20"/>
          <w:szCs w:val="20"/>
        </w:rPr>
        <w:t>-g</w:t>
      </w:r>
      <w:r w:rsidRPr="00590339">
        <w:rPr>
          <w:rFonts w:ascii="Arial Nova Light" w:hAnsi="Arial Nova Light"/>
          <w:sz w:val="20"/>
          <w:szCs w:val="20"/>
        </w:rPr>
        <w:t xml:space="preserve">overnment changes, </w:t>
      </w:r>
      <w:r>
        <w:rPr>
          <w:rFonts w:ascii="Arial Nova Light" w:hAnsi="Arial Nova Light"/>
          <w:sz w:val="20"/>
          <w:szCs w:val="20"/>
        </w:rPr>
        <w:t xml:space="preserve">the following statutory bodies were transferred </w:t>
      </w:r>
      <w:proofErr w:type="gramStart"/>
      <w:r>
        <w:rPr>
          <w:rFonts w:ascii="Arial Nova Light" w:hAnsi="Arial Nova Light"/>
          <w:sz w:val="20"/>
          <w:szCs w:val="20"/>
        </w:rPr>
        <w:t>to</w:t>
      </w:r>
      <w:proofErr w:type="gramEnd"/>
      <w:r>
        <w:rPr>
          <w:rFonts w:ascii="Arial Nova Light" w:hAnsi="Arial Nova Light"/>
          <w:sz w:val="20"/>
          <w:szCs w:val="20"/>
        </w:rPr>
        <w:t xml:space="preserve"> the </w:t>
      </w:r>
    </w:p>
    <w:p w14:paraId="7C3006BC" w14:textId="77777777" w:rsidR="002620A4" w:rsidRDefault="002620A4" w:rsidP="002620A4">
      <w:pPr>
        <w:pStyle w:val="Default"/>
        <w:rPr>
          <w:rFonts w:ascii="Arial Nova Light" w:hAnsi="Arial Nova Light"/>
          <w:sz w:val="20"/>
          <w:szCs w:val="20"/>
        </w:rPr>
      </w:pPr>
      <w:r w:rsidRPr="00590339">
        <w:rPr>
          <w:rFonts w:ascii="Arial Nova Light" w:hAnsi="Arial Nova Light"/>
          <w:sz w:val="20"/>
          <w:szCs w:val="20"/>
        </w:rPr>
        <w:t>Minister for Housing, Local Government and Planning and Minister for Public Works</w:t>
      </w:r>
      <w:r>
        <w:rPr>
          <w:rFonts w:ascii="Arial Nova Light" w:hAnsi="Arial Nova Light"/>
          <w:sz w:val="20"/>
          <w:szCs w:val="20"/>
        </w:rPr>
        <w:t xml:space="preserve"> portfolio from 18 December 2023. Each statutory body is required to produce its own annual report:</w:t>
      </w:r>
    </w:p>
    <w:p w14:paraId="597F51A8" w14:textId="77777777" w:rsidR="002620A4" w:rsidRDefault="002620A4" w:rsidP="002620A4">
      <w:pPr>
        <w:pStyle w:val="Default"/>
        <w:rPr>
          <w:rFonts w:ascii="Arial Nova Light" w:hAnsi="Arial Nova Light"/>
          <w:sz w:val="20"/>
          <w:szCs w:val="20"/>
        </w:rPr>
      </w:pPr>
    </w:p>
    <w:p w14:paraId="046C8183" w14:textId="77777777" w:rsidR="002620A4" w:rsidRPr="00143564" w:rsidRDefault="002620A4" w:rsidP="00113DF0">
      <w:pPr>
        <w:pStyle w:val="Default"/>
        <w:numPr>
          <w:ilvl w:val="0"/>
          <w:numId w:val="19"/>
        </w:numPr>
        <w:rPr>
          <w:rFonts w:ascii="Arial Nova Light" w:hAnsi="Arial Nova Light"/>
          <w:sz w:val="20"/>
          <w:szCs w:val="20"/>
        </w:rPr>
      </w:pPr>
      <w:r w:rsidRPr="00590339">
        <w:rPr>
          <w:rFonts w:ascii="Arial Nova Light" w:hAnsi="Arial Nova Light"/>
          <w:sz w:val="20"/>
          <w:szCs w:val="20"/>
        </w:rPr>
        <w:t>Board of Architects of Queensland</w:t>
      </w:r>
    </w:p>
    <w:p w14:paraId="51B12C25" w14:textId="77777777" w:rsidR="002620A4" w:rsidRPr="00590339" w:rsidRDefault="002620A4" w:rsidP="00113DF0">
      <w:pPr>
        <w:pStyle w:val="Default"/>
        <w:numPr>
          <w:ilvl w:val="0"/>
          <w:numId w:val="19"/>
        </w:numPr>
        <w:rPr>
          <w:rFonts w:ascii="Arial Nova Light" w:hAnsi="Arial Nova Light"/>
          <w:sz w:val="20"/>
          <w:szCs w:val="20"/>
        </w:rPr>
      </w:pPr>
      <w:r w:rsidRPr="00590339">
        <w:rPr>
          <w:rFonts w:ascii="Arial Nova Light" w:hAnsi="Arial Nova Light"/>
          <w:sz w:val="20"/>
          <w:szCs w:val="20"/>
        </w:rPr>
        <w:t>Board of Professional Engineers of Queensland</w:t>
      </w:r>
    </w:p>
    <w:p w14:paraId="14F77211" w14:textId="4A874BA8" w:rsidR="002620A4" w:rsidRPr="00143564" w:rsidRDefault="002620A4" w:rsidP="00113DF0">
      <w:pPr>
        <w:pStyle w:val="Default"/>
        <w:numPr>
          <w:ilvl w:val="0"/>
          <w:numId w:val="19"/>
        </w:numPr>
        <w:rPr>
          <w:rFonts w:ascii="Arial Nova Light" w:hAnsi="Arial Nova Light"/>
          <w:sz w:val="20"/>
          <w:szCs w:val="20"/>
        </w:rPr>
      </w:pPr>
      <w:r w:rsidRPr="00590339">
        <w:rPr>
          <w:rFonts w:ascii="Arial Nova Light" w:hAnsi="Arial Nova Light"/>
          <w:sz w:val="20"/>
          <w:szCs w:val="20"/>
        </w:rPr>
        <w:t>Queensland Building and Construction Commission</w:t>
      </w:r>
      <w:r w:rsidR="00E403A7">
        <w:rPr>
          <w:rFonts w:ascii="Arial Nova Light" w:hAnsi="Arial Nova Light"/>
          <w:sz w:val="20"/>
          <w:szCs w:val="20"/>
        </w:rPr>
        <w:t>.</w:t>
      </w:r>
    </w:p>
    <w:p w14:paraId="357E0976" w14:textId="77777777" w:rsidR="002620A4" w:rsidRDefault="002620A4" w:rsidP="00341B5A">
      <w:pPr>
        <w:pStyle w:val="Default"/>
        <w:rPr>
          <w:rFonts w:ascii="Arial Nova Light" w:hAnsi="Arial Nova Light"/>
          <w:sz w:val="20"/>
          <w:szCs w:val="20"/>
        </w:rPr>
      </w:pPr>
    </w:p>
    <w:p w14:paraId="63B8E050" w14:textId="2E70B936" w:rsidR="00FF3E91" w:rsidRPr="00341B5A" w:rsidRDefault="00341B5A" w:rsidP="00341B5A">
      <w:pPr>
        <w:pStyle w:val="Default"/>
        <w:rPr>
          <w:rFonts w:ascii="Arial Nova Light" w:hAnsi="Arial Nova Light"/>
          <w:sz w:val="20"/>
          <w:szCs w:val="20"/>
        </w:rPr>
        <w:sectPr w:rsidR="00FF3E91" w:rsidRPr="00341B5A" w:rsidSect="00E23076">
          <w:headerReference w:type="first" r:id="rId36"/>
          <w:pgSz w:w="11906" w:h="16838" w:code="9"/>
          <w:pgMar w:top="2098" w:right="1191" w:bottom="1701" w:left="1191" w:header="907" w:footer="709" w:gutter="0"/>
          <w:cols w:space="720"/>
          <w:docGrid w:linePitch="272"/>
        </w:sectPr>
      </w:pPr>
      <w:r w:rsidRPr="00341B5A">
        <w:rPr>
          <w:rFonts w:ascii="Arial Nova Light" w:hAnsi="Arial Nova Light"/>
          <w:sz w:val="20"/>
          <w:szCs w:val="20"/>
        </w:rPr>
        <w:t>There were no incoming statutory bodies.</w:t>
      </w:r>
    </w:p>
    <w:p w14:paraId="1AEFA932" w14:textId="77777777" w:rsidR="00664CC5" w:rsidRDefault="00664CC5">
      <w:pPr>
        <w:spacing w:before="0" w:after="160" w:line="259" w:lineRule="auto"/>
        <w:rPr>
          <w:rFonts w:eastAsia="Times New Roman" w:cstheme="majorBidi"/>
          <w:b/>
          <w:color w:val="000000" w:themeColor="text1"/>
          <w:sz w:val="64"/>
          <w:szCs w:val="64"/>
          <w:lang w:eastAsia="en-GB"/>
        </w:rPr>
      </w:pPr>
      <w:bookmarkStart w:id="105" w:name="_Our_contribution"/>
      <w:bookmarkStart w:id="106" w:name="_Toc172794860"/>
      <w:bookmarkStart w:id="107" w:name="_Toc144747805"/>
      <w:bookmarkStart w:id="108" w:name="_Toc73900126"/>
      <w:bookmarkEnd w:id="83"/>
      <w:bookmarkEnd w:id="105"/>
      <w:r>
        <w:br w:type="page"/>
      </w:r>
    </w:p>
    <w:p w14:paraId="50B3F2D7" w14:textId="5E64657A" w:rsidR="00AC5061" w:rsidRPr="00CA15EC" w:rsidRDefault="00286FAF" w:rsidP="00470445">
      <w:pPr>
        <w:pStyle w:val="DECheading11"/>
      </w:pPr>
      <w:bookmarkStart w:id="109" w:name="_Toc172806384"/>
      <w:bookmarkStart w:id="110" w:name="_Toc172806670"/>
      <w:bookmarkStart w:id="111" w:name="_Toc172808401"/>
      <w:bookmarkStart w:id="112" w:name="_Toc172808478"/>
      <w:bookmarkStart w:id="113" w:name="_Toc174605622"/>
      <w:bookmarkStart w:id="114" w:name="_Toc176424761"/>
      <w:bookmarkStart w:id="115" w:name="_Toc176424920"/>
      <w:r w:rsidRPr="00CA15EC">
        <w:lastRenderedPageBreak/>
        <w:t xml:space="preserve">Our contribution to the Queensland </w:t>
      </w:r>
      <w:r w:rsidR="007071DB">
        <w:t>G</w:t>
      </w:r>
      <w:r w:rsidRPr="00CA15EC">
        <w:t>overnment’s objectives for the community</w:t>
      </w:r>
      <w:bookmarkStart w:id="116" w:name="_Toc172794861"/>
      <w:bookmarkEnd w:id="106"/>
      <w:bookmarkEnd w:id="109"/>
      <w:bookmarkEnd w:id="110"/>
      <w:bookmarkEnd w:id="111"/>
      <w:bookmarkEnd w:id="112"/>
      <w:bookmarkEnd w:id="113"/>
      <w:bookmarkEnd w:id="114"/>
      <w:bookmarkEnd w:id="115"/>
    </w:p>
    <w:p w14:paraId="43A6C42B" w14:textId="13939954" w:rsidR="00AC5061" w:rsidRDefault="00E10D1F" w:rsidP="00C41807">
      <w:pPr>
        <w:pStyle w:val="DECHeading2"/>
      </w:pPr>
      <w:bookmarkStart w:id="117" w:name="_Toc172806385"/>
      <w:bookmarkStart w:id="118" w:name="_Toc172806671"/>
      <w:bookmarkStart w:id="119" w:name="_Toc172808402"/>
      <w:bookmarkStart w:id="120" w:name="_Toc172808479"/>
      <w:bookmarkStart w:id="121" w:name="_Toc174605623"/>
      <w:bookmarkStart w:id="122" w:name="_Toc176424762"/>
      <w:bookmarkStart w:id="123" w:name="_Toc176424921"/>
      <w:bookmarkEnd w:id="107"/>
      <w:r w:rsidRPr="00AC5061">
        <w:t xml:space="preserve">We contributed </w:t>
      </w:r>
      <w:r w:rsidR="00D7482F" w:rsidRPr="00AC5061">
        <w:t xml:space="preserve">to </w:t>
      </w:r>
      <w:r w:rsidR="00226FA9" w:rsidRPr="00AC5061">
        <w:t>the Q</w:t>
      </w:r>
      <w:r w:rsidR="00993ED7" w:rsidRPr="00AC5061">
        <w:t xml:space="preserve">ueensland </w:t>
      </w:r>
      <w:r w:rsidR="007071DB">
        <w:t>G</w:t>
      </w:r>
      <w:r w:rsidR="00993ED7" w:rsidRPr="00AC5061">
        <w:t xml:space="preserve">overnment’s objectives for the community through our </w:t>
      </w:r>
      <w:r w:rsidR="00993ED7" w:rsidRPr="00260612">
        <w:rPr>
          <w:i/>
        </w:rPr>
        <w:t>Strategic Plan</w:t>
      </w:r>
      <w:r w:rsidR="009F7556" w:rsidRPr="00260612">
        <w:rPr>
          <w:i/>
        </w:rPr>
        <w:t xml:space="preserve"> </w:t>
      </w:r>
      <w:r w:rsidR="00BE618A" w:rsidRPr="00260612">
        <w:rPr>
          <w:i/>
        </w:rPr>
        <w:t>2023</w:t>
      </w:r>
      <w:r w:rsidR="00C47CF8">
        <w:rPr>
          <w:i/>
        </w:rPr>
        <w:t>–20</w:t>
      </w:r>
      <w:r w:rsidR="00BE618A" w:rsidRPr="00260612">
        <w:rPr>
          <w:i/>
        </w:rPr>
        <w:t>27</w:t>
      </w:r>
      <w:r w:rsidR="00BE618A" w:rsidRPr="00AC5061">
        <w:t>.</w:t>
      </w:r>
      <w:bookmarkStart w:id="124" w:name="_Toc172794862"/>
      <w:bookmarkEnd w:id="116"/>
      <w:bookmarkEnd w:id="117"/>
      <w:bookmarkEnd w:id="118"/>
      <w:bookmarkEnd w:id="119"/>
      <w:bookmarkEnd w:id="120"/>
      <w:bookmarkEnd w:id="121"/>
      <w:bookmarkEnd w:id="122"/>
      <w:bookmarkEnd w:id="123"/>
    </w:p>
    <w:p w14:paraId="4064A5F1" w14:textId="5416DDDB" w:rsidR="00DB27D2" w:rsidRPr="009D4222" w:rsidRDefault="00DB27D2" w:rsidP="00C41807">
      <w:pPr>
        <w:pStyle w:val="Heading6-AnnualReport"/>
        <w:rPr>
          <w:b/>
          <w:i w:val="0"/>
        </w:rPr>
      </w:pPr>
      <w:bookmarkStart w:id="125" w:name="_Toc172808480"/>
      <w:bookmarkStart w:id="126" w:name="_Toc174605624"/>
      <w:bookmarkStart w:id="127" w:name="_Toc176424763"/>
      <w:bookmarkStart w:id="128" w:name="_Toc176424922"/>
      <w:r w:rsidRPr="009D4222">
        <w:rPr>
          <w:b/>
          <w:i w:val="0"/>
        </w:rPr>
        <w:t>Good Jobs</w:t>
      </w:r>
      <w:bookmarkEnd w:id="125"/>
      <w:bookmarkEnd w:id="126"/>
      <w:bookmarkEnd w:id="127"/>
      <w:bookmarkEnd w:id="128"/>
    </w:p>
    <w:p w14:paraId="703EDC8C" w14:textId="5CA8BEDF" w:rsidR="00C41807" w:rsidRPr="00B04533" w:rsidRDefault="00C41807" w:rsidP="00C41807">
      <w:pPr>
        <w:pStyle w:val="Heading6-AnnualReport"/>
        <w:rPr>
          <w:i w:val="0"/>
          <w:iCs/>
          <w:color w:val="auto"/>
          <w:highlight w:val="yellow"/>
        </w:rPr>
      </w:pPr>
      <w:bookmarkStart w:id="129" w:name="_Toc172808481"/>
      <w:bookmarkStart w:id="130" w:name="_Toc174605625"/>
      <w:bookmarkStart w:id="131" w:name="_Toc176424764"/>
      <w:bookmarkStart w:id="132" w:name="_Toc176424923"/>
      <w:r w:rsidRPr="00B93BE1">
        <w:rPr>
          <w:rFonts w:eastAsiaTheme="minorHAnsi" w:cstheme="minorBidi"/>
          <w:b/>
          <w:bCs/>
          <w:i w:val="0"/>
          <w:noProof/>
          <w:color w:val="auto"/>
          <w:sz w:val="20"/>
          <w:szCs w:val="24"/>
          <w:lang w:eastAsia="en-US"/>
        </w:rPr>
        <w:drawing>
          <wp:anchor distT="0" distB="0" distL="114300" distR="114300" simplePos="0" relativeHeight="251658251" behindDoc="1" locked="0" layoutInCell="1" allowOverlap="1" wp14:anchorId="1A6B580A" wp14:editId="52B40F03">
            <wp:simplePos x="0" y="0"/>
            <wp:positionH relativeFrom="column">
              <wp:posOffset>126365</wp:posOffset>
            </wp:positionH>
            <wp:positionV relativeFrom="paragraph">
              <wp:posOffset>112667</wp:posOffset>
            </wp:positionV>
            <wp:extent cx="539750" cy="539750"/>
            <wp:effectExtent l="0" t="0" r="0" b="0"/>
            <wp:wrapTight wrapText="bothSides">
              <wp:wrapPolygon edited="0">
                <wp:start x="6099" y="0"/>
                <wp:lineTo x="0" y="3049"/>
                <wp:lineTo x="0" y="16772"/>
                <wp:lineTo x="6099" y="20584"/>
                <wp:lineTo x="13722" y="20584"/>
                <wp:lineTo x="20584" y="17534"/>
                <wp:lineTo x="20584" y="4574"/>
                <wp:lineTo x="14485" y="0"/>
                <wp:lineTo x="6099" y="0"/>
              </wp:wrapPolygon>
            </wp:wrapTight>
            <wp:docPr id="256" name="Picture 256" descr="A hand holding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A hand holding a person&#10;&#10;Description automatically generated with medium confidence"/>
                    <pic:cNvPicPr/>
                  </pic:nvPicPr>
                  <pic:blipFill>
                    <a:blip r:embed="rId37">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Pr="00B93BE1">
        <w:rPr>
          <w:rFonts w:eastAsiaTheme="minorHAnsi" w:cstheme="minorBidi"/>
          <w:b/>
          <w:bCs/>
          <w:i w:val="0"/>
          <w:color w:val="auto"/>
          <w:sz w:val="20"/>
          <w:szCs w:val="24"/>
          <w:lang w:eastAsia="en-US"/>
        </w:rPr>
        <w:t>Supporting jobs</w:t>
      </w:r>
      <w:r w:rsidRPr="00B93BE1">
        <w:rPr>
          <w:rFonts w:eastAsiaTheme="minorHAnsi" w:cstheme="minorBidi"/>
          <w:i w:val="0"/>
          <w:color w:val="auto"/>
          <w:sz w:val="20"/>
          <w:szCs w:val="24"/>
          <w:lang w:eastAsia="en-US"/>
        </w:rPr>
        <w:t xml:space="preserve"> –</w:t>
      </w:r>
      <w:r w:rsidR="0063595C">
        <w:rPr>
          <w:rFonts w:eastAsiaTheme="minorHAnsi" w:cstheme="minorBidi"/>
          <w:i w:val="0"/>
          <w:color w:val="auto"/>
          <w:sz w:val="20"/>
          <w:szCs w:val="24"/>
          <w:lang w:eastAsia="en-US"/>
        </w:rPr>
        <w:t xml:space="preserve"> </w:t>
      </w:r>
      <w:r w:rsidR="0097607C">
        <w:rPr>
          <w:rFonts w:eastAsiaTheme="minorHAnsi" w:cstheme="minorBidi"/>
          <w:i w:val="0"/>
          <w:color w:val="auto"/>
          <w:sz w:val="20"/>
          <w:szCs w:val="24"/>
          <w:lang w:eastAsia="en-US"/>
        </w:rPr>
        <w:t>by</w:t>
      </w:r>
      <w:r w:rsidR="0097607C" w:rsidRPr="00D56CA2">
        <w:rPr>
          <w:rFonts w:eastAsiaTheme="minorHAnsi" w:cstheme="minorBidi"/>
          <w:i w:val="0"/>
          <w:color w:val="auto"/>
          <w:sz w:val="20"/>
          <w:szCs w:val="24"/>
          <w:lang w:eastAsia="en-US"/>
        </w:rPr>
        <w:t xml:space="preserve"> </w:t>
      </w:r>
      <w:r w:rsidRPr="00D56CA2">
        <w:rPr>
          <w:rFonts w:eastAsiaTheme="minorHAnsi" w:cstheme="minorBidi"/>
          <w:i w:val="0"/>
          <w:color w:val="auto"/>
          <w:sz w:val="20"/>
          <w:szCs w:val="24"/>
          <w:lang w:eastAsia="en-US"/>
        </w:rPr>
        <w:t xml:space="preserve">investing in </w:t>
      </w:r>
      <w:r w:rsidR="00F420C4">
        <w:rPr>
          <w:rFonts w:eastAsiaTheme="minorHAnsi" w:cstheme="minorBidi"/>
          <w:i w:val="0"/>
          <w:color w:val="auto"/>
          <w:sz w:val="20"/>
          <w:szCs w:val="24"/>
          <w:lang w:eastAsia="en-US"/>
        </w:rPr>
        <w:t xml:space="preserve">new energy infrastructure, developing </w:t>
      </w:r>
      <w:r w:rsidRPr="00D56CA2">
        <w:rPr>
          <w:rFonts w:eastAsiaTheme="minorHAnsi" w:cstheme="minorBidi"/>
          <w:i w:val="0"/>
          <w:color w:val="auto"/>
          <w:sz w:val="20"/>
          <w:szCs w:val="24"/>
          <w:lang w:eastAsia="en-US"/>
        </w:rPr>
        <w:t xml:space="preserve">Queensland Renewable Energy Zones, implementing the enhanced </w:t>
      </w:r>
      <w:r w:rsidRPr="007F601E">
        <w:rPr>
          <w:rFonts w:eastAsiaTheme="minorHAnsi" w:cstheme="minorBidi"/>
          <w:color w:val="auto"/>
          <w:sz w:val="20"/>
          <w:szCs w:val="24"/>
          <w:lang w:eastAsia="en-US"/>
        </w:rPr>
        <w:t>Queensland Procurement Policy</w:t>
      </w:r>
      <w:r w:rsidRPr="00D56CA2">
        <w:rPr>
          <w:rFonts w:eastAsiaTheme="minorHAnsi" w:cstheme="minorBidi"/>
          <w:i w:val="0"/>
          <w:color w:val="auto"/>
          <w:sz w:val="20"/>
          <w:szCs w:val="24"/>
          <w:lang w:eastAsia="en-US"/>
        </w:rPr>
        <w:t xml:space="preserve">, and supporting traditional jobs in our regions while driving clean economy investment and </w:t>
      </w:r>
      <w:r w:rsidR="00975B5C">
        <w:rPr>
          <w:rFonts w:eastAsiaTheme="minorHAnsi" w:cstheme="minorBidi"/>
          <w:i w:val="0"/>
          <w:color w:val="auto"/>
          <w:sz w:val="20"/>
          <w:szCs w:val="24"/>
          <w:lang w:eastAsia="en-US"/>
        </w:rPr>
        <w:t xml:space="preserve">new </w:t>
      </w:r>
      <w:r w:rsidRPr="00D56CA2">
        <w:rPr>
          <w:rFonts w:eastAsiaTheme="minorHAnsi" w:cstheme="minorBidi"/>
          <w:i w:val="0"/>
          <w:color w:val="auto"/>
          <w:sz w:val="20"/>
          <w:szCs w:val="24"/>
          <w:lang w:eastAsia="en-US"/>
        </w:rPr>
        <w:t xml:space="preserve">jobs through measures to meet emissions reduction targets legislated under the </w:t>
      </w:r>
      <w:r w:rsidRPr="009F76D0">
        <w:rPr>
          <w:rFonts w:eastAsiaTheme="minorHAnsi" w:cstheme="minorBidi"/>
          <w:iCs/>
          <w:color w:val="auto"/>
          <w:sz w:val="20"/>
          <w:szCs w:val="24"/>
          <w:lang w:eastAsia="en-US"/>
        </w:rPr>
        <w:t>Clean Economy Jobs Act 2024</w:t>
      </w:r>
      <w:r w:rsidRPr="00D56CA2">
        <w:rPr>
          <w:rFonts w:eastAsiaTheme="minorHAnsi" w:cstheme="minorBidi"/>
          <w:i w:val="0"/>
          <w:color w:val="auto"/>
          <w:sz w:val="20"/>
          <w:szCs w:val="24"/>
          <w:lang w:eastAsia="en-US"/>
        </w:rPr>
        <w:t>.</w:t>
      </w:r>
      <w:bookmarkEnd w:id="129"/>
      <w:bookmarkEnd w:id="130"/>
      <w:bookmarkEnd w:id="131"/>
      <w:bookmarkEnd w:id="132"/>
    </w:p>
    <w:p w14:paraId="369FEA6F" w14:textId="77777777" w:rsidR="00993ED7" w:rsidRPr="00B04533" w:rsidRDefault="00C41807" w:rsidP="002275FE">
      <w:pPr>
        <w:pStyle w:val="Heading6-AnnualReport"/>
        <w:rPr>
          <w:i w:val="0"/>
          <w:color w:val="auto"/>
          <w:highlight w:val="yellow"/>
        </w:rPr>
      </w:pPr>
      <w:bookmarkStart w:id="133" w:name="_Toc172808482"/>
      <w:bookmarkStart w:id="134" w:name="_Toc174605626"/>
      <w:bookmarkStart w:id="135" w:name="_Toc176424765"/>
      <w:bookmarkStart w:id="136" w:name="_Toc176424924"/>
      <w:r w:rsidRPr="006764DD">
        <w:rPr>
          <w:rFonts w:eastAsiaTheme="minorHAnsi" w:cstheme="minorBidi"/>
          <w:b/>
          <w:bCs/>
          <w:i w:val="0"/>
          <w:noProof/>
          <w:color w:val="auto"/>
          <w:sz w:val="20"/>
          <w:szCs w:val="24"/>
          <w:lang w:eastAsia="en-US"/>
        </w:rPr>
        <w:drawing>
          <wp:anchor distT="0" distB="0" distL="114300" distR="114300" simplePos="0" relativeHeight="251658252" behindDoc="1" locked="0" layoutInCell="1" allowOverlap="1" wp14:anchorId="33EE619C" wp14:editId="362BAD7E">
            <wp:simplePos x="0" y="0"/>
            <wp:positionH relativeFrom="column">
              <wp:posOffset>122555</wp:posOffset>
            </wp:positionH>
            <wp:positionV relativeFrom="paragraph">
              <wp:posOffset>3188</wp:posOffset>
            </wp:positionV>
            <wp:extent cx="539750" cy="539750"/>
            <wp:effectExtent l="0" t="0" r="0" b="0"/>
            <wp:wrapTight wrapText="bothSides">
              <wp:wrapPolygon edited="0">
                <wp:start x="6099" y="0"/>
                <wp:lineTo x="0" y="3049"/>
                <wp:lineTo x="0" y="17534"/>
                <wp:lineTo x="6861" y="20584"/>
                <wp:lineTo x="13722" y="20584"/>
                <wp:lineTo x="20584" y="17534"/>
                <wp:lineTo x="20584" y="3049"/>
                <wp:lineTo x="14485" y="0"/>
                <wp:lineTo x="6099" y="0"/>
              </wp:wrapPolygon>
            </wp:wrapTight>
            <wp:docPr id="53" name="Picture 53" descr="A picture containing logo, symbol, whit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 symbol, white, graphics&#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993ED7" w:rsidRPr="006764DD">
        <w:rPr>
          <w:rFonts w:eastAsiaTheme="minorHAnsi" w:cstheme="minorBidi"/>
          <w:b/>
          <w:i w:val="0"/>
          <w:color w:val="auto"/>
          <w:sz w:val="20"/>
          <w:szCs w:val="24"/>
          <w:lang w:eastAsia="en-US"/>
        </w:rPr>
        <w:t>Backing small business</w:t>
      </w:r>
      <w:r w:rsidR="00993ED7" w:rsidRPr="00B04533">
        <w:rPr>
          <w:i w:val="0"/>
          <w:color w:val="auto"/>
        </w:rPr>
        <w:t xml:space="preserve"> </w:t>
      </w:r>
      <w:r w:rsidR="00993ED7" w:rsidRPr="006764DD">
        <w:rPr>
          <w:rFonts w:eastAsiaTheme="minorHAnsi" w:cstheme="minorBidi"/>
          <w:i w:val="0"/>
          <w:color w:val="auto"/>
          <w:sz w:val="20"/>
          <w:szCs w:val="24"/>
          <w:lang w:eastAsia="en-US"/>
        </w:rPr>
        <w:t xml:space="preserve">– </w:t>
      </w:r>
      <w:r w:rsidR="005B65CC" w:rsidRPr="006764DD">
        <w:rPr>
          <w:rFonts w:eastAsiaTheme="minorHAnsi" w:cstheme="minorBidi"/>
          <w:i w:val="0"/>
          <w:color w:val="auto"/>
          <w:sz w:val="20"/>
          <w:szCs w:val="24"/>
          <w:lang w:eastAsia="en-US"/>
        </w:rPr>
        <w:t>by supporting the small and medium enterprise procurement target</w:t>
      </w:r>
      <w:r w:rsidR="00993ED7" w:rsidRPr="006764DD">
        <w:rPr>
          <w:rFonts w:eastAsiaTheme="minorHAnsi" w:cstheme="minorBidi"/>
          <w:i w:val="0"/>
          <w:color w:val="auto"/>
          <w:sz w:val="20"/>
          <w:szCs w:val="24"/>
          <w:lang w:eastAsia="en-US"/>
        </w:rPr>
        <w:t xml:space="preserve">, </w:t>
      </w:r>
      <w:r w:rsidR="00A15C87" w:rsidRPr="006764DD">
        <w:rPr>
          <w:rFonts w:eastAsiaTheme="minorHAnsi" w:cstheme="minorBidi"/>
          <w:i w:val="0"/>
          <w:color w:val="auto"/>
          <w:sz w:val="20"/>
          <w:szCs w:val="24"/>
          <w:lang w:eastAsia="en-US"/>
        </w:rPr>
        <w:t xml:space="preserve">working to ensure government does business with ethically, </w:t>
      </w:r>
      <w:proofErr w:type="gramStart"/>
      <w:r w:rsidR="00A15C87" w:rsidRPr="006764DD">
        <w:rPr>
          <w:rFonts w:eastAsiaTheme="minorHAnsi" w:cstheme="minorBidi"/>
          <w:i w:val="0"/>
          <w:color w:val="auto"/>
          <w:sz w:val="20"/>
          <w:szCs w:val="24"/>
          <w:lang w:eastAsia="en-US"/>
        </w:rPr>
        <w:t>socially</w:t>
      </w:r>
      <w:proofErr w:type="gramEnd"/>
      <w:r w:rsidR="00A15C87" w:rsidRPr="006764DD">
        <w:rPr>
          <w:rFonts w:eastAsiaTheme="minorHAnsi" w:cstheme="minorBidi"/>
          <w:i w:val="0"/>
          <w:color w:val="auto"/>
          <w:sz w:val="20"/>
          <w:szCs w:val="24"/>
          <w:lang w:eastAsia="en-US"/>
        </w:rPr>
        <w:t xml:space="preserve"> and environmentally responsible suppliers</w:t>
      </w:r>
      <w:r w:rsidR="004E07C3" w:rsidRPr="006764DD">
        <w:rPr>
          <w:rFonts w:eastAsiaTheme="minorHAnsi" w:cstheme="minorBidi"/>
          <w:i w:val="0"/>
          <w:color w:val="auto"/>
          <w:sz w:val="20"/>
          <w:szCs w:val="24"/>
          <w:lang w:eastAsia="en-US"/>
        </w:rPr>
        <w:t xml:space="preserve"> </w:t>
      </w:r>
      <w:r w:rsidR="00993ED7" w:rsidRPr="006764DD">
        <w:rPr>
          <w:rFonts w:eastAsiaTheme="minorHAnsi" w:cstheme="minorBidi"/>
          <w:i w:val="0"/>
          <w:color w:val="auto"/>
          <w:sz w:val="20"/>
          <w:szCs w:val="24"/>
          <w:lang w:eastAsia="en-US"/>
        </w:rPr>
        <w:t>and by delivering business energy savings programs.</w:t>
      </w:r>
      <w:bookmarkEnd w:id="133"/>
      <w:bookmarkEnd w:id="134"/>
      <w:bookmarkEnd w:id="135"/>
      <w:bookmarkEnd w:id="136"/>
    </w:p>
    <w:p w14:paraId="2FF17CAA" w14:textId="620475B0" w:rsidR="00C41807" w:rsidRPr="00B04533" w:rsidRDefault="00C41807" w:rsidP="00C41807">
      <w:pPr>
        <w:pStyle w:val="Heading6-AnnualReport"/>
        <w:rPr>
          <w:i w:val="0"/>
          <w:iCs/>
          <w:color w:val="auto"/>
          <w:highlight w:val="yellow"/>
        </w:rPr>
      </w:pPr>
      <w:bookmarkStart w:id="137" w:name="_Toc172808483"/>
      <w:bookmarkStart w:id="138" w:name="_Toc174605627"/>
      <w:bookmarkStart w:id="139" w:name="_Toc176424766"/>
      <w:bookmarkStart w:id="140" w:name="_Toc176424925"/>
      <w:r w:rsidRPr="006764DD">
        <w:rPr>
          <w:rFonts w:eastAsiaTheme="minorHAnsi" w:cstheme="minorBidi"/>
          <w:b/>
          <w:bCs/>
          <w:i w:val="0"/>
          <w:noProof/>
          <w:color w:val="auto"/>
          <w:sz w:val="20"/>
          <w:szCs w:val="24"/>
          <w:lang w:eastAsia="en-US"/>
        </w:rPr>
        <w:drawing>
          <wp:anchor distT="0" distB="0" distL="114300" distR="114300" simplePos="0" relativeHeight="251658253" behindDoc="1" locked="0" layoutInCell="1" allowOverlap="1" wp14:anchorId="771D7741" wp14:editId="5FACFAA6">
            <wp:simplePos x="0" y="0"/>
            <wp:positionH relativeFrom="column">
              <wp:posOffset>127126</wp:posOffset>
            </wp:positionH>
            <wp:positionV relativeFrom="paragraph">
              <wp:posOffset>144145</wp:posOffset>
            </wp:positionV>
            <wp:extent cx="540000" cy="540000"/>
            <wp:effectExtent l="0" t="0" r="0" b="0"/>
            <wp:wrapTight wrapText="bothSides">
              <wp:wrapPolygon edited="0">
                <wp:start x="6099" y="0"/>
                <wp:lineTo x="0" y="3049"/>
                <wp:lineTo x="0" y="17534"/>
                <wp:lineTo x="6861" y="20584"/>
                <wp:lineTo x="13722" y="20584"/>
                <wp:lineTo x="20584" y="17534"/>
                <wp:lineTo x="20584" y="4574"/>
                <wp:lineTo x="14485" y="0"/>
                <wp:lineTo x="6099" y="0"/>
              </wp:wrapPolygon>
            </wp:wrapTight>
            <wp:docPr id="54" name="Picture 54" descr="A white symbol with a hamm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white symbol with a hammer on a black background&#10;&#10;Description automatically generated with low confidence"/>
                    <pic:cNvPicPr/>
                  </pic:nvPicPr>
                  <pic:blipFill>
                    <a:blip r:embed="rId39">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Pr="006764DD">
        <w:rPr>
          <w:rFonts w:eastAsiaTheme="minorHAnsi" w:cstheme="minorBidi"/>
          <w:b/>
          <w:bCs/>
          <w:i w:val="0"/>
          <w:color w:val="auto"/>
          <w:sz w:val="20"/>
          <w:szCs w:val="24"/>
          <w:lang w:eastAsia="en-US"/>
        </w:rPr>
        <w:t>Making it for Queensland</w:t>
      </w:r>
      <w:r w:rsidRPr="00B04533">
        <w:rPr>
          <w:b/>
          <w:i w:val="0"/>
          <w:iCs/>
          <w:color w:val="auto"/>
        </w:rPr>
        <w:t xml:space="preserve"> </w:t>
      </w:r>
      <w:r w:rsidRPr="006764DD">
        <w:rPr>
          <w:rFonts w:eastAsiaTheme="minorHAnsi" w:cstheme="minorBidi"/>
          <w:i w:val="0"/>
          <w:color w:val="auto"/>
          <w:sz w:val="20"/>
          <w:szCs w:val="24"/>
          <w:lang w:eastAsia="en-US"/>
        </w:rPr>
        <w:t xml:space="preserve">– by investing in regions to embrace the opportunities created through energy transformation across the whole value chain including manufacturing, by supporting and investing in renewable fuels like hydrogen and sustainable liquid fuels, and </w:t>
      </w:r>
      <w:r w:rsidR="006D30AC">
        <w:rPr>
          <w:rFonts w:eastAsiaTheme="minorHAnsi" w:cstheme="minorBidi"/>
          <w:i w:val="0"/>
          <w:color w:val="auto"/>
          <w:sz w:val="20"/>
          <w:szCs w:val="24"/>
          <w:lang w:eastAsia="en-US"/>
        </w:rPr>
        <w:t xml:space="preserve">by </w:t>
      </w:r>
      <w:r w:rsidRPr="006764DD">
        <w:rPr>
          <w:rFonts w:eastAsiaTheme="minorHAnsi" w:cstheme="minorBidi"/>
          <w:i w:val="0"/>
          <w:color w:val="auto"/>
          <w:sz w:val="20"/>
          <w:szCs w:val="24"/>
          <w:lang w:eastAsia="en-US"/>
        </w:rPr>
        <w:t xml:space="preserve">signalling government’s decarbonisation commitments to encourage </w:t>
      </w:r>
      <w:r w:rsidR="00753BCA">
        <w:rPr>
          <w:rFonts w:eastAsiaTheme="minorHAnsi" w:cstheme="minorBidi"/>
          <w:i w:val="0"/>
          <w:color w:val="auto"/>
          <w:sz w:val="20"/>
          <w:szCs w:val="24"/>
          <w:lang w:eastAsia="en-US"/>
        </w:rPr>
        <w:t xml:space="preserve">the development of </w:t>
      </w:r>
      <w:r w:rsidRPr="006764DD">
        <w:rPr>
          <w:rFonts w:eastAsiaTheme="minorHAnsi" w:cstheme="minorBidi"/>
          <w:i w:val="0"/>
          <w:color w:val="auto"/>
          <w:sz w:val="20"/>
          <w:szCs w:val="24"/>
          <w:lang w:eastAsia="en-US"/>
        </w:rPr>
        <w:t>low emissions technologies.</w:t>
      </w:r>
      <w:bookmarkEnd w:id="137"/>
      <w:bookmarkEnd w:id="138"/>
      <w:bookmarkEnd w:id="139"/>
      <w:bookmarkEnd w:id="140"/>
    </w:p>
    <w:p w14:paraId="76CDB216" w14:textId="7002882D" w:rsidR="009415D8" w:rsidRDefault="00C41807" w:rsidP="009E42DD">
      <w:pPr>
        <w:pStyle w:val="DECHeading2"/>
        <w:spacing w:before="240"/>
        <w:ind w:left="1418"/>
        <w:rPr>
          <w:rFonts w:eastAsiaTheme="minorEastAsia" w:cstheme="minorBidi"/>
          <w:i/>
          <w:color w:val="auto"/>
          <w:sz w:val="20"/>
          <w:szCs w:val="20"/>
        </w:rPr>
      </w:pPr>
      <w:bookmarkStart w:id="141" w:name="_Toc172808484"/>
      <w:bookmarkStart w:id="142" w:name="_Toc174605628"/>
      <w:bookmarkStart w:id="143" w:name="_Toc176424767"/>
      <w:bookmarkStart w:id="144" w:name="_Toc176424926"/>
      <w:r w:rsidRPr="00C41807">
        <w:rPr>
          <w:rFonts w:eastAsiaTheme="minorHAnsi" w:cstheme="minorBidi"/>
          <w:b/>
          <w:bCs/>
          <w:noProof/>
          <w:color w:val="auto"/>
          <w:sz w:val="20"/>
          <w:szCs w:val="24"/>
        </w:rPr>
        <w:drawing>
          <wp:anchor distT="0" distB="0" distL="114300" distR="114300" simplePos="0" relativeHeight="251658254" behindDoc="1" locked="0" layoutInCell="1" allowOverlap="1" wp14:anchorId="62B698E1" wp14:editId="5A1AD51C">
            <wp:simplePos x="0" y="0"/>
            <wp:positionH relativeFrom="column">
              <wp:posOffset>129756</wp:posOffset>
            </wp:positionH>
            <wp:positionV relativeFrom="paragraph">
              <wp:posOffset>5715</wp:posOffset>
            </wp:positionV>
            <wp:extent cx="539750" cy="539750"/>
            <wp:effectExtent l="0" t="0" r="0" b="0"/>
            <wp:wrapTight wrapText="bothSides">
              <wp:wrapPolygon edited="0">
                <wp:start x="6099" y="0"/>
                <wp:lineTo x="0" y="3049"/>
                <wp:lineTo x="0" y="16772"/>
                <wp:lineTo x="6099" y="20584"/>
                <wp:lineTo x="13722" y="20584"/>
                <wp:lineTo x="20584" y="17534"/>
                <wp:lineTo x="20584" y="4574"/>
                <wp:lineTo x="14485" y="0"/>
                <wp:lineTo x="6099" y="0"/>
              </wp:wrapPolygon>
            </wp:wrapTight>
            <wp:docPr id="55" name="Picture 55" descr="A person holding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person holding a document&#10;&#10;Description automatically generated with low confidence"/>
                    <pic:cNvPicPr/>
                  </pic:nvPicPr>
                  <pic:blipFill>
                    <a:blip r:embed="rId40">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Pr="6CE83CF0">
        <w:rPr>
          <w:rFonts w:eastAsiaTheme="minorEastAsia" w:cstheme="minorBidi"/>
          <w:b/>
          <w:color w:val="auto"/>
          <w:sz w:val="20"/>
          <w:szCs w:val="20"/>
        </w:rPr>
        <w:t>Investing in skills</w:t>
      </w:r>
      <w:r w:rsidRPr="00B04533">
        <w:rPr>
          <w:i/>
          <w:iCs/>
        </w:rPr>
        <w:t xml:space="preserve"> </w:t>
      </w:r>
      <w:r w:rsidRPr="6CE83CF0">
        <w:rPr>
          <w:rFonts w:eastAsiaTheme="minorEastAsia" w:cstheme="minorBidi"/>
          <w:i/>
          <w:color w:val="auto"/>
          <w:sz w:val="20"/>
          <w:szCs w:val="20"/>
        </w:rPr>
        <w:t xml:space="preserve">– </w:t>
      </w:r>
      <w:r w:rsidRPr="007815EF">
        <w:rPr>
          <w:rFonts w:eastAsiaTheme="minorHAnsi" w:cstheme="minorBidi"/>
          <w:color w:val="auto"/>
          <w:sz w:val="20"/>
          <w:szCs w:val="24"/>
        </w:rPr>
        <w:t xml:space="preserve">by creating and securing jobs statewide as part of the </w:t>
      </w:r>
      <w:r w:rsidRPr="00DD6DB0">
        <w:rPr>
          <w:rFonts w:eastAsiaTheme="minorHAnsi" w:cstheme="minorBidi"/>
          <w:i/>
          <w:iCs/>
          <w:color w:val="auto"/>
          <w:sz w:val="20"/>
          <w:szCs w:val="24"/>
        </w:rPr>
        <w:t xml:space="preserve">Queensland Energy and Jobs Plan </w:t>
      </w:r>
      <w:r w:rsidRPr="007815EF">
        <w:rPr>
          <w:rFonts w:eastAsiaTheme="minorHAnsi" w:cstheme="minorBidi"/>
          <w:color w:val="auto"/>
          <w:sz w:val="20"/>
          <w:szCs w:val="24"/>
        </w:rPr>
        <w:t xml:space="preserve">and the Tradies for the Transition </w:t>
      </w:r>
      <w:r w:rsidR="00307C1D" w:rsidRPr="007815EF">
        <w:rPr>
          <w:rFonts w:eastAsiaTheme="minorHAnsi" w:cstheme="minorBidi"/>
          <w:color w:val="auto"/>
          <w:sz w:val="20"/>
          <w:szCs w:val="24"/>
        </w:rPr>
        <w:t>s</w:t>
      </w:r>
      <w:r w:rsidRPr="007815EF">
        <w:rPr>
          <w:rFonts w:eastAsiaTheme="minorHAnsi" w:cstheme="minorBidi"/>
          <w:color w:val="auto"/>
          <w:sz w:val="20"/>
          <w:szCs w:val="24"/>
        </w:rPr>
        <w:t>trategy</w:t>
      </w:r>
      <w:r w:rsidRPr="6CE83CF0">
        <w:rPr>
          <w:rFonts w:eastAsiaTheme="minorEastAsia" w:cstheme="minorBidi"/>
          <w:color w:val="auto"/>
          <w:sz w:val="20"/>
          <w:szCs w:val="20"/>
        </w:rPr>
        <w:t>.</w:t>
      </w:r>
      <w:bookmarkEnd w:id="124"/>
      <w:bookmarkEnd w:id="141"/>
      <w:bookmarkEnd w:id="142"/>
      <w:bookmarkEnd w:id="143"/>
      <w:bookmarkEnd w:id="144"/>
    </w:p>
    <w:p w14:paraId="3777F7D0" w14:textId="77777777" w:rsidR="00C41807" w:rsidRDefault="00C41807" w:rsidP="00B93E65">
      <w:pPr>
        <w:pStyle w:val="Heading6-AnnualReport"/>
        <w:ind w:left="0"/>
        <w:rPr>
          <w:b/>
          <w:bCs/>
          <w:i w:val="0"/>
          <w:iCs/>
        </w:rPr>
      </w:pPr>
      <w:bookmarkStart w:id="145" w:name="_Toc172794863"/>
      <w:bookmarkStart w:id="146" w:name="_Toc172808485"/>
    </w:p>
    <w:p w14:paraId="024F4768" w14:textId="6307A5FE" w:rsidR="00AD689B" w:rsidRPr="006764DD" w:rsidRDefault="00D63652" w:rsidP="00C41807">
      <w:pPr>
        <w:pStyle w:val="Heading6-AnnualReport"/>
        <w:rPr>
          <w:b/>
          <w:i w:val="0"/>
        </w:rPr>
      </w:pPr>
      <w:bookmarkStart w:id="147" w:name="_Toc174605629"/>
      <w:bookmarkStart w:id="148" w:name="_Toc176424768"/>
      <w:bookmarkStart w:id="149" w:name="_Toc176424927"/>
      <w:r w:rsidRPr="006764DD">
        <w:rPr>
          <w:b/>
          <w:i w:val="0"/>
        </w:rPr>
        <w:t>Better Services</w:t>
      </w:r>
      <w:bookmarkEnd w:id="145"/>
      <w:bookmarkEnd w:id="146"/>
      <w:bookmarkEnd w:id="147"/>
      <w:bookmarkEnd w:id="148"/>
      <w:bookmarkEnd w:id="149"/>
    </w:p>
    <w:p w14:paraId="36731169" w14:textId="0DE2EDFC" w:rsidR="00C41807" w:rsidRPr="009A0344" w:rsidRDefault="00C41807" w:rsidP="00C41807">
      <w:pPr>
        <w:pStyle w:val="Heading6-AnnualReport"/>
      </w:pPr>
      <w:bookmarkStart w:id="150" w:name="_Toc172808486"/>
      <w:bookmarkStart w:id="151" w:name="_Toc174605630"/>
      <w:bookmarkStart w:id="152" w:name="_Toc176424769"/>
      <w:bookmarkStart w:id="153" w:name="_Toc176424928"/>
      <w:r w:rsidRPr="006764DD">
        <w:rPr>
          <w:rFonts w:eastAsiaTheme="minorHAnsi" w:cstheme="minorBidi"/>
          <w:b/>
          <w:bCs/>
          <w:i w:val="0"/>
          <w:noProof/>
          <w:color w:val="auto"/>
          <w:sz w:val="20"/>
          <w:szCs w:val="24"/>
          <w:lang w:eastAsia="en-US"/>
        </w:rPr>
        <w:drawing>
          <wp:anchor distT="0" distB="0" distL="114300" distR="114300" simplePos="0" relativeHeight="251658255" behindDoc="1" locked="0" layoutInCell="1" allowOverlap="1" wp14:anchorId="14EE8DDB" wp14:editId="603251C2">
            <wp:simplePos x="0" y="0"/>
            <wp:positionH relativeFrom="column">
              <wp:posOffset>130823</wp:posOffset>
            </wp:positionH>
            <wp:positionV relativeFrom="paragraph">
              <wp:posOffset>64770</wp:posOffset>
            </wp:positionV>
            <wp:extent cx="540000" cy="540000"/>
            <wp:effectExtent l="0" t="0" r="0" b="0"/>
            <wp:wrapTight wrapText="bothSides">
              <wp:wrapPolygon edited="0">
                <wp:start x="6099" y="0"/>
                <wp:lineTo x="0" y="4574"/>
                <wp:lineTo x="0" y="16772"/>
                <wp:lineTo x="6099" y="20584"/>
                <wp:lineTo x="14485" y="20584"/>
                <wp:lineTo x="20584" y="16772"/>
                <wp:lineTo x="20584" y="3049"/>
                <wp:lineTo x="13722" y="0"/>
                <wp:lineTo x="6099" y="0"/>
              </wp:wrapPolygon>
            </wp:wrapTight>
            <wp:docPr id="59" name="Picture 59" descr="A white symbol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white symbol on a black background&#10;&#10;Description automatically generated with low confidence"/>
                    <pic:cNvPicPr/>
                  </pic:nvPicPr>
                  <pic:blipFill>
                    <a:blip r:embed="rId4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Pr="006764DD">
        <w:rPr>
          <w:rFonts w:eastAsiaTheme="minorHAnsi" w:cstheme="minorBidi"/>
          <w:b/>
          <w:bCs/>
          <w:i w:val="0"/>
          <w:color w:val="auto"/>
          <w:sz w:val="20"/>
          <w:szCs w:val="24"/>
          <w:lang w:eastAsia="en-US"/>
        </w:rPr>
        <w:t>Backing our frontline services</w:t>
      </w:r>
      <w:r w:rsidRPr="0021152C">
        <w:rPr>
          <w:rFonts w:eastAsiaTheme="minorHAnsi" w:cstheme="minorBidi"/>
          <w:i w:val="0"/>
          <w:color w:val="auto"/>
          <w:sz w:val="20"/>
          <w:szCs w:val="24"/>
          <w:lang w:eastAsia="en-US"/>
        </w:rPr>
        <w:t xml:space="preserve"> – </w:t>
      </w:r>
      <w:r w:rsidR="001F1C60">
        <w:rPr>
          <w:rFonts w:eastAsiaTheme="minorHAnsi" w:cstheme="minorBidi"/>
          <w:i w:val="0"/>
          <w:color w:val="auto"/>
          <w:sz w:val="20"/>
          <w:szCs w:val="24"/>
          <w:lang w:eastAsia="en-US"/>
        </w:rPr>
        <w:t>a</w:t>
      </w:r>
      <w:r w:rsidRPr="0021152C">
        <w:rPr>
          <w:rFonts w:eastAsiaTheme="minorHAnsi" w:cstheme="minorBidi"/>
          <w:i w:val="0"/>
          <w:color w:val="auto"/>
          <w:sz w:val="20"/>
          <w:szCs w:val="24"/>
          <w:lang w:eastAsia="en-US"/>
        </w:rPr>
        <w:t>s a trusted partner in fleet management</w:t>
      </w:r>
      <w:r w:rsidR="00EC0A45">
        <w:rPr>
          <w:rFonts w:eastAsiaTheme="minorHAnsi" w:cstheme="minorBidi"/>
          <w:i w:val="0"/>
          <w:color w:val="auto"/>
          <w:sz w:val="20"/>
          <w:szCs w:val="24"/>
          <w:lang w:eastAsia="en-US"/>
        </w:rPr>
        <w:t>,</w:t>
      </w:r>
      <w:r w:rsidRPr="0021152C">
        <w:rPr>
          <w:rFonts w:eastAsiaTheme="minorHAnsi" w:cstheme="minorBidi"/>
          <w:i w:val="0"/>
          <w:color w:val="auto"/>
          <w:sz w:val="20"/>
          <w:szCs w:val="24"/>
          <w:lang w:eastAsia="en-US"/>
        </w:rPr>
        <w:t xml:space="preserve"> providing value for money mobility solutions and services enabling Queensland </w:t>
      </w:r>
      <w:r w:rsidR="007071DB">
        <w:rPr>
          <w:rFonts w:eastAsiaTheme="minorHAnsi" w:cstheme="minorBidi"/>
          <w:i w:val="0"/>
          <w:color w:val="auto"/>
          <w:sz w:val="20"/>
          <w:szCs w:val="24"/>
          <w:lang w:eastAsia="en-US"/>
        </w:rPr>
        <w:t>G</w:t>
      </w:r>
      <w:r w:rsidRPr="0021152C">
        <w:rPr>
          <w:rFonts w:eastAsiaTheme="minorHAnsi" w:cstheme="minorBidi"/>
          <w:i w:val="0"/>
          <w:color w:val="auto"/>
          <w:sz w:val="20"/>
          <w:szCs w:val="24"/>
          <w:lang w:eastAsia="en-US"/>
        </w:rPr>
        <w:t>overnment agencies to safely deliver essential services to local communities. Empowering government buyers to achieve positive outcomes for Queensland through nation</w:t>
      </w:r>
      <w:r w:rsidR="00EB4072">
        <w:rPr>
          <w:rFonts w:eastAsiaTheme="minorHAnsi" w:cstheme="minorBidi"/>
          <w:i w:val="0"/>
          <w:color w:val="auto"/>
          <w:sz w:val="20"/>
          <w:szCs w:val="24"/>
          <w:lang w:eastAsia="en-US"/>
        </w:rPr>
        <w:t>-</w:t>
      </w:r>
      <w:r w:rsidRPr="0021152C">
        <w:rPr>
          <w:rFonts w:eastAsiaTheme="minorHAnsi" w:cstheme="minorBidi"/>
          <w:i w:val="0"/>
          <w:color w:val="auto"/>
          <w:sz w:val="20"/>
          <w:szCs w:val="24"/>
          <w:lang w:eastAsia="en-US"/>
        </w:rPr>
        <w:t>leading public procurement.</w:t>
      </w:r>
      <w:bookmarkEnd w:id="150"/>
      <w:bookmarkEnd w:id="151"/>
      <w:bookmarkEnd w:id="152"/>
      <w:bookmarkEnd w:id="153"/>
      <w:r w:rsidRPr="0021152C">
        <w:rPr>
          <w:rFonts w:eastAsiaTheme="minorHAnsi" w:cstheme="minorBidi"/>
          <w:i w:val="0"/>
          <w:color w:val="auto"/>
          <w:sz w:val="20"/>
          <w:szCs w:val="24"/>
          <w:lang w:eastAsia="en-US"/>
        </w:rPr>
        <w:t xml:space="preserve"> </w:t>
      </w:r>
    </w:p>
    <w:p w14:paraId="776FBE90" w14:textId="43197DE5" w:rsidR="00C41807" w:rsidRDefault="00C41807" w:rsidP="00C41807">
      <w:pPr>
        <w:pStyle w:val="Heading6-AnnualReport"/>
        <w:rPr>
          <w:b/>
          <w:bCs/>
          <w:highlight w:val="yellow"/>
        </w:rPr>
      </w:pPr>
      <w:bookmarkStart w:id="154" w:name="_Toc172808487"/>
      <w:bookmarkStart w:id="155" w:name="_Toc174605631"/>
      <w:bookmarkStart w:id="156" w:name="_Toc176424770"/>
      <w:bookmarkStart w:id="157" w:name="_Toc176424929"/>
      <w:r w:rsidRPr="0021152C">
        <w:rPr>
          <w:rFonts w:eastAsiaTheme="minorHAnsi" w:cstheme="minorBidi"/>
          <w:b/>
          <w:bCs/>
          <w:i w:val="0"/>
          <w:noProof/>
          <w:color w:val="auto"/>
          <w:sz w:val="20"/>
          <w:szCs w:val="24"/>
          <w:lang w:eastAsia="en-US"/>
        </w:rPr>
        <w:drawing>
          <wp:anchor distT="0" distB="0" distL="114300" distR="114300" simplePos="0" relativeHeight="251658256" behindDoc="1" locked="0" layoutInCell="1" allowOverlap="1" wp14:anchorId="7D452ABB" wp14:editId="79D55EC6">
            <wp:simplePos x="0" y="0"/>
            <wp:positionH relativeFrom="column">
              <wp:posOffset>128905</wp:posOffset>
            </wp:positionH>
            <wp:positionV relativeFrom="paragraph">
              <wp:posOffset>204470</wp:posOffset>
            </wp:positionV>
            <wp:extent cx="539750" cy="539750"/>
            <wp:effectExtent l="0" t="0" r="0" b="0"/>
            <wp:wrapTight wrapText="bothSides">
              <wp:wrapPolygon edited="0">
                <wp:start x="6861" y="0"/>
                <wp:lineTo x="0" y="3049"/>
                <wp:lineTo x="0" y="18296"/>
                <wp:lineTo x="6099" y="20584"/>
                <wp:lineTo x="14485" y="20584"/>
                <wp:lineTo x="20584" y="16772"/>
                <wp:lineTo x="20584" y="3049"/>
                <wp:lineTo x="13722" y="0"/>
                <wp:lineTo x="6861" y="0"/>
              </wp:wrapPolygon>
            </wp:wrapTight>
            <wp:docPr id="63" name="Picture 63" descr="A picture containing circle, graphics, symbol,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circle, graphics, symbol, black&#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Pr="0021152C">
        <w:rPr>
          <w:rFonts w:eastAsiaTheme="minorHAnsi" w:cstheme="minorBidi"/>
          <w:b/>
          <w:bCs/>
          <w:i w:val="0"/>
          <w:color w:val="auto"/>
          <w:sz w:val="20"/>
          <w:szCs w:val="24"/>
          <w:lang w:eastAsia="en-US"/>
        </w:rPr>
        <w:t>Connecting Queensland</w:t>
      </w:r>
      <w:r w:rsidRPr="00B244E2">
        <w:rPr>
          <w:b/>
          <w:bCs/>
        </w:rPr>
        <w:t xml:space="preserve"> </w:t>
      </w:r>
      <w:r w:rsidRPr="0021152C">
        <w:rPr>
          <w:rFonts w:eastAsiaTheme="minorHAnsi" w:cstheme="minorBidi"/>
          <w:i w:val="0"/>
          <w:color w:val="auto"/>
          <w:sz w:val="20"/>
          <w:szCs w:val="24"/>
          <w:lang w:eastAsia="en-US"/>
        </w:rPr>
        <w:t xml:space="preserve">– by </w:t>
      </w:r>
      <w:r w:rsidR="00F420C4">
        <w:rPr>
          <w:rFonts w:eastAsiaTheme="minorHAnsi" w:cstheme="minorBidi"/>
          <w:i w:val="0"/>
          <w:color w:val="auto"/>
          <w:sz w:val="20"/>
          <w:szCs w:val="24"/>
          <w:lang w:eastAsia="en-US"/>
        </w:rPr>
        <w:t xml:space="preserve">developing the Renewable Energy Zone planning process that includes communities in planning, </w:t>
      </w:r>
      <w:r w:rsidRPr="0021152C">
        <w:rPr>
          <w:rFonts w:eastAsiaTheme="minorHAnsi" w:cstheme="minorBidi"/>
          <w:i w:val="0"/>
          <w:color w:val="auto"/>
          <w:sz w:val="20"/>
          <w:szCs w:val="24"/>
          <w:lang w:eastAsia="en-US"/>
        </w:rPr>
        <w:t xml:space="preserve">establishing an interim Energy Industry Council to facilitate progress of the Queensland Energy Workers’ Charter and design of the Job Security Guarantee ensuring affected workers have secure choices, opportunities and pathways through the energy transformation, and making sure Queensland motorists can ease cost of living pressures by shopping around for the best priced fuel with our </w:t>
      </w:r>
      <w:r w:rsidR="00E81746">
        <w:rPr>
          <w:rFonts w:eastAsiaTheme="minorHAnsi" w:cstheme="minorBidi"/>
          <w:i w:val="0"/>
          <w:color w:val="auto"/>
          <w:sz w:val="20"/>
          <w:szCs w:val="24"/>
          <w:lang w:eastAsia="en-US"/>
        </w:rPr>
        <w:t>F</w:t>
      </w:r>
      <w:r w:rsidRPr="0021152C">
        <w:rPr>
          <w:rFonts w:eastAsiaTheme="minorHAnsi" w:cstheme="minorBidi"/>
          <w:i w:val="0"/>
          <w:color w:val="auto"/>
          <w:sz w:val="20"/>
          <w:szCs w:val="24"/>
          <w:lang w:eastAsia="en-US"/>
        </w:rPr>
        <w:t xml:space="preserve">uel </w:t>
      </w:r>
      <w:r w:rsidR="00E81746">
        <w:rPr>
          <w:rFonts w:eastAsiaTheme="minorHAnsi" w:cstheme="minorBidi"/>
          <w:i w:val="0"/>
          <w:color w:val="auto"/>
          <w:sz w:val="20"/>
          <w:szCs w:val="24"/>
          <w:lang w:eastAsia="en-US"/>
        </w:rPr>
        <w:t>P</w:t>
      </w:r>
      <w:r w:rsidRPr="0021152C">
        <w:rPr>
          <w:rFonts w:eastAsiaTheme="minorHAnsi" w:cstheme="minorBidi"/>
          <w:i w:val="0"/>
          <w:color w:val="auto"/>
          <w:sz w:val="20"/>
          <w:szCs w:val="24"/>
          <w:lang w:eastAsia="en-US"/>
        </w:rPr>
        <w:t xml:space="preserve">rice </w:t>
      </w:r>
      <w:r w:rsidR="00E81746">
        <w:rPr>
          <w:rFonts w:eastAsiaTheme="minorHAnsi" w:cstheme="minorBidi"/>
          <w:i w:val="0"/>
          <w:color w:val="auto"/>
          <w:sz w:val="20"/>
          <w:szCs w:val="24"/>
          <w:lang w:eastAsia="en-US"/>
        </w:rPr>
        <w:t>R</w:t>
      </w:r>
      <w:r w:rsidRPr="0021152C">
        <w:rPr>
          <w:rFonts w:eastAsiaTheme="minorHAnsi" w:cstheme="minorBidi"/>
          <w:i w:val="0"/>
          <w:color w:val="auto"/>
          <w:sz w:val="20"/>
          <w:szCs w:val="24"/>
          <w:lang w:eastAsia="en-US"/>
        </w:rPr>
        <w:t>eporting</w:t>
      </w:r>
      <w:r w:rsidR="00097535">
        <w:rPr>
          <w:rFonts w:eastAsiaTheme="minorHAnsi" w:cstheme="minorBidi"/>
          <w:i w:val="0"/>
          <w:color w:val="auto"/>
          <w:sz w:val="20"/>
          <w:szCs w:val="24"/>
          <w:lang w:eastAsia="en-US"/>
        </w:rPr>
        <w:t xml:space="preserve"> s</w:t>
      </w:r>
      <w:r w:rsidRPr="0021152C">
        <w:rPr>
          <w:rFonts w:eastAsiaTheme="minorHAnsi" w:cstheme="minorBidi"/>
          <w:i w:val="0"/>
          <w:color w:val="auto"/>
          <w:sz w:val="20"/>
          <w:szCs w:val="24"/>
          <w:lang w:eastAsia="en-US"/>
        </w:rPr>
        <w:t>cheme.</w:t>
      </w:r>
      <w:bookmarkEnd w:id="154"/>
      <w:bookmarkEnd w:id="155"/>
      <w:bookmarkEnd w:id="156"/>
      <w:bookmarkEnd w:id="157"/>
      <w:r w:rsidRPr="005B35EA">
        <w:rPr>
          <w:color w:val="auto"/>
        </w:rPr>
        <w:t xml:space="preserve"> </w:t>
      </w:r>
    </w:p>
    <w:p w14:paraId="58DEF0A2" w14:textId="77777777" w:rsidR="00255D7B" w:rsidRDefault="00255D7B" w:rsidP="00C41807">
      <w:pPr>
        <w:pStyle w:val="DECHeading2"/>
        <w:rPr>
          <w:rFonts w:eastAsiaTheme="minorHAnsi" w:cstheme="minorBidi"/>
          <w:i/>
          <w:color w:val="auto"/>
          <w:sz w:val="20"/>
          <w:szCs w:val="24"/>
        </w:rPr>
      </w:pPr>
    </w:p>
    <w:p w14:paraId="76D96E05" w14:textId="77777777" w:rsidR="008457AC" w:rsidRPr="0021152C" w:rsidRDefault="008457AC" w:rsidP="0021152C">
      <w:pPr>
        <w:pStyle w:val="Heading6-AnnualReport"/>
        <w:rPr>
          <w:b/>
          <w:i w:val="0"/>
        </w:rPr>
      </w:pPr>
      <w:bookmarkStart w:id="158" w:name="_Toc172794864"/>
      <w:bookmarkStart w:id="159" w:name="_Toc172808488"/>
      <w:bookmarkStart w:id="160" w:name="_Toc174605632"/>
      <w:bookmarkStart w:id="161" w:name="_Toc176424771"/>
      <w:bookmarkStart w:id="162" w:name="_Toc176424930"/>
      <w:r w:rsidRPr="0021152C">
        <w:rPr>
          <w:b/>
          <w:i w:val="0"/>
        </w:rPr>
        <w:lastRenderedPageBreak/>
        <w:t>Great Lifestyle</w:t>
      </w:r>
      <w:bookmarkEnd w:id="158"/>
      <w:bookmarkEnd w:id="159"/>
      <w:bookmarkEnd w:id="160"/>
      <w:bookmarkEnd w:id="161"/>
      <w:bookmarkEnd w:id="162"/>
    </w:p>
    <w:p w14:paraId="0E5EB8DF" w14:textId="10612ED4" w:rsidR="009415D8" w:rsidRPr="0021152C" w:rsidRDefault="009415D8" w:rsidP="009415D8">
      <w:pPr>
        <w:pStyle w:val="Heading6-AnnualReport"/>
        <w:rPr>
          <w:rFonts w:eastAsiaTheme="minorHAnsi" w:cstheme="minorBidi"/>
          <w:i w:val="0"/>
          <w:color w:val="auto"/>
          <w:sz w:val="20"/>
          <w:szCs w:val="24"/>
          <w:lang w:eastAsia="en-US"/>
        </w:rPr>
      </w:pPr>
      <w:bookmarkStart w:id="163" w:name="_Toc172808489"/>
      <w:bookmarkStart w:id="164" w:name="_Toc174605633"/>
      <w:bookmarkStart w:id="165" w:name="_Toc176424772"/>
      <w:bookmarkStart w:id="166" w:name="_Toc176424931"/>
      <w:r w:rsidRPr="0021152C">
        <w:rPr>
          <w:rFonts w:eastAsiaTheme="minorHAnsi" w:cstheme="minorBidi"/>
          <w:b/>
          <w:bCs/>
          <w:i w:val="0"/>
          <w:noProof/>
          <w:color w:val="auto"/>
          <w:sz w:val="20"/>
          <w:szCs w:val="24"/>
          <w:lang w:eastAsia="en-US"/>
        </w:rPr>
        <w:drawing>
          <wp:anchor distT="0" distB="0" distL="114300" distR="114300" simplePos="0" relativeHeight="251658244" behindDoc="1" locked="0" layoutInCell="1" allowOverlap="1" wp14:anchorId="1B5FF1CA" wp14:editId="7B4E3562">
            <wp:simplePos x="0" y="0"/>
            <wp:positionH relativeFrom="column">
              <wp:posOffset>118275</wp:posOffset>
            </wp:positionH>
            <wp:positionV relativeFrom="paragraph">
              <wp:posOffset>105466</wp:posOffset>
            </wp:positionV>
            <wp:extent cx="540000" cy="540000"/>
            <wp:effectExtent l="0" t="0" r="0" b="0"/>
            <wp:wrapTight wrapText="bothSides">
              <wp:wrapPolygon edited="0">
                <wp:start x="6099" y="0"/>
                <wp:lineTo x="0" y="4574"/>
                <wp:lineTo x="0" y="17534"/>
                <wp:lineTo x="6861" y="20584"/>
                <wp:lineTo x="14485" y="20584"/>
                <wp:lineTo x="20584" y="16772"/>
                <wp:lineTo x="20584" y="4574"/>
                <wp:lineTo x="14485" y="0"/>
                <wp:lineTo x="6099" y="0"/>
              </wp:wrapPolygon>
            </wp:wrapTight>
            <wp:docPr id="62" name="Picture 62" descr="A picture containing symbol,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picture containing symbol, graphics, white, logo&#10;&#10;Description automatically generated"/>
                    <pic:cNvPicPr/>
                  </pic:nvPicPr>
                  <pic:blipFill>
                    <a:blip r:embed="rId43">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Pr="0021152C">
        <w:rPr>
          <w:rFonts w:eastAsiaTheme="minorHAnsi" w:cstheme="minorBidi"/>
          <w:b/>
          <w:bCs/>
          <w:i w:val="0"/>
          <w:color w:val="auto"/>
          <w:sz w:val="20"/>
          <w:szCs w:val="24"/>
          <w:lang w:eastAsia="en-US"/>
        </w:rPr>
        <w:t>Protecting the environment</w:t>
      </w:r>
      <w:r w:rsidRPr="0021152C">
        <w:rPr>
          <w:rFonts w:eastAsiaTheme="minorHAnsi" w:cstheme="minorBidi"/>
          <w:i w:val="0"/>
          <w:color w:val="auto"/>
          <w:sz w:val="20"/>
          <w:szCs w:val="24"/>
          <w:lang w:eastAsia="en-US"/>
        </w:rPr>
        <w:t xml:space="preserve"> – </w:t>
      </w:r>
      <w:r w:rsidR="00F420C4">
        <w:rPr>
          <w:rFonts w:eastAsiaTheme="minorHAnsi" w:cstheme="minorBidi"/>
          <w:i w:val="0"/>
          <w:color w:val="auto"/>
          <w:sz w:val="20"/>
          <w:szCs w:val="24"/>
          <w:lang w:eastAsia="en-US"/>
        </w:rPr>
        <w:t xml:space="preserve">reducing carbon emissions </w:t>
      </w:r>
      <w:r w:rsidRPr="0021152C">
        <w:rPr>
          <w:rFonts w:eastAsiaTheme="minorHAnsi" w:cstheme="minorBidi"/>
          <w:i w:val="0"/>
          <w:color w:val="auto"/>
          <w:sz w:val="20"/>
          <w:szCs w:val="24"/>
          <w:lang w:eastAsia="en-US"/>
        </w:rPr>
        <w:t xml:space="preserve">by investing in renewables in the energy sector, including hydrogen and sustainable liquid fuels, by continuing the delivery of the </w:t>
      </w:r>
      <w:r w:rsidRPr="00EF0CE1">
        <w:rPr>
          <w:rFonts w:eastAsiaTheme="minorHAnsi" w:cstheme="minorBidi"/>
          <w:iCs/>
          <w:color w:val="auto"/>
          <w:sz w:val="20"/>
          <w:szCs w:val="24"/>
          <w:lang w:eastAsia="en-US"/>
        </w:rPr>
        <w:t>QFleet Electric Vehicle Transition Strategy 2023</w:t>
      </w:r>
      <w:r w:rsidR="00570FC8">
        <w:rPr>
          <w:rFonts w:eastAsiaTheme="minorHAnsi" w:cstheme="minorBidi"/>
          <w:iCs/>
          <w:color w:val="auto"/>
          <w:sz w:val="20"/>
          <w:szCs w:val="24"/>
          <w:lang w:eastAsia="en-US"/>
        </w:rPr>
        <w:t>–</w:t>
      </w:r>
      <w:r w:rsidRPr="00EF0CE1">
        <w:rPr>
          <w:rFonts w:eastAsiaTheme="minorHAnsi" w:cstheme="minorBidi"/>
          <w:iCs/>
          <w:color w:val="auto"/>
          <w:sz w:val="20"/>
          <w:szCs w:val="24"/>
          <w:lang w:eastAsia="en-US"/>
        </w:rPr>
        <w:t>2026,</w:t>
      </w:r>
      <w:r w:rsidRPr="0021152C">
        <w:rPr>
          <w:rFonts w:eastAsiaTheme="minorHAnsi" w:cstheme="minorBidi"/>
          <w:i w:val="0"/>
          <w:color w:val="auto"/>
          <w:sz w:val="20"/>
          <w:szCs w:val="24"/>
          <w:lang w:eastAsia="en-US"/>
        </w:rPr>
        <w:t xml:space="preserve"> by supporting sectors to decarbonise through the measures established under the </w:t>
      </w:r>
      <w:r w:rsidRPr="00EF0CE1">
        <w:rPr>
          <w:rFonts w:eastAsiaTheme="minorHAnsi" w:cstheme="minorBidi"/>
          <w:iCs/>
          <w:color w:val="auto"/>
          <w:sz w:val="20"/>
          <w:szCs w:val="24"/>
          <w:lang w:eastAsia="en-US"/>
        </w:rPr>
        <w:t>Clean Economy Jobs Act 2024</w:t>
      </w:r>
      <w:r w:rsidRPr="0021152C">
        <w:rPr>
          <w:rFonts w:eastAsiaTheme="minorHAnsi" w:cstheme="minorBidi"/>
          <w:i w:val="0"/>
          <w:color w:val="auto"/>
          <w:sz w:val="20"/>
          <w:szCs w:val="24"/>
          <w:lang w:eastAsia="en-US"/>
        </w:rPr>
        <w:t xml:space="preserve">, and by driving effective adaptation to climate change based on world-class climate science and projections under the </w:t>
      </w:r>
      <w:r w:rsidRPr="001C3727">
        <w:rPr>
          <w:rFonts w:eastAsiaTheme="minorHAnsi" w:cstheme="minorBidi"/>
          <w:color w:val="auto"/>
          <w:sz w:val="20"/>
          <w:szCs w:val="24"/>
          <w:lang w:eastAsia="en-US"/>
        </w:rPr>
        <w:t>Queensland Climate Adaptation Strategy</w:t>
      </w:r>
      <w:r w:rsidR="001C3727" w:rsidRPr="001C3727">
        <w:rPr>
          <w:rFonts w:eastAsiaTheme="minorHAnsi" w:cstheme="minorBidi"/>
          <w:iCs/>
          <w:color w:val="auto"/>
          <w:sz w:val="20"/>
          <w:szCs w:val="24"/>
          <w:lang w:eastAsia="en-US"/>
        </w:rPr>
        <w:t xml:space="preserve"> 2017–2030</w:t>
      </w:r>
      <w:r w:rsidRPr="0021152C">
        <w:rPr>
          <w:rFonts w:eastAsiaTheme="minorHAnsi" w:cstheme="minorBidi"/>
          <w:i w:val="0"/>
          <w:color w:val="auto"/>
          <w:sz w:val="20"/>
          <w:szCs w:val="24"/>
          <w:lang w:eastAsia="en-US"/>
        </w:rPr>
        <w:t>.</w:t>
      </w:r>
      <w:bookmarkEnd w:id="163"/>
      <w:bookmarkEnd w:id="164"/>
      <w:bookmarkEnd w:id="165"/>
      <w:bookmarkEnd w:id="166"/>
    </w:p>
    <w:p w14:paraId="62E6EAA6" w14:textId="742FB263" w:rsidR="009415D8" w:rsidRPr="0021152C" w:rsidRDefault="009415D8" w:rsidP="009415D8">
      <w:pPr>
        <w:pStyle w:val="Heading6-AnnualReport"/>
        <w:rPr>
          <w:rFonts w:eastAsiaTheme="minorHAnsi" w:cstheme="minorBidi"/>
          <w:i w:val="0"/>
          <w:color w:val="auto"/>
          <w:sz w:val="20"/>
          <w:szCs w:val="24"/>
          <w:lang w:eastAsia="en-US"/>
        </w:rPr>
      </w:pPr>
      <w:bookmarkStart w:id="167" w:name="_Toc172808490"/>
      <w:bookmarkStart w:id="168" w:name="_Toc174605634"/>
      <w:bookmarkStart w:id="169" w:name="_Toc176424773"/>
      <w:bookmarkStart w:id="170" w:name="_Toc176424932"/>
      <w:r w:rsidRPr="0021152C">
        <w:rPr>
          <w:rFonts w:eastAsiaTheme="minorHAnsi" w:cstheme="minorBidi"/>
          <w:b/>
          <w:bCs/>
          <w:i w:val="0"/>
          <w:noProof/>
          <w:color w:val="auto"/>
          <w:sz w:val="20"/>
          <w:szCs w:val="24"/>
          <w:lang w:eastAsia="en-US"/>
        </w:rPr>
        <w:drawing>
          <wp:anchor distT="0" distB="0" distL="114300" distR="114300" simplePos="0" relativeHeight="251658243" behindDoc="1" locked="0" layoutInCell="1" allowOverlap="1" wp14:anchorId="7C2602BD" wp14:editId="5944037F">
            <wp:simplePos x="0" y="0"/>
            <wp:positionH relativeFrom="column">
              <wp:posOffset>117475</wp:posOffset>
            </wp:positionH>
            <wp:positionV relativeFrom="paragraph">
              <wp:posOffset>26284</wp:posOffset>
            </wp:positionV>
            <wp:extent cx="540000" cy="540000"/>
            <wp:effectExtent l="0" t="0" r="0" b="0"/>
            <wp:wrapTight wrapText="bothSides">
              <wp:wrapPolygon edited="0">
                <wp:start x="6099" y="0"/>
                <wp:lineTo x="0" y="4574"/>
                <wp:lineTo x="0" y="16772"/>
                <wp:lineTo x="6099" y="20584"/>
                <wp:lineTo x="14485" y="20584"/>
                <wp:lineTo x="20584" y="16772"/>
                <wp:lineTo x="20584" y="3049"/>
                <wp:lineTo x="13722" y="0"/>
                <wp:lineTo x="6099" y="0"/>
              </wp:wrapPolygon>
            </wp:wrapTight>
            <wp:docPr id="61" name="Picture 61" descr="A picture containing symbol, graphics, white,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symbol, graphics, white, silhouette&#10;&#10;Description automatically generated"/>
                    <pic:cNvPicPr/>
                  </pic:nvPicPr>
                  <pic:blipFill>
                    <a:blip r:embed="rId44">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Pr="0021152C">
        <w:rPr>
          <w:rFonts w:eastAsiaTheme="minorHAnsi" w:cstheme="minorBidi"/>
          <w:b/>
          <w:bCs/>
          <w:i w:val="0"/>
          <w:color w:val="auto"/>
          <w:sz w:val="20"/>
          <w:szCs w:val="24"/>
          <w:lang w:eastAsia="en-US"/>
        </w:rPr>
        <w:t>Growing our regions</w:t>
      </w:r>
      <w:r w:rsidRPr="0021152C">
        <w:rPr>
          <w:rFonts w:eastAsiaTheme="minorHAnsi" w:cstheme="minorBidi"/>
          <w:i w:val="0"/>
          <w:color w:val="auto"/>
          <w:sz w:val="20"/>
          <w:szCs w:val="24"/>
          <w:lang w:eastAsia="en-US"/>
        </w:rPr>
        <w:t xml:space="preserve"> – by maximising local supplier participation in government procurement, assist</w:t>
      </w:r>
      <w:r w:rsidR="006D29D4">
        <w:rPr>
          <w:rFonts w:eastAsiaTheme="minorHAnsi" w:cstheme="minorBidi"/>
          <w:i w:val="0"/>
          <w:color w:val="auto"/>
          <w:sz w:val="20"/>
          <w:szCs w:val="24"/>
          <w:lang w:eastAsia="en-US"/>
        </w:rPr>
        <w:t>ing</w:t>
      </w:r>
      <w:r w:rsidRPr="0021152C">
        <w:rPr>
          <w:rFonts w:eastAsiaTheme="minorHAnsi" w:cstheme="minorBidi"/>
          <w:i w:val="0"/>
          <w:color w:val="auto"/>
          <w:sz w:val="20"/>
          <w:szCs w:val="24"/>
          <w:lang w:eastAsia="en-US"/>
        </w:rPr>
        <w:t xml:space="preserve"> the transition of regional businesses through the Electricity Tariff Adjustment Scheme, </w:t>
      </w:r>
      <w:r w:rsidR="001B7007">
        <w:rPr>
          <w:rFonts w:eastAsiaTheme="minorHAnsi" w:cstheme="minorBidi"/>
          <w:i w:val="0"/>
          <w:color w:val="auto"/>
          <w:sz w:val="20"/>
          <w:szCs w:val="24"/>
          <w:lang w:eastAsia="en-US"/>
        </w:rPr>
        <w:t xml:space="preserve">delivering the Supercharging Hydrogen Hubs program, </w:t>
      </w:r>
      <w:r w:rsidRPr="0021152C">
        <w:rPr>
          <w:rFonts w:eastAsiaTheme="minorHAnsi" w:cstheme="minorBidi"/>
          <w:i w:val="0"/>
          <w:color w:val="auto"/>
          <w:sz w:val="20"/>
          <w:szCs w:val="24"/>
          <w:lang w:eastAsia="en-US"/>
        </w:rPr>
        <w:t xml:space="preserve">administering the Queensland biofuels mandates to continue to drive the uptake of sustainable liquid fuels, </w:t>
      </w:r>
      <w:r w:rsidR="001B7007">
        <w:rPr>
          <w:rFonts w:eastAsiaTheme="minorHAnsi" w:cstheme="minorBidi"/>
          <w:i w:val="0"/>
          <w:color w:val="auto"/>
          <w:sz w:val="20"/>
          <w:szCs w:val="24"/>
          <w:lang w:eastAsia="en-US"/>
        </w:rPr>
        <w:t xml:space="preserve">and </w:t>
      </w:r>
      <w:r w:rsidRPr="0021152C">
        <w:rPr>
          <w:rFonts w:eastAsiaTheme="minorHAnsi" w:cstheme="minorBidi"/>
          <w:i w:val="0"/>
          <w:color w:val="auto"/>
          <w:sz w:val="20"/>
          <w:szCs w:val="24"/>
          <w:lang w:eastAsia="en-US"/>
        </w:rPr>
        <w:t xml:space="preserve">providing certainty for investment in new low emissions industries by legislating the state’s climate targets in the </w:t>
      </w:r>
      <w:r w:rsidRPr="0034178A">
        <w:rPr>
          <w:rFonts w:eastAsiaTheme="minorHAnsi" w:cstheme="minorBidi"/>
          <w:iCs/>
          <w:color w:val="auto"/>
          <w:sz w:val="20"/>
          <w:szCs w:val="24"/>
          <w:lang w:eastAsia="en-US"/>
        </w:rPr>
        <w:t>Clean Economy Jobs Act 2024</w:t>
      </w:r>
      <w:r w:rsidRPr="0021152C">
        <w:rPr>
          <w:rFonts w:eastAsiaTheme="minorHAnsi" w:cstheme="minorBidi"/>
          <w:i w:val="0"/>
          <w:color w:val="auto"/>
          <w:sz w:val="20"/>
          <w:szCs w:val="24"/>
          <w:lang w:eastAsia="en-US"/>
        </w:rPr>
        <w:t>.</w:t>
      </w:r>
      <w:bookmarkEnd w:id="167"/>
      <w:bookmarkEnd w:id="168"/>
      <w:bookmarkEnd w:id="169"/>
      <w:bookmarkEnd w:id="170"/>
      <w:r w:rsidRPr="0021152C">
        <w:rPr>
          <w:rFonts w:eastAsiaTheme="minorHAnsi" w:cstheme="minorBidi"/>
          <w:i w:val="0"/>
          <w:color w:val="auto"/>
          <w:sz w:val="20"/>
          <w:szCs w:val="24"/>
          <w:lang w:eastAsia="en-US"/>
        </w:rPr>
        <w:t xml:space="preserve"> </w:t>
      </w:r>
    </w:p>
    <w:p w14:paraId="04E622DF" w14:textId="7D209A33" w:rsidR="001615F8" w:rsidRPr="001615F8" w:rsidRDefault="009415D8" w:rsidP="0034178A">
      <w:pPr>
        <w:pStyle w:val="ListParagraph"/>
        <w:numPr>
          <w:ilvl w:val="0"/>
          <w:numId w:val="0"/>
        </w:numPr>
        <w:spacing w:after="0" w:line="259" w:lineRule="auto"/>
        <w:ind w:left="1418"/>
        <w:rPr>
          <w:rFonts w:cs="Arial"/>
          <w:szCs w:val="20"/>
        </w:rPr>
      </w:pPr>
      <w:bookmarkStart w:id="171" w:name="_Toc172808491"/>
      <w:r w:rsidRPr="001615F8">
        <w:rPr>
          <w:b/>
          <w:noProof/>
          <w:szCs w:val="20"/>
        </w:rPr>
        <w:drawing>
          <wp:anchor distT="0" distB="0" distL="114300" distR="114300" simplePos="0" relativeHeight="251658257" behindDoc="1" locked="0" layoutInCell="1" allowOverlap="1" wp14:anchorId="2146FC46" wp14:editId="71ABB83D">
            <wp:simplePos x="0" y="0"/>
            <wp:positionH relativeFrom="column">
              <wp:posOffset>125284</wp:posOffset>
            </wp:positionH>
            <wp:positionV relativeFrom="paragraph">
              <wp:posOffset>6769</wp:posOffset>
            </wp:positionV>
            <wp:extent cx="523875" cy="523875"/>
            <wp:effectExtent l="0" t="0" r="9525" b="9525"/>
            <wp:wrapTight wrapText="bothSides">
              <wp:wrapPolygon edited="0">
                <wp:start x="6284" y="0"/>
                <wp:lineTo x="0" y="4713"/>
                <wp:lineTo x="0" y="18851"/>
                <wp:lineTo x="6284" y="21207"/>
                <wp:lineTo x="14924" y="21207"/>
                <wp:lineTo x="21207" y="17280"/>
                <wp:lineTo x="21207" y="3142"/>
                <wp:lineTo x="14138" y="0"/>
                <wp:lineTo x="6284" y="0"/>
              </wp:wrapPolygon>
            </wp:wrapTight>
            <wp:docPr id="60" name="Picture 60" descr="A picture containing logo, font,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picture containing logo, font, graphics, symbol&#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Pr="001615F8">
        <w:rPr>
          <w:b/>
          <w:szCs w:val="20"/>
        </w:rPr>
        <w:t>Building Queensland</w:t>
      </w:r>
      <w:r w:rsidRPr="001615F8">
        <w:rPr>
          <w:szCs w:val="20"/>
        </w:rPr>
        <w:t xml:space="preserve"> –</w:t>
      </w:r>
      <w:r w:rsidRPr="001615F8" w:rsidDel="00A8521C">
        <w:rPr>
          <w:szCs w:val="20"/>
        </w:rPr>
        <w:t xml:space="preserve"> </w:t>
      </w:r>
      <w:bookmarkEnd w:id="171"/>
      <w:r w:rsidR="00A8521C">
        <w:rPr>
          <w:szCs w:val="20"/>
        </w:rPr>
        <w:t>w</w:t>
      </w:r>
      <w:r w:rsidR="008B4500" w:rsidRPr="001615F8">
        <w:rPr>
          <w:szCs w:val="20"/>
        </w:rPr>
        <w:t>e are building a clean</w:t>
      </w:r>
      <w:r w:rsidR="006234F7">
        <w:rPr>
          <w:szCs w:val="20"/>
        </w:rPr>
        <w:t>,</w:t>
      </w:r>
      <w:r w:rsidR="008B4500" w:rsidRPr="001615F8">
        <w:rPr>
          <w:szCs w:val="20"/>
        </w:rPr>
        <w:t xml:space="preserve"> competitive </w:t>
      </w:r>
      <w:r w:rsidR="00644080" w:rsidRPr="001615F8">
        <w:rPr>
          <w:szCs w:val="20"/>
        </w:rPr>
        <w:t xml:space="preserve">energy system </w:t>
      </w:r>
      <w:r w:rsidR="009E08BE" w:rsidRPr="001615F8">
        <w:rPr>
          <w:szCs w:val="20"/>
        </w:rPr>
        <w:t>for the Queensland economy</w:t>
      </w:r>
      <w:r w:rsidR="005C551B" w:rsidRPr="001615F8">
        <w:rPr>
          <w:szCs w:val="20"/>
        </w:rPr>
        <w:t xml:space="preserve"> and industries</w:t>
      </w:r>
      <w:r w:rsidR="006F5C9C">
        <w:rPr>
          <w:szCs w:val="20"/>
        </w:rPr>
        <w:t>, which will act</w:t>
      </w:r>
      <w:r w:rsidR="005C551B" w:rsidRPr="001615F8">
        <w:rPr>
          <w:szCs w:val="20"/>
        </w:rPr>
        <w:t xml:space="preserve"> as a platform </w:t>
      </w:r>
      <w:r w:rsidR="006534BB">
        <w:rPr>
          <w:szCs w:val="20"/>
        </w:rPr>
        <w:t xml:space="preserve">for </w:t>
      </w:r>
      <w:r w:rsidR="005C551B" w:rsidRPr="001615F8">
        <w:rPr>
          <w:szCs w:val="20"/>
        </w:rPr>
        <w:t xml:space="preserve">growth. </w:t>
      </w:r>
      <w:r w:rsidR="001615F8" w:rsidRPr="001615F8">
        <w:rPr>
          <w:rFonts w:cs="Arial"/>
          <w:szCs w:val="20"/>
        </w:rPr>
        <w:t>Our publicly owned energy businesses are leading the charge by:</w:t>
      </w:r>
    </w:p>
    <w:p w14:paraId="098C50C1" w14:textId="77777777" w:rsidR="001435B3" w:rsidRDefault="001435B3" w:rsidP="00113DF0">
      <w:pPr>
        <w:pStyle w:val="ListParagraph"/>
        <w:numPr>
          <w:ilvl w:val="0"/>
          <w:numId w:val="28"/>
        </w:numPr>
        <w:spacing w:before="0" w:after="0"/>
        <w:rPr>
          <w:rFonts w:cs="Arial"/>
          <w:szCs w:val="20"/>
        </w:rPr>
      </w:pPr>
      <w:r w:rsidRPr="00112418">
        <w:rPr>
          <w:rFonts w:cs="Arial"/>
          <w:szCs w:val="20"/>
        </w:rPr>
        <w:t>building, owning, and operating new renewable energy and storage, and partnering with the private sector to deliver clean and reliable energy to customers across the state.</w:t>
      </w:r>
    </w:p>
    <w:p w14:paraId="6D1B00A6" w14:textId="7190E5C5" w:rsidR="00FF0C12" w:rsidRPr="001435B3" w:rsidRDefault="001435B3" w:rsidP="00113DF0">
      <w:pPr>
        <w:pStyle w:val="ListParagraph"/>
        <w:numPr>
          <w:ilvl w:val="0"/>
          <w:numId w:val="28"/>
        </w:numPr>
        <w:spacing w:before="0" w:after="0"/>
        <w:rPr>
          <w:rFonts w:cs="Arial"/>
          <w:szCs w:val="20"/>
        </w:rPr>
      </w:pPr>
      <w:r>
        <w:rPr>
          <w:rFonts w:cs="Arial"/>
          <w:szCs w:val="20"/>
        </w:rPr>
        <w:t>t</w:t>
      </w:r>
      <w:r w:rsidRPr="00112418">
        <w:rPr>
          <w:rFonts w:cs="Arial"/>
          <w:szCs w:val="20"/>
        </w:rPr>
        <w:t>hrough direct equity or offtake agreements, our energy</w:t>
      </w:r>
      <w:r w:rsidR="00CA745A">
        <w:rPr>
          <w:rFonts w:cs="Arial"/>
          <w:szCs w:val="20"/>
        </w:rPr>
        <w:t xml:space="preserve"> </w:t>
      </w:r>
      <w:r w:rsidR="00E57955">
        <w:rPr>
          <w:rFonts w:cs="Arial"/>
          <w:szCs w:val="20"/>
        </w:rPr>
        <w:t>g</w:t>
      </w:r>
      <w:r w:rsidR="00CA745A">
        <w:rPr>
          <w:rFonts w:cs="Arial"/>
          <w:szCs w:val="20"/>
        </w:rPr>
        <w:t>overnment</w:t>
      </w:r>
      <w:r w:rsidR="00E57955">
        <w:rPr>
          <w:rFonts w:cs="Arial"/>
          <w:szCs w:val="20"/>
        </w:rPr>
        <w:t xml:space="preserve"> o</w:t>
      </w:r>
      <w:r w:rsidR="00CA745A">
        <w:rPr>
          <w:rFonts w:cs="Arial"/>
          <w:szCs w:val="20"/>
        </w:rPr>
        <w:t xml:space="preserve">wned </w:t>
      </w:r>
      <w:r w:rsidR="00E57955">
        <w:rPr>
          <w:rFonts w:cs="Arial"/>
          <w:szCs w:val="20"/>
        </w:rPr>
        <w:t>c</w:t>
      </w:r>
      <w:r w:rsidR="00CA745A">
        <w:rPr>
          <w:rFonts w:cs="Arial"/>
          <w:szCs w:val="20"/>
        </w:rPr>
        <w:t>orporations</w:t>
      </w:r>
      <w:r w:rsidRPr="00112418">
        <w:rPr>
          <w:rFonts w:cs="Arial"/>
          <w:szCs w:val="20"/>
        </w:rPr>
        <w:t xml:space="preserve"> </w:t>
      </w:r>
      <w:r w:rsidR="00CA745A">
        <w:rPr>
          <w:rFonts w:cs="Arial"/>
          <w:szCs w:val="20"/>
        </w:rPr>
        <w:t>(</w:t>
      </w:r>
      <w:r w:rsidRPr="00112418">
        <w:rPr>
          <w:rFonts w:cs="Arial"/>
          <w:szCs w:val="20"/>
        </w:rPr>
        <w:t>GOCs</w:t>
      </w:r>
      <w:r w:rsidR="00CA745A">
        <w:rPr>
          <w:rFonts w:cs="Arial"/>
          <w:szCs w:val="20"/>
        </w:rPr>
        <w:t>)</w:t>
      </w:r>
      <w:r w:rsidRPr="00112418">
        <w:rPr>
          <w:rFonts w:cs="Arial"/>
          <w:szCs w:val="20"/>
        </w:rPr>
        <w:t xml:space="preserve"> are cornerstone investors supporting around 5 GW of new generation and 1.15 GW of large-scale battery storage in Queensland by 2027–28, while they continue to pursue substantial further opportunities across the state.</w:t>
      </w:r>
    </w:p>
    <w:p w14:paraId="53875795" w14:textId="1267023A" w:rsidR="001615F8" w:rsidRDefault="001615F8" w:rsidP="00113DF0">
      <w:pPr>
        <w:pStyle w:val="ListParagraph"/>
        <w:numPr>
          <w:ilvl w:val="0"/>
          <w:numId w:val="28"/>
        </w:numPr>
        <w:spacing w:before="0" w:after="0"/>
        <w:rPr>
          <w:rFonts w:cs="Arial"/>
          <w:szCs w:val="20"/>
        </w:rPr>
      </w:pPr>
      <w:r w:rsidRPr="001615F8">
        <w:rPr>
          <w:rFonts w:cs="Arial"/>
          <w:szCs w:val="20"/>
        </w:rPr>
        <w:t xml:space="preserve">designing, </w:t>
      </w:r>
      <w:proofErr w:type="gramStart"/>
      <w:r w:rsidRPr="001615F8">
        <w:rPr>
          <w:rFonts w:cs="Arial"/>
          <w:szCs w:val="20"/>
        </w:rPr>
        <w:t>planning</w:t>
      </w:r>
      <w:proofErr w:type="gramEnd"/>
      <w:r w:rsidRPr="001615F8">
        <w:rPr>
          <w:rFonts w:cs="Arial"/>
          <w:szCs w:val="20"/>
        </w:rPr>
        <w:t xml:space="preserve"> and consulting with landholders on easements for </w:t>
      </w:r>
      <w:proofErr w:type="spellStart"/>
      <w:r w:rsidRPr="001615F8">
        <w:rPr>
          <w:rFonts w:cs="Arial"/>
          <w:szCs w:val="20"/>
        </w:rPr>
        <w:t>SuperGrid</w:t>
      </w:r>
      <w:proofErr w:type="spellEnd"/>
      <w:r w:rsidRPr="001615F8">
        <w:rPr>
          <w:rFonts w:cs="Arial"/>
          <w:szCs w:val="20"/>
        </w:rPr>
        <w:t xml:space="preserve"> backbone</w:t>
      </w:r>
      <w:r>
        <w:rPr>
          <w:rFonts w:cs="Arial"/>
          <w:szCs w:val="20"/>
        </w:rPr>
        <w:t xml:space="preserve"> </w:t>
      </w:r>
      <w:r w:rsidRPr="001615F8">
        <w:rPr>
          <w:rFonts w:cs="Arial"/>
          <w:szCs w:val="20"/>
        </w:rPr>
        <w:t>transmission, with these projects to progress through the new legislated Priority Transmission Investment framework</w:t>
      </w:r>
      <w:r w:rsidR="00F212B5">
        <w:rPr>
          <w:rFonts w:cs="Arial"/>
          <w:szCs w:val="20"/>
        </w:rPr>
        <w:t>.</w:t>
      </w:r>
    </w:p>
    <w:p w14:paraId="76A0551D" w14:textId="35E43525" w:rsidR="001615F8" w:rsidRDefault="001615F8" w:rsidP="00113DF0">
      <w:pPr>
        <w:pStyle w:val="ListParagraph"/>
        <w:numPr>
          <w:ilvl w:val="0"/>
          <w:numId w:val="28"/>
        </w:numPr>
        <w:spacing w:before="0" w:after="0"/>
        <w:rPr>
          <w:rFonts w:cs="Arial"/>
          <w:szCs w:val="20"/>
        </w:rPr>
      </w:pPr>
      <w:r w:rsidRPr="001615F8">
        <w:rPr>
          <w:rFonts w:cs="Arial"/>
          <w:szCs w:val="20"/>
        </w:rPr>
        <w:t xml:space="preserve">advancing the </w:t>
      </w:r>
      <w:proofErr w:type="spellStart"/>
      <w:r w:rsidRPr="001615F8">
        <w:rPr>
          <w:rFonts w:cs="Arial"/>
          <w:szCs w:val="20"/>
        </w:rPr>
        <w:t>CopperString</w:t>
      </w:r>
      <w:proofErr w:type="spellEnd"/>
      <w:r w:rsidRPr="001615F8">
        <w:rPr>
          <w:rFonts w:cs="Arial"/>
          <w:szCs w:val="20"/>
        </w:rPr>
        <w:t xml:space="preserve"> 2032 transmission line to unlock renewable energy and critical minerals investment along the corridor from Townsville to Mount Isa</w:t>
      </w:r>
      <w:r w:rsidR="00F212B5">
        <w:rPr>
          <w:rFonts w:cs="Arial"/>
          <w:szCs w:val="20"/>
        </w:rPr>
        <w:t>.</w:t>
      </w:r>
    </w:p>
    <w:p w14:paraId="395160FB" w14:textId="3E487D45" w:rsidR="001615F8" w:rsidRDefault="001615F8" w:rsidP="00113DF0">
      <w:pPr>
        <w:pStyle w:val="ListParagraph"/>
        <w:numPr>
          <w:ilvl w:val="0"/>
          <w:numId w:val="28"/>
        </w:numPr>
        <w:spacing w:before="0" w:after="0"/>
        <w:rPr>
          <w:rFonts w:cs="Arial"/>
          <w:szCs w:val="20"/>
        </w:rPr>
      </w:pPr>
      <w:r w:rsidRPr="001615F8">
        <w:rPr>
          <w:rFonts w:cs="Arial"/>
          <w:szCs w:val="20"/>
        </w:rPr>
        <w:t xml:space="preserve">undertaking assessments, consulting with </w:t>
      </w:r>
      <w:proofErr w:type="gramStart"/>
      <w:r w:rsidRPr="001615F8">
        <w:rPr>
          <w:rFonts w:cs="Arial"/>
          <w:szCs w:val="20"/>
        </w:rPr>
        <w:t>stakeholders</w:t>
      </w:r>
      <w:proofErr w:type="gramEnd"/>
      <w:r w:rsidRPr="001615F8">
        <w:rPr>
          <w:rFonts w:cs="Arial"/>
          <w:szCs w:val="20"/>
        </w:rPr>
        <w:t xml:space="preserve"> and progressing early works on the foundational Pumped Hydro Energy Storage (PHES) asset at </w:t>
      </w:r>
      <w:proofErr w:type="spellStart"/>
      <w:r w:rsidRPr="001615F8">
        <w:rPr>
          <w:rFonts w:cs="Arial"/>
          <w:szCs w:val="20"/>
        </w:rPr>
        <w:t>Borumba</w:t>
      </w:r>
      <w:proofErr w:type="spellEnd"/>
      <w:r w:rsidRPr="001615F8">
        <w:rPr>
          <w:rFonts w:cs="Arial"/>
          <w:szCs w:val="20"/>
        </w:rPr>
        <w:t xml:space="preserve"> Dam near Gympie – which will provide vital deep storage that is essential for Queensland’s</w:t>
      </w:r>
      <w:r w:rsidR="00CB1007">
        <w:rPr>
          <w:rFonts w:cs="Arial"/>
          <w:szCs w:val="20"/>
        </w:rPr>
        <w:t xml:space="preserve"> </w:t>
      </w:r>
      <w:r w:rsidR="00981B44">
        <w:rPr>
          <w:rFonts w:cs="Arial"/>
          <w:szCs w:val="20"/>
        </w:rPr>
        <w:t xml:space="preserve">energy </w:t>
      </w:r>
      <w:r w:rsidR="00981B44" w:rsidRPr="001615F8">
        <w:rPr>
          <w:rFonts w:cs="Arial"/>
          <w:szCs w:val="20"/>
        </w:rPr>
        <w:t>transformation</w:t>
      </w:r>
      <w:r w:rsidR="00981B44">
        <w:rPr>
          <w:rFonts w:cs="Arial"/>
          <w:szCs w:val="20"/>
        </w:rPr>
        <w:t xml:space="preserve">, </w:t>
      </w:r>
      <w:r w:rsidRPr="001615F8">
        <w:rPr>
          <w:rFonts w:cs="Arial"/>
          <w:szCs w:val="20"/>
        </w:rPr>
        <w:t>deliver</w:t>
      </w:r>
      <w:r w:rsidR="00981B44">
        <w:rPr>
          <w:rFonts w:cs="Arial"/>
          <w:szCs w:val="20"/>
        </w:rPr>
        <w:t>ing</w:t>
      </w:r>
      <w:r w:rsidRPr="001615F8">
        <w:rPr>
          <w:rFonts w:cs="Arial"/>
          <w:szCs w:val="20"/>
        </w:rPr>
        <w:t xml:space="preserve"> clean, reliable and affordable power for generations</w:t>
      </w:r>
      <w:r w:rsidR="00B06951">
        <w:rPr>
          <w:rFonts w:cs="Arial"/>
          <w:szCs w:val="20"/>
        </w:rPr>
        <w:t>.</w:t>
      </w:r>
    </w:p>
    <w:p w14:paraId="312F3401" w14:textId="60E51EE2" w:rsidR="009415D8" w:rsidRPr="0021152C" w:rsidRDefault="009415D8" w:rsidP="009415D8">
      <w:pPr>
        <w:pStyle w:val="Heading6-AnnualReport"/>
        <w:rPr>
          <w:rFonts w:eastAsiaTheme="minorHAnsi" w:cstheme="minorBidi"/>
          <w:i w:val="0"/>
          <w:color w:val="auto"/>
          <w:sz w:val="20"/>
          <w:szCs w:val="24"/>
          <w:lang w:eastAsia="en-US"/>
        </w:rPr>
      </w:pPr>
      <w:bookmarkStart w:id="172" w:name="_Toc172808492"/>
      <w:bookmarkStart w:id="173" w:name="_Toc174605635"/>
      <w:bookmarkStart w:id="174" w:name="_Toc176424774"/>
      <w:bookmarkStart w:id="175" w:name="_Toc176424933"/>
      <w:r w:rsidRPr="0021152C">
        <w:rPr>
          <w:rFonts w:eastAsiaTheme="minorHAnsi" w:cstheme="minorBidi"/>
          <w:b/>
          <w:bCs/>
          <w:i w:val="0"/>
          <w:noProof/>
          <w:color w:val="auto"/>
          <w:sz w:val="20"/>
          <w:szCs w:val="24"/>
          <w:lang w:eastAsia="en-US"/>
        </w:rPr>
        <w:drawing>
          <wp:anchor distT="0" distB="0" distL="114300" distR="114300" simplePos="0" relativeHeight="251658245" behindDoc="1" locked="0" layoutInCell="1" allowOverlap="1" wp14:anchorId="74FECE59" wp14:editId="6E3F3167">
            <wp:simplePos x="0" y="0"/>
            <wp:positionH relativeFrom="column">
              <wp:posOffset>117475</wp:posOffset>
            </wp:positionH>
            <wp:positionV relativeFrom="paragraph">
              <wp:posOffset>330068</wp:posOffset>
            </wp:positionV>
            <wp:extent cx="540000" cy="540000"/>
            <wp:effectExtent l="0" t="0" r="0" b="0"/>
            <wp:wrapTight wrapText="bothSides">
              <wp:wrapPolygon edited="0">
                <wp:start x="6099" y="0"/>
                <wp:lineTo x="0" y="3049"/>
                <wp:lineTo x="0" y="17534"/>
                <wp:lineTo x="6861" y="20584"/>
                <wp:lineTo x="13722" y="20584"/>
                <wp:lineTo x="20584" y="17534"/>
                <wp:lineTo x="20584" y="3049"/>
                <wp:lineTo x="14485" y="0"/>
                <wp:lineTo x="6099" y="0"/>
              </wp:wrapPolygon>
            </wp:wrapTight>
            <wp:docPr id="257" name="Picture 257" descr="A picture containing symbol, graphics, logo,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A picture containing symbol, graphics, logo, sketch&#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sidRPr="0021152C">
        <w:rPr>
          <w:rFonts w:eastAsiaTheme="minorHAnsi" w:cstheme="minorBidi"/>
          <w:b/>
          <w:bCs/>
          <w:i w:val="0"/>
          <w:color w:val="auto"/>
          <w:sz w:val="20"/>
          <w:szCs w:val="24"/>
          <w:lang w:eastAsia="en-US"/>
        </w:rPr>
        <w:t>Honouring and embracing our rich and ancient cultural history</w:t>
      </w:r>
      <w:r w:rsidRPr="0021152C">
        <w:rPr>
          <w:rFonts w:eastAsiaTheme="minorHAnsi" w:cstheme="minorBidi"/>
          <w:i w:val="0"/>
          <w:color w:val="auto"/>
          <w:sz w:val="20"/>
          <w:szCs w:val="24"/>
          <w:lang w:eastAsia="en-US"/>
        </w:rPr>
        <w:t xml:space="preserve"> – </w:t>
      </w:r>
      <w:r w:rsidR="00B825C7">
        <w:rPr>
          <w:rFonts w:eastAsiaTheme="minorHAnsi" w:cstheme="minorBidi"/>
          <w:i w:val="0"/>
          <w:color w:val="auto"/>
          <w:sz w:val="20"/>
          <w:szCs w:val="24"/>
          <w:lang w:eastAsia="en-US"/>
        </w:rPr>
        <w:t xml:space="preserve">by </w:t>
      </w:r>
      <w:r w:rsidRPr="0021152C">
        <w:rPr>
          <w:rFonts w:eastAsiaTheme="minorHAnsi" w:cstheme="minorBidi"/>
          <w:i w:val="0"/>
          <w:color w:val="auto"/>
          <w:sz w:val="20"/>
          <w:szCs w:val="24"/>
          <w:lang w:eastAsia="en-US"/>
        </w:rPr>
        <w:t xml:space="preserve">co-designing with remote First Nations communities and the Australian </w:t>
      </w:r>
      <w:r w:rsidR="00671A23">
        <w:rPr>
          <w:rFonts w:eastAsiaTheme="minorHAnsi" w:cstheme="minorBidi"/>
          <w:i w:val="0"/>
          <w:color w:val="auto"/>
          <w:sz w:val="20"/>
          <w:szCs w:val="24"/>
          <w:lang w:eastAsia="en-US"/>
        </w:rPr>
        <w:t>g</w:t>
      </w:r>
      <w:r w:rsidRPr="0021152C">
        <w:rPr>
          <w:rFonts w:eastAsiaTheme="minorHAnsi" w:cstheme="minorBidi"/>
          <w:i w:val="0"/>
          <w:color w:val="auto"/>
          <w:sz w:val="20"/>
          <w:szCs w:val="24"/>
          <w:lang w:eastAsia="en-US"/>
        </w:rPr>
        <w:t xml:space="preserve">overnment an inclusive Remote and First Nations clean energy strategy, empowering First Nations peoples as part of the energy transformation through inclusive engagement to enhance opportunities for employment and business participation. Our </w:t>
      </w:r>
      <w:r w:rsidRPr="008E7ED4">
        <w:rPr>
          <w:rFonts w:eastAsiaTheme="minorHAnsi" w:cstheme="minorBidi"/>
          <w:iCs/>
          <w:color w:val="auto"/>
          <w:sz w:val="20"/>
          <w:szCs w:val="24"/>
          <w:lang w:eastAsia="en-US"/>
        </w:rPr>
        <w:t>Buy Queensland</w:t>
      </w:r>
      <w:r w:rsidRPr="004B6C75">
        <w:rPr>
          <w:rFonts w:eastAsiaTheme="minorHAnsi" w:cstheme="minorBidi"/>
          <w:i w:val="0"/>
          <w:color w:val="auto"/>
          <w:sz w:val="20"/>
          <w:szCs w:val="24"/>
          <w:lang w:eastAsia="en-US"/>
        </w:rPr>
        <w:t xml:space="preserve"> </w:t>
      </w:r>
      <w:r w:rsidRPr="008E7ED4">
        <w:rPr>
          <w:rFonts w:eastAsiaTheme="minorHAnsi" w:cstheme="minorBidi"/>
          <w:iCs/>
          <w:color w:val="auto"/>
          <w:sz w:val="20"/>
          <w:szCs w:val="24"/>
          <w:lang w:eastAsia="en-US"/>
        </w:rPr>
        <w:t>2023</w:t>
      </w:r>
      <w:r w:rsidRPr="0021152C">
        <w:rPr>
          <w:rFonts w:eastAsiaTheme="minorHAnsi" w:cstheme="minorBidi"/>
          <w:i w:val="0"/>
          <w:color w:val="auto"/>
          <w:sz w:val="20"/>
          <w:szCs w:val="24"/>
          <w:lang w:eastAsia="en-US"/>
        </w:rPr>
        <w:t xml:space="preserve"> approach reflects the Queensland Indigenous (Aboriginal and Torres Strait Islander) Procurement Policy’s procurement target; enhances accessibility for suppliers from Aboriginal and/or Torres Strait Islander backgrounds; ensures greater diversity in common-use supply arrangements; and focuses on representing regional and remote suppliers including remote Indigenous communities. The department is continuing to build the foundation for our Path to Treaty journey following the passing of the </w:t>
      </w:r>
      <w:r w:rsidRPr="0017135A">
        <w:rPr>
          <w:rFonts w:eastAsiaTheme="minorHAnsi" w:cstheme="minorBidi"/>
          <w:iCs/>
          <w:color w:val="auto"/>
          <w:sz w:val="20"/>
          <w:szCs w:val="24"/>
          <w:lang w:eastAsia="en-US"/>
        </w:rPr>
        <w:t>Path to Treaty Act 2023</w:t>
      </w:r>
      <w:r w:rsidRPr="0021152C">
        <w:rPr>
          <w:rFonts w:eastAsiaTheme="minorHAnsi" w:cstheme="minorBidi"/>
          <w:i w:val="0"/>
          <w:color w:val="auto"/>
          <w:sz w:val="20"/>
          <w:szCs w:val="24"/>
          <w:lang w:eastAsia="en-US"/>
        </w:rPr>
        <w:t xml:space="preserve"> in May 2023.</w:t>
      </w:r>
      <w:bookmarkEnd w:id="172"/>
      <w:bookmarkEnd w:id="173"/>
      <w:bookmarkEnd w:id="174"/>
      <w:bookmarkEnd w:id="175"/>
    </w:p>
    <w:p w14:paraId="422745EC" w14:textId="5D7A00B6" w:rsidR="00230089" w:rsidRDefault="00230089" w:rsidP="00E23345">
      <w:bookmarkStart w:id="176" w:name="Protecting_the_environment_–_"/>
      <w:bookmarkEnd w:id="176"/>
    </w:p>
    <w:p w14:paraId="663BC88C" w14:textId="7FCFC41A" w:rsidR="00F65AFB" w:rsidRDefault="00F65AFB" w:rsidP="00F65AFB"/>
    <w:p w14:paraId="45AF9274" w14:textId="77777777" w:rsidR="00194FBD" w:rsidRDefault="00194FBD">
      <w:pPr>
        <w:spacing w:before="0" w:after="160" w:line="259" w:lineRule="auto"/>
        <w:rPr>
          <w:sz w:val="60"/>
          <w:szCs w:val="60"/>
        </w:rPr>
      </w:pPr>
      <w:bookmarkStart w:id="177" w:name="_Toc172794865"/>
      <w:r>
        <w:rPr>
          <w:sz w:val="60"/>
          <w:szCs w:val="60"/>
        </w:rPr>
        <w:br w:type="page"/>
      </w:r>
    </w:p>
    <w:p w14:paraId="1E8987DD" w14:textId="6BA8CC39" w:rsidR="00F65AFB" w:rsidRPr="005D7377" w:rsidRDefault="00F65AFB" w:rsidP="00E9351D">
      <w:pPr>
        <w:pStyle w:val="DECChapterHeading"/>
        <w:rPr>
          <w:sz w:val="40"/>
          <w:szCs w:val="40"/>
        </w:rPr>
      </w:pPr>
      <w:bookmarkStart w:id="178" w:name="_Toc172808493"/>
      <w:bookmarkStart w:id="179" w:name="_Toc174605636"/>
      <w:bookmarkStart w:id="180" w:name="_Toc176424775"/>
      <w:bookmarkStart w:id="181" w:name="_Toc176424934"/>
      <w:r w:rsidRPr="005D7377">
        <w:rPr>
          <w:sz w:val="40"/>
          <w:szCs w:val="40"/>
        </w:rPr>
        <w:lastRenderedPageBreak/>
        <w:t xml:space="preserve">Our services and objectives – aligning with the government’s objectives for the </w:t>
      </w:r>
      <w:proofErr w:type="gramStart"/>
      <w:r w:rsidRPr="005D7377">
        <w:rPr>
          <w:sz w:val="40"/>
          <w:szCs w:val="40"/>
        </w:rPr>
        <w:t>community</w:t>
      </w:r>
      <w:bookmarkEnd w:id="177"/>
      <w:bookmarkEnd w:id="178"/>
      <w:bookmarkEnd w:id="179"/>
      <w:bookmarkEnd w:id="180"/>
      <w:bookmarkEnd w:id="181"/>
      <w:proofErr w:type="gramEnd"/>
    </w:p>
    <w:p w14:paraId="5713F49D" w14:textId="1BF790F3" w:rsidR="001C6C7A" w:rsidRDefault="00F65AFB" w:rsidP="001C6C7A">
      <w:pPr>
        <w:pStyle w:val="BodyText"/>
      </w:pPr>
      <w:r w:rsidRPr="00817322">
        <w:t xml:space="preserve">Our </w:t>
      </w:r>
      <w:r w:rsidRPr="00E9630C">
        <w:rPr>
          <w:i/>
          <w:iCs/>
        </w:rPr>
        <w:t>Strategic Plan 2023</w:t>
      </w:r>
      <w:r w:rsidR="000E0BCB">
        <w:rPr>
          <w:i/>
          <w:iCs/>
        </w:rPr>
        <w:t>–20</w:t>
      </w:r>
      <w:r w:rsidRPr="00E9630C">
        <w:rPr>
          <w:i/>
          <w:iCs/>
        </w:rPr>
        <w:t>27</w:t>
      </w:r>
      <w:r w:rsidRPr="00817322">
        <w:t xml:space="preserve"> outline</w:t>
      </w:r>
      <w:r w:rsidR="00FF200A">
        <w:t>d</w:t>
      </w:r>
      <w:r w:rsidRPr="00817322">
        <w:t xml:space="preserve"> our vision and purpose, </w:t>
      </w:r>
      <w:proofErr w:type="gramStart"/>
      <w:r w:rsidRPr="00817322">
        <w:t>objectives</w:t>
      </w:r>
      <w:proofErr w:type="gramEnd"/>
      <w:r w:rsidRPr="00817322">
        <w:t xml:space="preserve"> and strategies, and demonstrates how the department contributes to the government’s objectives for the community. The department’s </w:t>
      </w:r>
      <w:r w:rsidR="00AF6A3B">
        <w:t>s</w:t>
      </w:r>
      <w:r w:rsidRPr="00817322">
        <w:t xml:space="preserve">trategic </w:t>
      </w:r>
      <w:r w:rsidR="00172D4F">
        <w:t>p</w:t>
      </w:r>
      <w:r w:rsidRPr="00817322">
        <w:t xml:space="preserve">lan can be found on our website at: </w:t>
      </w:r>
      <w:hyperlink r:id="rId47" w:history="1">
        <w:r w:rsidR="001C6C7A" w:rsidRPr="00684254">
          <w:rPr>
            <w:rStyle w:val="Hyperlink"/>
          </w:rPr>
          <w:t>www.energyandclimate.qld.gov.au</w:t>
        </w:r>
      </w:hyperlink>
    </w:p>
    <w:p w14:paraId="1D2DFD6F" w14:textId="2E9A3026" w:rsidR="00F65AFB" w:rsidRPr="00817322" w:rsidRDefault="001C6C7A" w:rsidP="001C6C7A">
      <w:pPr>
        <w:pStyle w:val="BodyText"/>
        <w:rPr>
          <w:rStyle w:val="Hyperlink"/>
          <w:color w:val="auto"/>
        </w:rPr>
      </w:pPr>
      <w:r>
        <w:t>Our 2023–24 Service Delivery Statements (SDS) describes our services aligned to our objectives. Both documents demonstrate how we contribute to the government’s objectives for the community.</w:t>
      </w:r>
    </w:p>
    <w:tbl>
      <w:tblP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firstRow="1" w:lastRow="1" w:firstColumn="1" w:lastColumn="1" w:noHBand="0" w:noVBand="0"/>
      </w:tblPr>
      <w:tblGrid>
        <w:gridCol w:w="3255"/>
        <w:gridCol w:w="3262"/>
        <w:gridCol w:w="3260"/>
      </w:tblGrid>
      <w:tr w:rsidR="00F65AFB" w:rsidRPr="00F024C8" w14:paraId="7266CBC7" w14:textId="77777777" w:rsidTr="00D967DA">
        <w:trPr>
          <w:trHeight w:val="748"/>
          <w:tblHeader/>
        </w:trPr>
        <w:tc>
          <w:tcPr>
            <w:tcW w:w="1665" w:type="pct"/>
            <w:shd w:val="clear" w:color="auto" w:fill="7F7F7F" w:themeFill="text2" w:themeFillTint="80"/>
          </w:tcPr>
          <w:p w14:paraId="08603E21" w14:textId="21AB53D7" w:rsidR="00F65AFB" w:rsidRPr="001208EC" w:rsidRDefault="00F65AFB" w:rsidP="007C503A">
            <w:pPr>
              <w:pStyle w:val="EPWtableheading"/>
              <w:rPr>
                <w:b w:val="0"/>
                <w:bCs w:val="0"/>
              </w:rPr>
            </w:pPr>
            <w:r w:rsidRPr="007C503A">
              <w:rPr>
                <w:b w:val="0"/>
                <w:bCs w:val="0"/>
              </w:rPr>
              <w:t>Department’s service areas (2023–24 SDS)</w:t>
            </w:r>
          </w:p>
        </w:tc>
        <w:tc>
          <w:tcPr>
            <w:tcW w:w="1668" w:type="pct"/>
            <w:shd w:val="clear" w:color="auto" w:fill="7F7F7F" w:themeFill="text2" w:themeFillTint="80"/>
          </w:tcPr>
          <w:p w14:paraId="6F3C314E" w14:textId="77777777" w:rsidR="00F65AFB" w:rsidRPr="001208EC" w:rsidRDefault="00F65AFB" w:rsidP="007C503A">
            <w:pPr>
              <w:pStyle w:val="EPWtableheading"/>
              <w:rPr>
                <w:b w:val="0"/>
                <w:bCs w:val="0"/>
              </w:rPr>
            </w:pPr>
            <w:r w:rsidRPr="007C503A">
              <w:rPr>
                <w:b w:val="0"/>
                <w:bCs w:val="0"/>
              </w:rPr>
              <w:t>Department’s objectives</w:t>
            </w:r>
          </w:p>
        </w:tc>
        <w:tc>
          <w:tcPr>
            <w:tcW w:w="1667" w:type="pct"/>
            <w:shd w:val="clear" w:color="auto" w:fill="7F7F7F" w:themeFill="text2" w:themeFillTint="80"/>
          </w:tcPr>
          <w:p w14:paraId="733C7BD0" w14:textId="325F9F65" w:rsidR="00F65AFB" w:rsidRPr="001208EC" w:rsidRDefault="00F65AFB" w:rsidP="007C503A">
            <w:pPr>
              <w:pStyle w:val="EPWtableheading"/>
              <w:rPr>
                <w:b w:val="0"/>
                <w:bCs w:val="0"/>
              </w:rPr>
            </w:pPr>
            <w:r w:rsidRPr="007C503A">
              <w:rPr>
                <w:b w:val="0"/>
                <w:bCs w:val="0"/>
              </w:rPr>
              <w:t xml:space="preserve">Government’s </w:t>
            </w:r>
            <w:r w:rsidR="00412F48">
              <w:rPr>
                <w:b w:val="0"/>
                <w:bCs w:val="0"/>
              </w:rPr>
              <w:t>o</w:t>
            </w:r>
            <w:r w:rsidRPr="007C503A">
              <w:rPr>
                <w:b w:val="0"/>
                <w:bCs w:val="0"/>
              </w:rPr>
              <w:t xml:space="preserve">bjectives for the </w:t>
            </w:r>
            <w:r w:rsidR="00B80367">
              <w:rPr>
                <w:b w:val="0"/>
                <w:bCs w:val="0"/>
              </w:rPr>
              <w:t>c</w:t>
            </w:r>
            <w:r w:rsidRPr="007C503A">
              <w:rPr>
                <w:b w:val="0"/>
                <w:bCs w:val="0"/>
              </w:rPr>
              <w:t>ommunity</w:t>
            </w:r>
          </w:p>
        </w:tc>
      </w:tr>
      <w:tr w:rsidR="00F65AFB" w14:paraId="2BDCDFE2" w14:textId="77777777" w:rsidTr="00D967DA">
        <w:trPr>
          <w:trHeight w:val="2013"/>
        </w:trPr>
        <w:tc>
          <w:tcPr>
            <w:tcW w:w="1665" w:type="pct"/>
          </w:tcPr>
          <w:p w14:paraId="6CA47CD0" w14:textId="77777777" w:rsidR="00F65AFB" w:rsidRPr="005F189E" w:rsidRDefault="00F65AFB">
            <w:pPr>
              <w:rPr>
                <w:b/>
                <w:bCs/>
              </w:rPr>
            </w:pPr>
            <w:r w:rsidRPr="005F189E">
              <w:rPr>
                <w:b/>
                <w:bCs/>
              </w:rPr>
              <w:t xml:space="preserve">Grow Queensland's energy </w:t>
            </w:r>
            <w:proofErr w:type="gramStart"/>
            <w:r w:rsidRPr="005F189E">
              <w:rPr>
                <w:b/>
                <w:bCs/>
              </w:rPr>
              <w:t>sector</w:t>
            </w:r>
            <w:proofErr w:type="gramEnd"/>
          </w:p>
          <w:p w14:paraId="7D552A93" w14:textId="77777777" w:rsidR="00F65AFB" w:rsidRPr="002F1445" w:rsidRDefault="00F65AFB">
            <w:pPr>
              <w:rPr>
                <w:color w:val="0070C0"/>
                <w:sz w:val="19"/>
                <w:highlight w:val="green"/>
              </w:rPr>
            </w:pPr>
            <w:r>
              <w:t xml:space="preserve">Lead the energy sector to deliver reliable, </w:t>
            </w:r>
            <w:proofErr w:type="gramStart"/>
            <w:r>
              <w:t>affordable</w:t>
            </w:r>
            <w:proofErr w:type="gramEnd"/>
            <w:r>
              <w:t xml:space="preserve"> and renewable energy to Queensland households and businesses.</w:t>
            </w:r>
          </w:p>
        </w:tc>
        <w:tc>
          <w:tcPr>
            <w:tcW w:w="1668" w:type="pct"/>
          </w:tcPr>
          <w:p w14:paraId="474F42B6" w14:textId="77777777" w:rsidR="00F65AFB" w:rsidRPr="00DB60DD" w:rsidRDefault="00F65AFB">
            <w:pPr>
              <w:rPr>
                <w:b/>
                <w:bCs/>
              </w:rPr>
            </w:pPr>
            <w:r w:rsidRPr="00DB60DD">
              <w:rPr>
                <w:b/>
                <w:bCs/>
              </w:rPr>
              <w:t>An affordable, cleaner energy future</w:t>
            </w:r>
          </w:p>
          <w:p w14:paraId="46BF1CF4" w14:textId="4A799F15" w:rsidR="00F65AFB" w:rsidRPr="002F1445" w:rsidRDefault="00F65AFB">
            <w:pPr>
              <w:rPr>
                <w:color w:val="0070C0"/>
                <w:highlight w:val="green"/>
              </w:rPr>
            </w:pPr>
            <w:r>
              <w:t xml:space="preserve">Underpin long-term prosperity by ensuring reliable, </w:t>
            </w:r>
            <w:proofErr w:type="gramStart"/>
            <w:r>
              <w:t>sustainable</w:t>
            </w:r>
            <w:proofErr w:type="gramEnd"/>
            <w:r>
              <w:t xml:space="preserve"> and affordable energy services and growing the renewable hydrogen and sustainable liquid fuels industr</w:t>
            </w:r>
            <w:r w:rsidR="001B7007">
              <w:t>ies</w:t>
            </w:r>
            <w:r>
              <w:t>.</w:t>
            </w:r>
          </w:p>
        </w:tc>
        <w:tc>
          <w:tcPr>
            <w:tcW w:w="1667" w:type="pct"/>
          </w:tcPr>
          <w:p w14:paraId="2CC69881" w14:textId="77777777" w:rsidR="00F65AFB" w:rsidRPr="00C82DF3" w:rsidRDefault="00F65AFB">
            <w:pPr>
              <w:pStyle w:val="ListParagraph"/>
            </w:pPr>
            <w:r w:rsidRPr="00C82DF3">
              <w:t>Supporting</w:t>
            </w:r>
            <w:r w:rsidRPr="00C82DF3">
              <w:rPr>
                <w:spacing w:val="-5"/>
              </w:rPr>
              <w:t xml:space="preserve"> </w:t>
            </w:r>
            <w:r w:rsidRPr="00C82DF3">
              <w:t>jobs</w:t>
            </w:r>
          </w:p>
          <w:p w14:paraId="59D55ADD" w14:textId="77777777" w:rsidR="00F65AFB" w:rsidRPr="00C82DF3" w:rsidRDefault="00F65AFB">
            <w:pPr>
              <w:pStyle w:val="ListParagraph"/>
            </w:pPr>
            <w:r w:rsidRPr="00C82DF3">
              <w:t>Backing small business</w:t>
            </w:r>
          </w:p>
          <w:p w14:paraId="690BAD7E" w14:textId="77777777" w:rsidR="00F65AFB" w:rsidRPr="00C82DF3" w:rsidRDefault="00F65AFB">
            <w:pPr>
              <w:pStyle w:val="ListParagraph"/>
            </w:pPr>
            <w:r w:rsidRPr="00C82DF3">
              <w:t>Connecting Queensland</w:t>
            </w:r>
          </w:p>
          <w:p w14:paraId="000BB97B" w14:textId="77777777" w:rsidR="00F65AFB" w:rsidRPr="00C82DF3" w:rsidRDefault="00F65AFB">
            <w:pPr>
              <w:pStyle w:val="ListParagraph"/>
            </w:pPr>
            <w:r w:rsidRPr="00C82DF3">
              <w:t>Protecting the environment</w:t>
            </w:r>
          </w:p>
          <w:p w14:paraId="5CD75D14" w14:textId="77777777" w:rsidR="00F65AFB" w:rsidRPr="00C82DF3" w:rsidRDefault="00F65AFB">
            <w:pPr>
              <w:pStyle w:val="ListParagraph"/>
            </w:pPr>
            <w:r w:rsidRPr="00C82DF3">
              <w:t>Growing our</w:t>
            </w:r>
            <w:r w:rsidRPr="00C82DF3">
              <w:rPr>
                <w:spacing w:val="-6"/>
              </w:rPr>
              <w:t xml:space="preserve"> </w:t>
            </w:r>
            <w:r w:rsidRPr="00C82DF3">
              <w:t>regions</w:t>
            </w:r>
          </w:p>
          <w:p w14:paraId="4D1AA75A" w14:textId="02CD7A01" w:rsidR="00F65AFB" w:rsidRDefault="00F65AFB">
            <w:pPr>
              <w:pStyle w:val="ListParagraph"/>
            </w:pPr>
            <w:r w:rsidRPr="00C82DF3">
              <w:t>Building</w:t>
            </w:r>
            <w:r w:rsidRPr="00C82DF3">
              <w:rPr>
                <w:spacing w:val="-1"/>
              </w:rPr>
              <w:t xml:space="preserve"> </w:t>
            </w:r>
            <w:r w:rsidRPr="00C82DF3">
              <w:t>Queensland</w:t>
            </w:r>
          </w:p>
          <w:p w14:paraId="1292FC11" w14:textId="77777777" w:rsidR="00F65AFB" w:rsidRPr="00C82DF3" w:rsidRDefault="00F65AFB">
            <w:pPr>
              <w:pStyle w:val="ListParagraph"/>
            </w:pPr>
            <w:r w:rsidRPr="00C82DF3">
              <w:t>Honouring and embracing our rich and ancient cultural history</w:t>
            </w:r>
          </w:p>
        </w:tc>
      </w:tr>
      <w:tr w:rsidR="00F65AFB" w14:paraId="02947B27" w14:textId="77777777" w:rsidTr="008447D4">
        <w:trPr>
          <w:trHeight w:val="2630"/>
        </w:trPr>
        <w:tc>
          <w:tcPr>
            <w:tcW w:w="1665" w:type="pct"/>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5385B46C" w14:textId="77777777" w:rsidR="00F65AFB" w:rsidRPr="00DF369F" w:rsidRDefault="00F65AFB">
            <w:pPr>
              <w:rPr>
                <w:b/>
                <w:bCs/>
              </w:rPr>
            </w:pPr>
            <w:r w:rsidRPr="00DF369F">
              <w:rPr>
                <w:b/>
                <w:bCs/>
              </w:rPr>
              <w:t xml:space="preserve">Procurement policy and enabling </w:t>
            </w:r>
            <w:proofErr w:type="gramStart"/>
            <w:r w:rsidRPr="00DF369F">
              <w:rPr>
                <w:b/>
                <w:bCs/>
              </w:rPr>
              <w:t>services</w:t>
            </w:r>
            <w:proofErr w:type="gramEnd"/>
            <w:r w:rsidRPr="00DF369F">
              <w:rPr>
                <w:b/>
                <w:bCs/>
              </w:rPr>
              <w:t xml:space="preserve"> </w:t>
            </w:r>
          </w:p>
          <w:p w14:paraId="4B676C79" w14:textId="374B88E5" w:rsidR="00F65AFB" w:rsidRPr="002F1445" w:rsidRDefault="00F65AFB">
            <w:pPr>
              <w:rPr>
                <w:b/>
                <w:bCs/>
                <w:color w:val="0070C0"/>
              </w:rPr>
            </w:pPr>
            <w:r>
              <w:t>Lead whole</w:t>
            </w:r>
            <w:r w:rsidR="004228A3">
              <w:t>-</w:t>
            </w:r>
            <w:r>
              <w:t>of</w:t>
            </w:r>
            <w:r w:rsidR="004228A3">
              <w:t>-</w:t>
            </w:r>
            <w:r>
              <w:t xml:space="preserve">government procurement practices that leverage </w:t>
            </w:r>
            <w:r w:rsidR="000421CC">
              <w:t>g</w:t>
            </w:r>
            <w:r>
              <w:t>overnment's buying power to prioritise Queensland businesses and jobs and ethical supply chains.</w:t>
            </w:r>
          </w:p>
        </w:tc>
        <w:tc>
          <w:tcPr>
            <w:tcW w:w="1668" w:type="pct"/>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59B9449C" w14:textId="77777777" w:rsidR="00F65AFB" w:rsidRPr="003610F5" w:rsidRDefault="00F65AFB">
            <w:pPr>
              <w:rPr>
                <w:b/>
                <w:bCs/>
              </w:rPr>
            </w:pPr>
            <w:r w:rsidRPr="003610F5">
              <w:rPr>
                <w:b/>
                <w:bCs/>
              </w:rPr>
              <w:t xml:space="preserve">Nation-leading procurement </w:t>
            </w:r>
          </w:p>
          <w:p w14:paraId="3389E8AB" w14:textId="5A351341" w:rsidR="00F65AFB" w:rsidRPr="002F1445" w:rsidRDefault="00F65AFB">
            <w:pPr>
              <w:rPr>
                <w:color w:val="0070C0"/>
              </w:rPr>
            </w:pPr>
            <w:r>
              <w:t xml:space="preserve">Prioritise Queensland businesses and jobs through leading-edge, ethical procurement practices that leverage </w:t>
            </w:r>
            <w:r w:rsidR="00D45B6D">
              <w:t>g</w:t>
            </w:r>
            <w:r>
              <w:t>overnment’s buying power.</w:t>
            </w:r>
          </w:p>
        </w:tc>
        <w:tc>
          <w:tcPr>
            <w:tcW w:w="1667" w:type="pct"/>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CAFB359" w14:textId="77777777" w:rsidR="00F65AFB" w:rsidRPr="00E116EF" w:rsidRDefault="00F65AFB">
            <w:pPr>
              <w:pStyle w:val="ListParagraph"/>
              <w:rPr>
                <w:color w:val="000000" w:themeColor="text1"/>
              </w:rPr>
            </w:pPr>
            <w:r w:rsidRPr="00E116EF">
              <w:rPr>
                <w:color w:val="000000" w:themeColor="text1"/>
              </w:rPr>
              <w:t>Supporting</w:t>
            </w:r>
            <w:r w:rsidRPr="00E116EF">
              <w:rPr>
                <w:color w:val="000000" w:themeColor="text1"/>
                <w:spacing w:val="-5"/>
              </w:rPr>
              <w:t xml:space="preserve"> </w:t>
            </w:r>
            <w:r w:rsidRPr="00E116EF">
              <w:rPr>
                <w:color w:val="000000" w:themeColor="text1"/>
              </w:rPr>
              <w:t>jobs</w:t>
            </w:r>
          </w:p>
          <w:p w14:paraId="0B804543" w14:textId="77777777" w:rsidR="00F65AFB" w:rsidRPr="00E116EF" w:rsidRDefault="00F65AFB">
            <w:pPr>
              <w:pStyle w:val="ListParagraph"/>
              <w:rPr>
                <w:color w:val="000000" w:themeColor="text1"/>
              </w:rPr>
            </w:pPr>
            <w:r w:rsidRPr="00E116EF">
              <w:rPr>
                <w:color w:val="000000" w:themeColor="text1"/>
              </w:rPr>
              <w:t>Making it for Queensland</w:t>
            </w:r>
          </w:p>
          <w:p w14:paraId="52EDCC58" w14:textId="77777777" w:rsidR="00F65AFB" w:rsidRPr="00E116EF" w:rsidRDefault="00F65AFB">
            <w:pPr>
              <w:pStyle w:val="ListParagraph"/>
              <w:rPr>
                <w:color w:val="000000" w:themeColor="text1"/>
              </w:rPr>
            </w:pPr>
            <w:r w:rsidRPr="00E116EF">
              <w:rPr>
                <w:color w:val="000000" w:themeColor="text1"/>
              </w:rPr>
              <w:t>Protecting the environment</w:t>
            </w:r>
          </w:p>
          <w:p w14:paraId="07C51DDE" w14:textId="77777777" w:rsidR="00F65AFB" w:rsidRPr="00E116EF" w:rsidRDefault="00F65AFB">
            <w:pPr>
              <w:pStyle w:val="ListParagraph"/>
              <w:rPr>
                <w:color w:val="000000" w:themeColor="text1"/>
              </w:rPr>
            </w:pPr>
            <w:r w:rsidRPr="00E116EF">
              <w:rPr>
                <w:color w:val="000000" w:themeColor="text1"/>
              </w:rPr>
              <w:t>Growing our</w:t>
            </w:r>
            <w:r w:rsidRPr="00E116EF">
              <w:rPr>
                <w:color w:val="000000" w:themeColor="text1"/>
                <w:spacing w:val="-6"/>
              </w:rPr>
              <w:t xml:space="preserve"> </w:t>
            </w:r>
            <w:r w:rsidRPr="00E116EF">
              <w:rPr>
                <w:color w:val="000000" w:themeColor="text1"/>
              </w:rPr>
              <w:t>regions</w:t>
            </w:r>
          </w:p>
          <w:p w14:paraId="30179595" w14:textId="77777777" w:rsidR="00F65AFB" w:rsidRPr="00E116EF" w:rsidRDefault="00F65AFB">
            <w:pPr>
              <w:pStyle w:val="ListParagraph"/>
              <w:rPr>
                <w:color w:val="000000" w:themeColor="text1"/>
              </w:rPr>
            </w:pPr>
            <w:r w:rsidRPr="00E116EF">
              <w:rPr>
                <w:color w:val="000000" w:themeColor="text1"/>
              </w:rPr>
              <w:t>Building</w:t>
            </w:r>
            <w:r w:rsidRPr="00E116EF">
              <w:rPr>
                <w:color w:val="000000" w:themeColor="text1"/>
                <w:spacing w:val="-1"/>
              </w:rPr>
              <w:t xml:space="preserve"> </w:t>
            </w:r>
            <w:r w:rsidRPr="00E116EF">
              <w:rPr>
                <w:color w:val="000000" w:themeColor="text1"/>
              </w:rPr>
              <w:t>Queensland</w:t>
            </w:r>
          </w:p>
          <w:p w14:paraId="13D236FE" w14:textId="77777777" w:rsidR="00F65AFB" w:rsidRPr="00E116EF" w:rsidRDefault="00F65AFB">
            <w:pPr>
              <w:pStyle w:val="ListParagraph"/>
              <w:rPr>
                <w:color w:val="000000" w:themeColor="text1"/>
              </w:rPr>
            </w:pPr>
            <w:r w:rsidRPr="00E116EF">
              <w:rPr>
                <w:color w:val="000000" w:themeColor="text1"/>
              </w:rPr>
              <w:t>Honouring and embracing our rich and ancient cultural history</w:t>
            </w:r>
          </w:p>
        </w:tc>
      </w:tr>
      <w:tr w:rsidR="00F65AFB" w14:paraId="52EAB55E" w14:textId="77777777" w:rsidTr="00D967DA">
        <w:trPr>
          <w:trHeight w:val="1977"/>
        </w:trPr>
        <w:tc>
          <w:tcPr>
            <w:tcW w:w="1665" w:type="pct"/>
          </w:tcPr>
          <w:p w14:paraId="15454895" w14:textId="05EC7DE9" w:rsidR="00F65AFB" w:rsidRPr="00E116EF" w:rsidRDefault="00F65AFB">
            <w:pPr>
              <w:pStyle w:val="BodyText"/>
              <w:rPr>
                <w:b/>
                <w:bCs/>
              </w:rPr>
            </w:pPr>
            <w:r w:rsidRPr="00E116EF">
              <w:rPr>
                <w:b/>
                <w:bCs/>
              </w:rPr>
              <w:t xml:space="preserve">QFleet </w:t>
            </w:r>
          </w:p>
          <w:p w14:paraId="1DFE4590" w14:textId="77777777" w:rsidR="00F65AFB" w:rsidRPr="002F1445" w:rsidRDefault="00F65AFB">
            <w:pPr>
              <w:pStyle w:val="BodyText"/>
              <w:rPr>
                <w:color w:val="0070C0"/>
              </w:rPr>
            </w:pPr>
            <w:r>
              <w:t>To provide a central pool of expertise in fleet management and fleet management services, to enable government and government-funded organisations to safely deliver frontline services to the community.</w:t>
            </w:r>
          </w:p>
        </w:tc>
        <w:tc>
          <w:tcPr>
            <w:tcW w:w="1668" w:type="pct"/>
          </w:tcPr>
          <w:p w14:paraId="1A2FE983" w14:textId="77777777" w:rsidR="00C93034" w:rsidRPr="00BD5156" w:rsidRDefault="00C93034" w:rsidP="00C93034">
            <w:pPr>
              <w:rPr>
                <w:b/>
                <w:bCs/>
              </w:rPr>
            </w:pPr>
            <w:r w:rsidRPr="00BD5156">
              <w:rPr>
                <w:b/>
                <w:bCs/>
              </w:rPr>
              <w:t xml:space="preserve">Drive a cleaner economy and more jobs through lower emissions and climate </w:t>
            </w:r>
            <w:proofErr w:type="gramStart"/>
            <w:r w:rsidRPr="00BD5156">
              <w:rPr>
                <w:b/>
                <w:bCs/>
              </w:rPr>
              <w:t>action</w:t>
            </w:r>
            <w:proofErr w:type="gramEnd"/>
          </w:p>
          <w:p w14:paraId="513C06D5" w14:textId="534BCA5D" w:rsidR="00F65AFB" w:rsidRPr="002F1445" w:rsidRDefault="00A319F8">
            <w:pPr>
              <w:rPr>
                <w:color w:val="0070C0"/>
              </w:rPr>
            </w:pPr>
            <w:r>
              <w:t xml:space="preserve">Transition government fleet vehicles to </w:t>
            </w:r>
            <w:r w:rsidR="00EB2C6C">
              <w:t>low emissions options</w:t>
            </w:r>
            <w:r w:rsidR="00270B8C">
              <w:t xml:space="preserve"> and continue reducing government’s operating emissions.</w:t>
            </w:r>
          </w:p>
        </w:tc>
        <w:tc>
          <w:tcPr>
            <w:tcW w:w="1667" w:type="pct"/>
          </w:tcPr>
          <w:p w14:paraId="06DF097A" w14:textId="77777777" w:rsidR="00F65AFB" w:rsidRPr="00E116EF" w:rsidRDefault="00F65AFB">
            <w:pPr>
              <w:pStyle w:val="ListParagraph"/>
              <w:rPr>
                <w:color w:val="000000" w:themeColor="text1"/>
              </w:rPr>
            </w:pPr>
            <w:r w:rsidRPr="00E116EF">
              <w:rPr>
                <w:color w:val="000000" w:themeColor="text1"/>
              </w:rPr>
              <w:t>Protecting the environment</w:t>
            </w:r>
          </w:p>
          <w:p w14:paraId="357B369B" w14:textId="77777777" w:rsidR="00F65AFB" w:rsidRPr="00E116EF" w:rsidRDefault="00F65AFB">
            <w:pPr>
              <w:pStyle w:val="ListParagraph"/>
              <w:rPr>
                <w:color w:val="000000" w:themeColor="text1"/>
              </w:rPr>
            </w:pPr>
            <w:r w:rsidRPr="00E116EF">
              <w:rPr>
                <w:color w:val="000000" w:themeColor="text1"/>
              </w:rPr>
              <w:t>Backing our frontline services</w:t>
            </w:r>
          </w:p>
        </w:tc>
      </w:tr>
      <w:tr w:rsidR="0074711D" w14:paraId="2FF95302" w14:textId="77777777" w:rsidTr="0002633B">
        <w:trPr>
          <w:trHeight w:val="2070"/>
        </w:trPr>
        <w:tc>
          <w:tcPr>
            <w:tcW w:w="1665" w:type="pct"/>
          </w:tcPr>
          <w:p w14:paraId="38232FC9" w14:textId="377A4BCD" w:rsidR="00221618" w:rsidRPr="00897962" w:rsidRDefault="00221618" w:rsidP="0074711D">
            <w:pPr>
              <w:pStyle w:val="DECNotes"/>
              <w:rPr>
                <w:b/>
                <w:sz w:val="20"/>
                <w:szCs w:val="20"/>
              </w:rPr>
            </w:pPr>
            <w:r w:rsidRPr="00897962">
              <w:rPr>
                <w:b/>
                <w:sz w:val="20"/>
                <w:szCs w:val="20"/>
              </w:rPr>
              <w:lastRenderedPageBreak/>
              <w:t>Climate: Forging Queensland’s path to future prosperity</w:t>
            </w:r>
          </w:p>
          <w:p w14:paraId="377CA0AC" w14:textId="29291D6A" w:rsidR="00221618" w:rsidRPr="00897962" w:rsidRDefault="0061585E" w:rsidP="0074711D">
            <w:pPr>
              <w:pStyle w:val="DECNotes"/>
              <w:rPr>
                <w:sz w:val="20"/>
                <w:szCs w:val="20"/>
              </w:rPr>
            </w:pPr>
            <w:r>
              <w:rPr>
                <w:sz w:val="20"/>
                <w:szCs w:val="20"/>
              </w:rPr>
              <w:t xml:space="preserve">Lead whole of government action on </w:t>
            </w:r>
            <w:r w:rsidR="002364B4">
              <w:rPr>
                <w:sz w:val="20"/>
                <w:szCs w:val="20"/>
              </w:rPr>
              <w:t>transitioning to a clean economy, backed by climate</w:t>
            </w:r>
            <w:r w:rsidR="00E23969">
              <w:rPr>
                <w:sz w:val="20"/>
                <w:szCs w:val="20"/>
              </w:rPr>
              <w:t xml:space="preserve"> adaptation, strategies, investment</w:t>
            </w:r>
            <w:r w:rsidR="007B2D8C">
              <w:rPr>
                <w:sz w:val="20"/>
                <w:szCs w:val="20"/>
              </w:rPr>
              <w:t xml:space="preserve">, </w:t>
            </w:r>
            <w:r w:rsidR="00E23969">
              <w:rPr>
                <w:sz w:val="20"/>
                <w:szCs w:val="20"/>
              </w:rPr>
              <w:t xml:space="preserve">climate </w:t>
            </w:r>
            <w:r w:rsidR="007B2D8C">
              <w:rPr>
                <w:sz w:val="20"/>
                <w:szCs w:val="20"/>
              </w:rPr>
              <w:t xml:space="preserve">science </w:t>
            </w:r>
            <w:r w:rsidR="00CD7CE0">
              <w:rPr>
                <w:sz w:val="20"/>
                <w:szCs w:val="20"/>
              </w:rPr>
              <w:t>and analytics.</w:t>
            </w:r>
          </w:p>
          <w:p w14:paraId="01C33FEB" w14:textId="35B0688B" w:rsidR="0074711D" w:rsidRPr="00E116EF" w:rsidRDefault="0074711D" w:rsidP="0002633B">
            <w:pPr>
              <w:pStyle w:val="DECNotes"/>
            </w:pPr>
            <w:r w:rsidRPr="003F4D26">
              <w:t>Note:</w:t>
            </w:r>
            <w:r>
              <w:t xml:space="preserve"> Through the machinery-of-government changes in December 2023, the Climate function transitioned into the renamed Department of Energy and Climate. Therefore, the Climate function is not reflected in the 2023–24 SDS </w:t>
            </w:r>
            <w:r w:rsidR="00C542C3">
              <w:t>but</w:t>
            </w:r>
            <w:r>
              <w:t xml:space="preserve"> is incorporated into the 2024–25 SDS.</w:t>
            </w:r>
          </w:p>
        </w:tc>
        <w:tc>
          <w:tcPr>
            <w:tcW w:w="1668" w:type="pct"/>
          </w:tcPr>
          <w:p w14:paraId="39C4CDD2" w14:textId="77777777" w:rsidR="00C93034" w:rsidRPr="00897962" w:rsidRDefault="00C93034" w:rsidP="00897962">
            <w:pPr>
              <w:rPr>
                <w:b/>
              </w:rPr>
            </w:pPr>
            <w:r w:rsidRPr="00897962">
              <w:rPr>
                <w:b/>
              </w:rPr>
              <w:t xml:space="preserve">Drive a cleaner economy and more jobs through lower emissions and climate </w:t>
            </w:r>
            <w:proofErr w:type="gramStart"/>
            <w:r w:rsidRPr="00897962">
              <w:rPr>
                <w:b/>
              </w:rPr>
              <w:t>action</w:t>
            </w:r>
            <w:proofErr w:type="gramEnd"/>
          </w:p>
          <w:p w14:paraId="3A77D172" w14:textId="20953395" w:rsidR="002E4A25" w:rsidRPr="003610F5" w:rsidRDefault="00115427">
            <w:pPr>
              <w:rPr>
                <w:b/>
                <w:bCs/>
              </w:rPr>
            </w:pPr>
            <w:r w:rsidRPr="0002633B">
              <w:t>Achieve</w:t>
            </w:r>
            <w:r w:rsidR="0002134D">
              <w:t xml:space="preserve"> Queensland </w:t>
            </w:r>
            <w:r w:rsidR="007071DB">
              <w:t>G</w:t>
            </w:r>
            <w:r w:rsidR="0002134D">
              <w:t xml:space="preserve">overnment’s </w:t>
            </w:r>
            <w:r w:rsidRPr="0002633B">
              <w:t>emissions reduction targets whilst supporting</w:t>
            </w:r>
            <w:r w:rsidR="0002134D" w:rsidRPr="0002633B">
              <w:t xml:space="preserve"> communities to build resilience and prosper in a low carbon world.</w:t>
            </w:r>
          </w:p>
        </w:tc>
        <w:tc>
          <w:tcPr>
            <w:tcW w:w="1667" w:type="pct"/>
          </w:tcPr>
          <w:p w14:paraId="6E0BC6F6" w14:textId="77777777" w:rsidR="00BD46CA" w:rsidRDefault="00BD46CA" w:rsidP="00BD46CA">
            <w:pPr>
              <w:pStyle w:val="ListParagraph"/>
              <w:rPr>
                <w:color w:val="000000" w:themeColor="text1"/>
              </w:rPr>
            </w:pPr>
            <w:r w:rsidRPr="00E116EF">
              <w:rPr>
                <w:color w:val="000000" w:themeColor="text1"/>
              </w:rPr>
              <w:t>Supporting</w:t>
            </w:r>
            <w:r w:rsidRPr="00E116EF">
              <w:rPr>
                <w:color w:val="000000" w:themeColor="text1"/>
                <w:spacing w:val="-5"/>
              </w:rPr>
              <w:t xml:space="preserve"> </w:t>
            </w:r>
            <w:r w:rsidRPr="00E116EF">
              <w:rPr>
                <w:color w:val="000000" w:themeColor="text1"/>
              </w:rPr>
              <w:t>jobs</w:t>
            </w:r>
          </w:p>
          <w:p w14:paraId="10899626" w14:textId="77777777" w:rsidR="00BD46CA" w:rsidRPr="00E116EF" w:rsidRDefault="00BD46CA" w:rsidP="00BD46CA">
            <w:pPr>
              <w:pStyle w:val="ListParagraph"/>
              <w:rPr>
                <w:color w:val="000000" w:themeColor="text1"/>
              </w:rPr>
            </w:pPr>
            <w:r w:rsidRPr="00E116EF">
              <w:rPr>
                <w:color w:val="000000" w:themeColor="text1"/>
              </w:rPr>
              <w:t>Protecting the environment</w:t>
            </w:r>
          </w:p>
          <w:p w14:paraId="113BAB1F" w14:textId="77777777" w:rsidR="0074711D" w:rsidRDefault="00BD46CA" w:rsidP="00710AA1">
            <w:pPr>
              <w:pStyle w:val="ListParagraph"/>
              <w:rPr>
                <w:color w:val="000000" w:themeColor="text1"/>
              </w:rPr>
            </w:pPr>
            <w:r w:rsidRPr="00E116EF">
              <w:rPr>
                <w:color w:val="000000" w:themeColor="text1"/>
              </w:rPr>
              <w:t>Making it for Queensland</w:t>
            </w:r>
          </w:p>
          <w:p w14:paraId="7A1C542E" w14:textId="77777777" w:rsidR="00734973" w:rsidRPr="00C82DF3" w:rsidRDefault="00734973" w:rsidP="00734973">
            <w:pPr>
              <w:pStyle w:val="ListParagraph"/>
            </w:pPr>
            <w:r w:rsidRPr="00C82DF3">
              <w:t>Growing our</w:t>
            </w:r>
            <w:r w:rsidRPr="00C82DF3">
              <w:rPr>
                <w:spacing w:val="-6"/>
              </w:rPr>
              <w:t xml:space="preserve"> </w:t>
            </w:r>
            <w:r w:rsidRPr="00C82DF3">
              <w:t>regions</w:t>
            </w:r>
          </w:p>
          <w:p w14:paraId="21AAC94D" w14:textId="055C9BDC" w:rsidR="00734973" w:rsidRPr="00897962" w:rsidRDefault="00734973" w:rsidP="00734973">
            <w:pPr>
              <w:rPr>
                <w:color w:val="000000" w:themeColor="text1"/>
              </w:rPr>
            </w:pPr>
          </w:p>
        </w:tc>
      </w:tr>
    </w:tbl>
    <w:p w14:paraId="6D8F7D9E" w14:textId="77777777" w:rsidR="00F666E6" w:rsidRDefault="00F666E6" w:rsidP="00D83FC9">
      <w:pPr>
        <w:pStyle w:val="DECheading11"/>
        <w:tabs>
          <w:tab w:val="left" w:pos="2655"/>
        </w:tabs>
      </w:pPr>
    </w:p>
    <w:p w14:paraId="20142F55" w14:textId="77777777" w:rsidR="00F666E6" w:rsidRDefault="00F666E6">
      <w:pPr>
        <w:spacing w:before="0" w:after="160" w:line="259" w:lineRule="auto"/>
        <w:rPr>
          <w:rFonts w:ascii="Arial Nova" w:eastAsia="Times New Roman" w:hAnsi="Arial Nova" w:cstheme="majorBidi"/>
          <w:color w:val="000000" w:themeColor="text1"/>
          <w:sz w:val="40"/>
          <w:szCs w:val="44"/>
          <w:lang w:eastAsia="en-GB"/>
        </w:rPr>
      </w:pPr>
      <w:r>
        <w:br w:type="page"/>
      </w:r>
    </w:p>
    <w:p w14:paraId="60963E46" w14:textId="0FD1A99F" w:rsidR="00770740" w:rsidRDefault="00770740" w:rsidP="00D83FC9">
      <w:pPr>
        <w:pStyle w:val="DECheading11"/>
        <w:tabs>
          <w:tab w:val="left" w:pos="2655"/>
        </w:tabs>
      </w:pPr>
      <w:bookmarkStart w:id="182" w:name="_Toc172794866"/>
      <w:bookmarkStart w:id="183" w:name="_Toc172806386"/>
      <w:bookmarkStart w:id="184" w:name="_Toc172806672"/>
      <w:bookmarkStart w:id="185" w:name="_Toc172808403"/>
      <w:bookmarkStart w:id="186" w:name="_Toc172808494"/>
      <w:bookmarkStart w:id="187" w:name="_Toc174605637"/>
      <w:bookmarkStart w:id="188" w:name="_Toc176424776"/>
      <w:bookmarkStart w:id="189" w:name="_Toc176424935"/>
      <w:r>
        <w:lastRenderedPageBreak/>
        <w:t>Our values</w:t>
      </w:r>
      <w:bookmarkEnd w:id="182"/>
      <w:bookmarkEnd w:id="183"/>
      <w:bookmarkEnd w:id="184"/>
      <w:bookmarkEnd w:id="185"/>
      <w:bookmarkEnd w:id="186"/>
      <w:bookmarkEnd w:id="187"/>
      <w:bookmarkEnd w:id="188"/>
      <w:bookmarkEnd w:id="189"/>
      <w:r w:rsidR="00D83FC9">
        <w:tab/>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8"/>
      </w:tblGrid>
      <w:tr w:rsidR="00D83FC9" w:rsidRPr="005133CA" w14:paraId="0AE6F36D" w14:textId="77777777" w:rsidTr="00DB2CD2">
        <w:trPr>
          <w:trHeight w:val="724"/>
        </w:trPr>
        <w:tc>
          <w:tcPr>
            <w:tcW w:w="993" w:type="dxa"/>
          </w:tcPr>
          <w:p w14:paraId="1CD5E888" w14:textId="77777777" w:rsidR="00D83FC9" w:rsidRPr="005133CA" w:rsidRDefault="00D83FC9" w:rsidP="00DB2CD2">
            <w:pPr>
              <w:pStyle w:val="BodyText"/>
            </w:pPr>
            <w:r w:rsidRPr="005133CA">
              <w:rPr>
                <w:noProof/>
              </w:rPr>
              <w:drawing>
                <wp:anchor distT="0" distB="0" distL="0" distR="0" simplePos="0" relativeHeight="251658246" behindDoc="0" locked="0" layoutInCell="1" allowOverlap="1" wp14:anchorId="3815231B" wp14:editId="1DF08832">
                  <wp:simplePos x="0" y="0"/>
                  <wp:positionH relativeFrom="page">
                    <wp:posOffset>158115</wp:posOffset>
                  </wp:positionH>
                  <wp:positionV relativeFrom="paragraph">
                    <wp:posOffset>71438</wp:posOffset>
                  </wp:positionV>
                  <wp:extent cx="330722" cy="3315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8" cstate="print"/>
                          <a:stretch>
                            <a:fillRect/>
                          </a:stretch>
                        </pic:blipFill>
                        <pic:spPr>
                          <a:xfrm>
                            <a:off x="0" y="0"/>
                            <a:ext cx="330722" cy="331595"/>
                          </a:xfrm>
                          <a:prstGeom prst="rect">
                            <a:avLst/>
                          </a:prstGeom>
                        </pic:spPr>
                      </pic:pic>
                    </a:graphicData>
                  </a:graphic>
                  <wp14:sizeRelH relativeFrom="margin">
                    <wp14:pctWidth>0</wp14:pctWidth>
                  </wp14:sizeRelH>
                  <wp14:sizeRelV relativeFrom="margin">
                    <wp14:pctHeight>0</wp14:pctHeight>
                  </wp14:sizeRelV>
                </wp:anchor>
              </w:drawing>
            </w:r>
          </w:p>
        </w:tc>
        <w:tc>
          <w:tcPr>
            <w:tcW w:w="8788" w:type="dxa"/>
            <w:vAlign w:val="center"/>
          </w:tcPr>
          <w:p w14:paraId="14CA0CC0" w14:textId="77777777" w:rsidR="00942E82" w:rsidRPr="00343D85" w:rsidRDefault="00942E82" w:rsidP="00942E82">
            <w:pPr>
              <w:rPr>
                <w:b/>
                <w:bCs/>
                <w:i/>
                <w:iCs/>
              </w:rPr>
            </w:pPr>
            <w:r w:rsidRPr="00343D85">
              <w:rPr>
                <w:b/>
                <w:bCs/>
                <w:iCs/>
              </w:rPr>
              <w:t>Customers first</w:t>
            </w:r>
          </w:p>
          <w:p w14:paraId="55467442" w14:textId="26F5C35A" w:rsidR="00D83FC9" w:rsidRPr="00942E82" w:rsidRDefault="00942E82" w:rsidP="00942E82">
            <w:pPr>
              <w:rPr>
                <w:i/>
                <w:iCs/>
              </w:rPr>
            </w:pPr>
            <w:r w:rsidRPr="00343D85">
              <w:rPr>
                <w:iCs/>
              </w:rPr>
              <w:t>Putting customers first: by understanding our customers at all levels and delivering what matters</w:t>
            </w:r>
            <w:r w:rsidR="006B5E29">
              <w:rPr>
                <w:iCs/>
              </w:rPr>
              <w:t>.</w:t>
            </w:r>
          </w:p>
        </w:tc>
      </w:tr>
      <w:tr w:rsidR="00D83FC9" w:rsidRPr="005133CA" w14:paraId="5F6B8C55" w14:textId="77777777" w:rsidTr="00DB2CD2">
        <w:trPr>
          <w:trHeight w:val="724"/>
        </w:trPr>
        <w:tc>
          <w:tcPr>
            <w:tcW w:w="993" w:type="dxa"/>
          </w:tcPr>
          <w:p w14:paraId="59156234" w14:textId="77777777" w:rsidR="00D83FC9" w:rsidRPr="005133CA" w:rsidRDefault="00D83FC9" w:rsidP="00DB2CD2">
            <w:pPr>
              <w:pStyle w:val="BodyText"/>
            </w:pPr>
            <w:r w:rsidRPr="005133CA">
              <w:rPr>
                <w:noProof/>
              </w:rPr>
              <w:drawing>
                <wp:anchor distT="0" distB="0" distL="0" distR="0" simplePos="0" relativeHeight="251658247" behindDoc="0" locked="0" layoutInCell="1" allowOverlap="1" wp14:anchorId="2FA5A149" wp14:editId="00292D10">
                  <wp:simplePos x="0" y="0"/>
                  <wp:positionH relativeFrom="page">
                    <wp:posOffset>157815</wp:posOffset>
                  </wp:positionH>
                  <wp:positionV relativeFrom="paragraph">
                    <wp:posOffset>54610</wp:posOffset>
                  </wp:positionV>
                  <wp:extent cx="330722" cy="33159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49" cstate="print"/>
                          <a:stretch>
                            <a:fillRect/>
                          </a:stretch>
                        </pic:blipFill>
                        <pic:spPr>
                          <a:xfrm>
                            <a:off x="0" y="0"/>
                            <a:ext cx="330722" cy="331595"/>
                          </a:xfrm>
                          <a:prstGeom prst="rect">
                            <a:avLst/>
                          </a:prstGeom>
                        </pic:spPr>
                      </pic:pic>
                    </a:graphicData>
                  </a:graphic>
                  <wp14:sizeRelH relativeFrom="margin">
                    <wp14:pctWidth>0</wp14:pctWidth>
                  </wp14:sizeRelH>
                  <wp14:sizeRelV relativeFrom="margin">
                    <wp14:pctHeight>0</wp14:pctHeight>
                  </wp14:sizeRelV>
                </wp:anchor>
              </w:drawing>
            </w:r>
          </w:p>
        </w:tc>
        <w:tc>
          <w:tcPr>
            <w:tcW w:w="8788" w:type="dxa"/>
            <w:vAlign w:val="center"/>
          </w:tcPr>
          <w:p w14:paraId="6A0B61F4" w14:textId="77777777" w:rsidR="00942E82" w:rsidRPr="00343D85" w:rsidRDefault="00942E82" w:rsidP="00942E82">
            <w:pPr>
              <w:rPr>
                <w:b/>
                <w:bCs/>
                <w:i/>
                <w:iCs/>
              </w:rPr>
            </w:pPr>
            <w:r w:rsidRPr="00FB6808">
              <w:rPr>
                <w:b/>
                <w:bCs/>
                <w:iCs/>
              </w:rPr>
              <w:t>I</w:t>
            </w:r>
            <w:r w:rsidRPr="00343D85">
              <w:rPr>
                <w:b/>
                <w:bCs/>
                <w:iCs/>
              </w:rPr>
              <w:t>deas into action</w:t>
            </w:r>
          </w:p>
          <w:p w14:paraId="24655B48" w14:textId="3D540E4A" w:rsidR="00D83FC9" w:rsidRPr="00942E82" w:rsidRDefault="00942E82" w:rsidP="00942E82">
            <w:pPr>
              <w:rPr>
                <w:i/>
                <w:iCs/>
              </w:rPr>
            </w:pPr>
            <w:r w:rsidRPr="00343D85">
              <w:rPr>
                <w:iCs/>
              </w:rPr>
              <w:t xml:space="preserve">Transforming ideas into action: by delivering responsive and innovative solutions, </w:t>
            </w:r>
            <w:proofErr w:type="gramStart"/>
            <w:r w:rsidRPr="00343D85">
              <w:rPr>
                <w:iCs/>
              </w:rPr>
              <w:t>encouraging</w:t>
            </w:r>
            <w:proofErr w:type="gramEnd"/>
            <w:r w:rsidRPr="00343D85">
              <w:rPr>
                <w:iCs/>
              </w:rPr>
              <w:t xml:space="preserve"> and embracing new ideas, and working across boundaries</w:t>
            </w:r>
            <w:r w:rsidR="006B5E29">
              <w:rPr>
                <w:iCs/>
              </w:rPr>
              <w:t>.</w:t>
            </w:r>
          </w:p>
        </w:tc>
      </w:tr>
      <w:tr w:rsidR="00D83FC9" w:rsidRPr="005133CA" w14:paraId="2D7A49F4" w14:textId="77777777" w:rsidTr="00DB2CD2">
        <w:trPr>
          <w:trHeight w:val="724"/>
        </w:trPr>
        <w:tc>
          <w:tcPr>
            <w:tcW w:w="993" w:type="dxa"/>
          </w:tcPr>
          <w:p w14:paraId="3BF3750B" w14:textId="77777777" w:rsidR="00D83FC9" w:rsidRPr="005133CA" w:rsidRDefault="00D83FC9" w:rsidP="00DB2CD2">
            <w:pPr>
              <w:pStyle w:val="BodyText"/>
            </w:pPr>
            <w:r w:rsidRPr="005133CA">
              <w:rPr>
                <w:noProof/>
              </w:rPr>
              <w:drawing>
                <wp:anchor distT="0" distB="0" distL="0" distR="0" simplePos="0" relativeHeight="251658248" behindDoc="0" locked="0" layoutInCell="1" allowOverlap="1" wp14:anchorId="46B2737D" wp14:editId="4705507D">
                  <wp:simplePos x="0" y="0"/>
                  <wp:positionH relativeFrom="page">
                    <wp:posOffset>158115</wp:posOffset>
                  </wp:positionH>
                  <wp:positionV relativeFrom="paragraph">
                    <wp:posOffset>58738</wp:posOffset>
                  </wp:positionV>
                  <wp:extent cx="330722" cy="33159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50" cstate="print"/>
                          <a:stretch>
                            <a:fillRect/>
                          </a:stretch>
                        </pic:blipFill>
                        <pic:spPr>
                          <a:xfrm>
                            <a:off x="0" y="0"/>
                            <a:ext cx="330722" cy="331595"/>
                          </a:xfrm>
                          <a:prstGeom prst="rect">
                            <a:avLst/>
                          </a:prstGeom>
                        </pic:spPr>
                      </pic:pic>
                    </a:graphicData>
                  </a:graphic>
                  <wp14:sizeRelH relativeFrom="margin">
                    <wp14:pctWidth>0</wp14:pctWidth>
                  </wp14:sizeRelH>
                  <wp14:sizeRelV relativeFrom="margin">
                    <wp14:pctHeight>0</wp14:pctHeight>
                  </wp14:sizeRelV>
                </wp:anchor>
              </w:drawing>
            </w:r>
          </w:p>
        </w:tc>
        <w:tc>
          <w:tcPr>
            <w:tcW w:w="8788" w:type="dxa"/>
            <w:vAlign w:val="center"/>
          </w:tcPr>
          <w:p w14:paraId="1BE95179" w14:textId="77777777" w:rsidR="00942E82" w:rsidRPr="00343D85" w:rsidRDefault="00942E82" w:rsidP="00942E82">
            <w:pPr>
              <w:rPr>
                <w:b/>
                <w:bCs/>
                <w:i/>
                <w:iCs/>
              </w:rPr>
            </w:pPr>
            <w:r w:rsidRPr="00343D85">
              <w:rPr>
                <w:b/>
                <w:bCs/>
                <w:iCs/>
              </w:rPr>
              <w:t xml:space="preserve">Unleash </w:t>
            </w:r>
            <w:proofErr w:type="gramStart"/>
            <w:r w:rsidRPr="00343D85">
              <w:rPr>
                <w:b/>
                <w:bCs/>
                <w:iCs/>
              </w:rPr>
              <w:t>potential</w:t>
            </w:r>
            <w:proofErr w:type="gramEnd"/>
          </w:p>
          <w:p w14:paraId="05DDEA83" w14:textId="5CB5085E" w:rsidR="00D83FC9" w:rsidRPr="00942E82" w:rsidRDefault="00942E82" w:rsidP="00942E82">
            <w:pPr>
              <w:rPr>
                <w:i/>
                <w:iCs/>
              </w:rPr>
            </w:pPr>
            <w:r w:rsidRPr="00343D85">
              <w:rPr>
                <w:iCs/>
              </w:rPr>
              <w:t>Unleashing potential: by being clear about our vision and continuing to challenge ourselves</w:t>
            </w:r>
            <w:r w:rsidR="006B5E29">
              <w:rPr>
                <w:iCs/>
              </w:rPr>
              <w:t>.</w:t>
            </w:r>
          </w:p>
        </w:tc>
      </w:tr>
      <w:tr w:rsidR="00D83FC9" w:rsidRPr="005133CA" w14:paraId="1B6E6373" w14:textId="77777777" w:rsidTr="00DB2CD2">
        <w:trPr>
          <w:trHeight w:val="724"/>
        </w:trPr>
        <w:tc>
          <w:tcPr>
            <w:tcW w:w="993" w:type="dxa"/>
          </w:tcPr>
          <w:p w14:paraId="4773EF7B" w14:textId="77777777" w:rsidR="00D83FC9" w:rsidRPr="005133CA" w:rsidRDefault="00D83FC9" w:rsidP="00DB2CD2">
            <w:pPr>
              <w:pStyle w:val="BodyText"/>
            </w:pPr>
            <w:r w:rsidRPr="005133CA">
              <w:rPr>
                <w:noProof/>
              </w:rPr>
              <w:drawing>
                <wp:anchor distT="0" distB="0" distL="0" distR="0" simplePos="0" relativeHeight="251658249" behindDoc="0" locked="0" layoutInCell="1" allowOverlap="1" wp14:anchorId="31ED979D" wp14:editId="02DE3177">
                  <wp:simplePos x="0" y="0"/>
                  <wp:positionH relativeFrom="page">
                    <wp:posOffset>158115</wp:posOffset>
                  </wp:positionH>
                  <wp:positionV relativeFrom="paragraph">
                    <wp:posOffset>58738</wp:posOffset>
                  </wp:positionV>
                  <wp:extent cx="330722" cy="33159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51" cstate="print"/>
                          <a:stretch>
                            <a:fillRect/>
                          </a:stretch>
                        </pic:blipFill>
                        <pic:spPr>
                          <a:xfrm>
                            <a:off x="0" y="0"/>
                            <a:ext cx="330722" cy="331595"/>
                          </a:xfrm>
                          <a:prstGeom prst="rect">
                            <a:avLst/>
                          </a:prstGeom>
                        </pic:spPr>
                      </pic:pic>
                    </a:graphicData>
                  </a:graphic>
                  <wp14:sizeRelH relativeFrom="margin">
                    <wp14:pctWidth>0</wp14:pctWidth>
                  </wp14:sizeRelH>
                  <wp14:sizeRelV relativeFrom="margin">
                    <wp14:pctHeight>0</wp14:pctHeight>
                  </wp14:sizeRelV>
                </wp:anchor>
              </w:drawing>
            </w:r>
          </w:p>
        </w:tc>
        <w:tc>
          <w:tcPr>
            <w:tcW w:w="8788" w:type="dxa"/>
            <w:vAlign w:val="center"/>
          </w:tcPr>
          <w:p w14:paraId="7C1FEE16" w14:textId="77777777" w:rsidR="00942E82" w:rsidRPr="00343D85" w:rsidRDefault="00942E82" w:rsidP="00942E82">
            <w:pPr>
              <w:rPr>
                <w:b/>
                <w:bCs/>
                <w:i/>
                <w:iCs/>
              </w:rPr>
            </w:pPr>
            <w:r w:rsidRPr="00343D85">
              <w:rPr>
                <w:b/>
                <w:bCs/>
                <w:iCs/>
              </w:rPr>
              <w:t xml:space="preserve">Empower </w:t>
            </w:r>
            <w:proofErr w:type="gramStart"/>
            <w:r w:rsidRPr="00343D85">
              <w:rPr>
                <w:b/>
                <w:bCs/>
                <w:iCs/>
              </w:rPr>
              <w:t>people</w:t>
            </w:r>
            <w:proofErr w:type="gramEnd"/>
          </w:p>
          <w:p w14:paraId="45B7135B" w14:textId="280EF609" w:rsidR="00D83FC9" w:rsidRPr="00942E82" w:rsidRDefault="00942E82" w:rsidP="00942E82">
            <w:pPr>
              <w:rPr>
                <w:i/>
                <w:iCs/>
              </w:rPr>
            </w:pPr>
            <w:r w:rsidRPr="00343D85">
              <w:rPr>
                <w:iCs/>
              </w:rPr>
              <w:t>Empowering people: by leading by example within an integrated department</w:t>
            </w:r>
            <w:r w:rsidR="006B5E29">
              <w:rPr>
                <w:iCs/>
              </w:rPr>
              <w:t>.</w:t>
            </w:r>
          </w:p>
        </w:tc>
      </w:tr>
      <w:tr w:rsidR="00D83FC9" w:rsidRPr="005133CA" w14:paraId="2828FDF4" w14:textId="77777777" w:rsidTr="00DB2CD2">
        <w:trPr>
          <w:trHeight w:val="724"/>
        </w:trPr>
        <w:tc>
          <w:tcPr>
            <w:tcW w:w="993" w:type="dxa"/>
          </w:tcPr>
          <w:p w14:paraId="74EA0100" w14:textId="33856E56" w:rsidR="00D83FC9" w:rsidRPr="005133CA" w:rsidRDefault="00D83FC9" w:rsidP="00DB2CD2">
            <w:pPr>
              <w:pStyle w:val="BodyText"/>
            </w:pPr>
            <w:r w:rsidRPr="005133CA">
              <w:rPr>
                <w:noProof/>
              </w:rPr>
              <w:drawing>
                <wp:anchor distT="0" distB="0" distL="0" distR="0" simplePos="0" relativeHeight="251658250" behindDoc="0" locked="0" layoutInCell="1" allowOverlap="1" wp14:anchorId="211C4406" wp14:editId="614B1237">
                  <wp:simplePos x="0" y="0"/>
                  <wp:positionH relativeFrom="page">
                    <wp:posOffset>158115</wp:posOffset>
                  </wp:positionH>
                  <wp:positionV relativeFrom="paragraph">
                    <wp:posOffset>66993</wp:posOffset>
                  </wp:positionV>
                  <wp:extent cx="330722" cy="33159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52" cstate="print"/>
                          <a:stretch>
                            <a:fillRect/>
                          </a:stretch>
                        </pic:blipFill>
                        <pic:spPr>
                          <a:xfrm>
                            <a:off x="0" y="0"/>
                            <a:ext cx="330722" cy="331595"/>
                          </a:xfrm>
                          <a:prstGeom prst="rect">
                            <a:avLst/>
                          </a:prstGeom>
                        </pic:spPr>
                      </pic:pic>
                    </a:graphicData>
                  </a:graphic>
                  <wp14:sizeRelH relativeFrom="margin">
                    <wp14:pctWidth>0</wp14:pctWidth>
                  </wp14:sizeRelH>
                  <wp14:sizeRelV relativeFrom="margin">
                    <wp14:pctHeight>0</wp14:pctHeight>
                  </wp14:sizeRelV>
                </wp:anchor>
              </w:drawing>
            </w:r>
          </w:p>
        </w:tc>
        <w:tc>
          <w:tcPr>
            <w:tcW w:w="8788" w:type="dxa"/>
            <w:vAlign w:val="center"/>
          </w:tcPr>
          <w:p w14:paraId="1DC93501" w14:textId="77777777" w:rsidR="00942E82" w:rsidRPr="00343D85" w:rsidRDefault="00942E82" w:rsidP="00942E82">
            <w:pPr>
              <w:rPr>
                <w:b/>
                <w:bCs/>
                <w:i/>
                <w:iCs/>
              </w:rPr>
            </w:pPr>
            <w:r w:rsidRPr="00343D85">
              <w:rPr>
                <w:b/>
                <w:bCs/>
                <w:iCs/>
              </w:rPr>
              <w:t xml:space="preserve">Be </w:t>
            </w:r>
            <w:proofErr w:type="gramStart"/>
            <w:r w:rsidRPr="00343D85">
              <w:rPr>
                <w:b/>
                <w:bCs/>
                <w:iCs/>
              </w:rPr>
              <w:t>courageous</w:t>
            </w:r>
            <w:proofErr w:type="gramEnd"/>
          </w:p>
          <w:p w14:paraId="50354F1D" w14:textId="610182B8" w:rsidR="00D83FC9" w:rsidRPr="00942E82" w:rsidRDefault="00942E82" w:rsidP="00942E82">
            <w:pPr>
              <w:rPr>
                <w:i/>
                <w:iCs/>
              </w:rPr>
            </w:pPr>
            <w:r w:rsidRPr="00343D85">
              <w:rPr>
                <w:iCs/>
              </w:rPr>
              <w:t>Being courageous: by taking calculated risks to achieve better outcomes</w:t>
            </w:r>
            <w:r w:rsidR="006B5E29">
              <w:rPr>
                <w:iCs/>
              </w:rPr>
              <w:t>.</w:t>
            </w:r>
          </w:p>
        </w:tc>
      </w:tr>
      <w:tr w:rsidR="00D83FC9" w:rsidRPr="005133CA" w14:paraId="5A1378FB" w14:textId="77777777" w:rsidTr="00DB2CD2">
        <w:trPr>
          <w:trHeight w:val="724"/>
        </w:trPr>
        <w:tc>
          <w:tcPr>
            <w:tcW w:w="993" w:type="dxa"/>
          </w:tcPr>
          <w:p w14:paraId="47A33B21" w14:textId="796500B1" w:rsidR="00D83FC9" w:rsidRPr="005133CA" w:rsidRDefault="003F3E07" w:rsidP="00DB2CD2">
            <w:pPr>
              <w:pStyle w:val="BodyText"/>
            </w:pPr>
            <w:r>
              <w:rPr>
                <w:noProof/>
              </w:rPr>
              <w:drawing>
                <wp:anchor distT="0" distB="0" distL="114300" distR="114300" simplePos="0" relativeHeight="251658242" behindDoc="0" locked="0" layoutInCell="1" allowOverlap="1" wp14:anchorId="26F40CEA" wp14:editId="11918D5E">
                  <wp:simplePos x="0" y="0"/>
                  <wp:positionH relativeFrom="column">
                    <wp:posOffset>103505</wp:posOffset>
                  </wp:positionH>
                  <wp:positionV relativeFrom="paragraph">
                    <wp:posOffset>65405</wp:posOffset>
                  </wp:positionV>
                  <wp:extent cx="339725" cy="339725"/>
                  <wp:effectExtent l="0" t="0" r="317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972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88" w:type="dxa"/>
            <w:vAlign w:val="center"/>
          </w:tcPr>
          <w:p w14:paraId="555029A1" w14:textId="77777777" w:rsidR="00942E82" w:rsidRPr="00343D85" w:rsidRDefault="00942E82" w:rsidP="00942E82">
            <w:pPr>
              <w:rPr>
                <w:b/>
                <w:bCs/>
                <w:i/>
                <w:iCs/>
              </w:rPr>
            </w:pPr>
            <w:r w:rsidRPr="00343D85">
              <w:rPr>
                <w:b/>
                <w:bCs/>
                <w:iCs/>
              </w:rPr>
              <w:t>Health</w:t>
            </w:r>
            <w:r>
              <w:rPr>
                <w:b/>
                <w:bCs/>
                <w:iCs/>
              </w:rPr>
              <w:t>y</w:t>
            </w:r>
            <w:r w:rsidRPr="00343D85">
              <w:rPr>
                <w:b/>
                <w:bCs/>
                <w:iCs/>
              </w:rPr>
              <w:t xml:space="preserve"> and </w:t>
            </w:r>
            <w:r w:rsidRPr="2B984543">
              <w:rPr>
                <w:b/>
                <w:bCs/>
              </w:rPr>
              <w:t>respectful workplace</w:t>
            </w:r>
          </w:p>
          <w:p w14:paraId="5C203163" w14:textId="7494511C" w:rsidR="00D83FC9" w:rsidRPr="00942E82" w:rsidRDefault="00942E82" w:rsidP="00942E82">
            <w:pPr>
              <w:rPr>
                <w:iCs/>
              </w:rPr>
            </w:pPr>
            <w:r w:rsidRPr="00653DAF">
              <w:rPr>
                <w:iCs/>
              </w:rPr>
              <w:t>Ensuring a</w:t>
            </w:r>
            <w:r>
              <w:rPr>
                <w:iCs/>
              </w:rPr>
              <w:t xml:space="preserve"> h</w:t>
            </w:r>
            <w:r w:rsidRPr="00653DAF">
              <w:rPr>
                <w:iCs/>
              </w:rPr>
              <w:t>ealthy and respectful workplace: by providing a workplace that supports the wellbeing of our employees, fosters a culture of respect and inclusion, and actively progresses equity and diversity to ensure our workforce is reflective of the Queensland community.</w:t>
            </w:r>
          </w:p>
        </w:tc>
      </w:tr>
    </w:tbl>
    <w:p w14:paraId="075F57D7" w14:textId="77777777" w:rsidR="00A71157" w:rsidRDefault="00A71157">
      <w:pPr>
        <w:spacing w:before="0" w:after="160" w:line="259" w:lineRule="auto"/>
        <w:rPr>
          <w:rFonts w:eastAsiaTheme="majorEastAsia" w:cstheme="majorBidi"/>
          <w:color w:val="000000" w:themeColor="text1"/>
          <w:sz w:val="36"/>
          <w:szCs w:val="32"/>
          <w:lang w:eastAsia="en-GB"/>
        </w:rPr>
      </w:pPr>
      <w:bookmarkStart w:id="190" w:name="_Toc111189208"/>
      <w:bookmarkEnd w:id="108"/>
      <w:r>
        <w:rPr>
          <w:color w:val="000000" w:themeColor="text1"/>
          <w:szCs w:val="32"/>
          <w:lang w:eastAsia="en-GB"/>
        </w:rPr>
        <w:br w:type="page"/>
      </w:r>
    </w:p>
    <w:p w14:paraId="3522C3A4" w14:textId="1A7B4DAB" w:rsidR="006C35A0" w:rsidRPr="005C7048" w:rsidRDefault="006C35A0" w:rsidP="0099619A">
      <w:pPr>
        <w:pStyle w:val="DECheading11"/>
      </w:pPr>
      <w:bookmarkStart w:id="191" w:name="_Whole-of-government_plans_and"/>
      <w:bookmarkStart w:id="192" w:name="_Toc138317831"/>
      <w:bookmarkStart w:id="193" w:name="_Toc172794867"/>
      <w:bookmarkStart w:id="194" w:name="_Toc172806387"/>
      <w:bookmarkStart w:id="195" w:name="_Toc172806673"/>
      <w:bookmarkStart w:id="196" w:name="_Toc172808404"/>
      <w:bookmarkStart w:id="197" w:name="_Toc172808495"/>
      <w:bookmarkStart w:id="198" w:name="_Toc174605638"/>
      <w:bookmarkStart w:id="199" w:name="_Toc176424777"/>
      <w:bookmarkStart w:id="200" w:name="_Toc176424936"/>
      <w:bookmarkEnd w:id="191"/>
      <w:r w:rsidRPr="005C7048">
        <w:lastRenderedPageBreak/>
        <w:t>Whole-of-government plans and specific initiatives</w:t>
      </w:r>
      <w:bookmarkEnd w:id="190"/>
      <w:bookmarkEnd w:id="192"/>
      <w:bookmarkEnd w:id="193"/>
      <w:bookmarkEnd w:id="194"/>
      <w:bookmarkEnd w:id="195"/>
      <w:bookmarkEnd w:id="196"/>
      <w:bookmarkEnd w:id="197"/>
      <w:bookmarkEnd w:id="198"/>
      <w:bookmarkEnd w:id="199"/>
      <w:bookmarkEnd w:id="200"/>
    </w:p>
    <w:p w14:paraId="24F13824" w14:textId="1F910656" w:rsidR="006C35A0" w:rsidRPr="00D12D9A" w:rsidRDefault="006C35A0" w:rsidP="007D5C38">
      <w:pPr>
        <w:pStyle w:val="BodyText"/>
      </w:pPr>
      <w:r w:rsidRPr="00D12D9A">
        <w:t>The department has the following whole-of-government and specific-purpose plans and reports on those plans through the relevant and appropriate reporting mechanisms</w:t>
      </w:r>
      <w:r w:rsidR="00811AD3">
        <w:t>:</w:t>
      </w:r>
    </w:p>
    <w:p w14:paraId="0C57D2C9" w14:textId="77777777" w:rsidR="00B14AD2" w:rsidRPr="0002633B" w:rsidRDefault="00B14AD2" w:rsidP="00B14AD2">
      <w:pPr>
        <w:pStyle w:val="ListParagraph"/>
        <w:rPr>
          <w:i/>
          <w:iCs/>
        </w:rPr>
      </w:pPr>
      <w:r w:rsidRPr="0002633B">
        <w:rPr>
          <w:i/>
          <w:iCs/>
        </w:rPr>
        <w:t>Queensland Energy and Jobs Plan</w:t>
      </w:r>
    </w:p>
    <w:p w14:paraId="3D462E81" w14:textId="77777777" w:rsidR="00B14AD2" w:rsidRPr="00A85925" w:rsidRDefault="00B14AD2" w:rsidP="00B14AD2">
      <w:pPr>
        <w:pStyle w:val="ListParagraph"/>
        <w:spacing w:after="120"/>
        <w:rPr>
          <w:i/>
        </w:rPr>
      </w:pPr>
      <w:r w:rsidRPr="00A85925">
        <w:rPr>
          <w:i/>
        </w:rPr>
        <w:t xml:space="preserve">Queensland’s 2035 Clean Economy Pathway, </w:t>
      </w:r>
      <w:r w:rsidRPr="0002633B">
        <w:rPr>
          <w:iCs/>
        </w:rPr>
        <w:t>which encompasses the</w:t>
      </w:r>
      <w:r w:rsidRPr="00A85925">
        <w:rPr>
          <w:i/>
        </w:rPr>
        <w:t xml:space="preserve"> Queensland Climate Action Plan </w:t>
      </w:r>
      <w:r w:rsidRPr="0002633B">
        <w:rPr>
          <w:iCs/>
        </w:rPr>
        <w:t>and the</w:t>
      </w:r>
      <w:r w:rsidRPr="00A85925">
        <w:rPr>
          <w:i/>
        </w:rPr>
        <w:t xml:space="preserve"> </w:t>
      </w:r>
      <w:r w:rsidRPr="00484344">
        <w:rPr>
          <w:i/>
        </w:rPr>
        <w:t>Queensland Climate Adaptation Strategy</w:t>
      </w:r>
      <w:r w:rsidRPr="00A85925">
        <w:rPr>
          <w:i/>
        </w:rPr>
        <w:t xml:space="preserve"> </w:t>
      </w:r>
    </w:p>
    <w:p w14:paraId="37BC3C2F" w14:textId="6704A1A0" w:rsidR="00B14AD2" w:rsidRPr="00A85925" w:rsidRDefault="00B14AD2" w:rsidP="00B14AD2">
      <w:pPr>
        <w:pStyle w:val="ListParagraph"/>
        <w:spacing w:after="120"/>
        <w:rPr>
          <w:i/>
        </w:rPr>
      </w:pPr>
      <w:r w:rsidRPr="00FE0C76">
        <w:rPr>
          <w:i/>
        </w:rPr>
        <w:t>Queensland</w:t>
      </w:r>
      <w:r w:rsidR="00FE0C76" w:rsidRPr="0002633B">
        <w:rPr>
          <w:i/>
        </w:rPr>
        <w:t xml:space="preserve">’s </w:t>
      </w:r>
      <w:r w:rsidRPr="00A85925">
        <w:rPr>
          <w:i/>
        </w:rPr>
        <w:t>Zero Emission Vehicle Strategy 2022</w:t>
      </w:r>
      <w:r>
        <w:rPr>
          <w:i/>
          <w:iCs/>
        </w:rPr>
        <w:t>–</w:t>
      </w:r>
      <w:r w:rsidRPr="00A85925">
        <w:rPr>
          <w:i/>
        </w:rPr>
        <w:t xml:space="preserve">2032 </w:t>
      </w:r>
      <w:r w:rsidRPr="0002633B">
        <w:rPr>
          <w:iCs/>
        </w:rPr>
        <w:t>(ZEV Strategy</w:t>
      </w:r>
      <w:r w:rsidRPr="00A85925">
        <w:rPr>
          <w:i/>
        </w:rPr>
        <w:t xml:space="preserve">) </w:t>
      </w:r>
      <w:r w:rsidRPr="00EC6790">
        <w:t>and</w:t>
      </w:r>
      <w:r w:rsidR="00B014BD">
        <w:t xml:space="preserve"> </w:t>
      </w:r>
      <w:r w:rsidR="00B014BD" w:rsidRPr="0002633B">
        <w:rPr>
          <w:i/>
          <w:iCs/>
        </w:rPr>
        <w:t>Zero Emission Vehicle</w:t>
      </w:r>
      <w:r w:rsidRPr="00B014BD">
        <w:rPr>
          <w:i/>
          <w:iCs/>
        </w:rPr>
        <w:t xml:space="preserve"> Action</w:t>
      </w:r>
      <w:r w:rsidRPr="00A85925">
        <w:rPr>
          <w:i/>
        </w:rPr>
        <w:t xml:space="preserve"> Plan 2022</w:t>
      </w:r>
      <w:r>
        <w:rPr>
          <w:i/>
          <w:iCs/>
        </w:rPr>
        <w:t>–</w:t>
      </w:r>
      <w:r w:rsidRPr="00A85925">
        <w:rPr>
          <w:i/>
        </w:rPr>
        <w:t xml:space="preserve">2024 </w:t>
      </w:r>
      <w:r w:rsidRPr="0002633B">
        <w:rPr>
          <w:iCs/>
        </w:rPr>
        <w:t>(Action Plan)</w:t>
      </w:r>
    </w:p>
    <w:p w14:paraId="4AEEC800" w14:textId="77777777" w:rsidR="00B14AD2" w:rsidRPr="002C17B5" w:rsidRDefault="00B14AD2" w:rsidP="00B14AD2">
      <w:pPr>
        <w:pStyle w:val="ListParagraph"/>
        <w:spacing w:after="120"/>
        <w:rPr>
          <w:rFonts w:eastAsia="Arial Nova Light" w:cs="Arial Nova Light"/>
          <w:i/>
          <w:szCs w:val="20"/>
        </w:rPr>
      </w:pPr>
      <w:r w:rsidRPr="00A85925">
        <w:rPr>
          <w:rFonts w:eastAsia="Arial Nova Light" w:cs="Arial Nova Light"/>
          <w:i/>
          <w:szCs w:val="20"/>
        </w:rPr>
        <w:t>QFleet Electric Vehicle Transition Strategy 2023</w:t>
      </w:r>
      <w:r>
        <w:rPr>
          <w:rFonts w:eastAsia="Arial Nova Light" w:cs="Arial Nova Light"/>
          <w:i/>
          <w:iCs/>
          <w:szCs w:val="20"/>
        </w:rPr>
        <w:t>–</w:t>
      </w:r>
      <w:r w:rsidRPr="00A85925">
        <w:rPr>
          <w:rFonts w:eastAsia="Arial Nova Light" w:cs="Arial Nova Light"/>
          <w:i/>
          <w:szCs w:val="20"/>
        </w:rPr>
        <w:t>2026</w:t>
      </w:r>
    </w:p>
    <w:p w14:paraId="6633B5A7" w14:textId="77777777" w:rsidR="00B14AD2" w:rsidRPr="00A85925" w:rsidRDefault="00B14AD2" w:rsidP="00B14AD2">
      <w:pPr>
        <w:pStyle w:val="ListParagraph"/>
        <w:spacing w:after="120"/>
        <w:rPr>
          <w:i/>
        </w:rPr>
      </w:pPr>
      <w:r w:rsidRPr="00A85925">
        <w:rPr>
          <w:i/>
        </w:rPr>
        <w:t xml:space="preserve">Queensland Procurement Strategy 2023 – Jobs, Economy, Legacy, Confidence </w:t>
      </w:r>
    </w:p>
    <w:p w14:paraId="73EF89B2" w14:textId="2FF0CDD5" w:rsidR="002C6B83" w:rsidRPr="003D59F3" w:rsidRDefault="00A85925" w:rsidP="001D7BC5">
      <w:pPr>
        <w:pStyle w:val="ListParagraph"/>
      </w:pPr>
      <w:r w:rsidRPr="003D59F3">
        <w:t>Procurement category</w:t>
      </w:r>
      <w:r w:rsidR="002C6B83" w:rsidRPr="003D59F3">
        <w:t xml:space="preserve"> strategy for General Good and Services </w:t>
      </w:r>
    </w:p>
    <w:p w14:paraId="3EA17FCD" w14:textId="321971AF" w:rsidR="00B14AD2" w:rsidRPr="003D59F3" w:rsidRDefault="00B14AD2" w:rsidP="0002633B">
      <w:pPr>
        <w:pStyle w:val="ListParagraph"/>
        <w:spacing w:after="120"/>
      </w:pPr>
      <w:r w:rsidRPr="006151ED">
        <w:rPr>
          <w:i/>
        </w:rPr>
        <w:t>Q2032 Procurement Strategy</w:t>
      </w:r>
      <w:r>
        <w:rPr>
          <w:i/>
        </w:rPr>
        <w:t>.</w:t>
      </w:r>
    </w:p>
    <w:p w14:paraId="38728F21" w14:textId="584C890F" w:rsidR="005B2C4F" w:rsidRPr="005C7048" w:rsidRDefault="005B2C4F" w:rsidP="0099619A">
      <w:pPr>
        <w:pStyle w:val="DECheading11"/>
        <w:rPr>
          <w:color w:val="auto"/>
        </w:rPr>
      </w:pPr>
      <w:bookmarkStart w:id="201" w:name="_National_Agreements_and"/>
      <w:bookmarkStart w:id="202" w:name="_Toc174605639"/>
      <w:bookmarkStart w:id="203" w:name="_Toc176424778"/>
      <w:bookmarkStart w:id="204" w:name="_Toc176424937"/>
      <w:bookmarkEnd w:id="201"/>
      <w:r w:rsidRPr="005C7048">
        <w:t xml:space="preserve">National </w:t>
      </w:r>
      <w:r w:rsidR="00FF235B">
        <w:t>a</w:t>
      </w:r>
      <w:r w:rsidRPr="005C7048">
        <w:t xml:space="preserve">greements and </w:t>
      </w:r>
      <w:r w:rsidR="00FF235B">
        <w:t>n</w:t>
      </w:r>
      <w:r w:rsidRPr="005C7048">
        <w:t xml:space="preserve">ational </w:t>
      </w:r>
      <w:r w:rsidR="00FF235B">
        <w:t>p</w:t>
      </w:r>
      <w:r w:rsidRPr="005C7048">
        <w:t xml:space="preserve">artnership </w:t>
      </w:r>
      <w:r w:rsidR="00FF235B">
        <w:t>a</w:t>
      </w:r>
      <w:r w:rsidRPr="005C7048">
        <w:t>greements</w:t>
      </w:r>
      <w:bookmarkEnd w:id="202"/>
      <w:bookmarkEnd w:id="203"/>
      <w:bookmarkEnd w:id="204"/>
    </w:p>
    <w:p w14:paraId="7D2B0C3F" w14:textId="6AE5EC49" w:rsidR="00130F22" w:rsidRPr="005133CA" w:rsidRDefault="00130F22" w:rsidP="00130F22">
      <w:pPr>
        <w:pStyle w:val="BodyText"/>
        <w:rPr>
          <w:color w:val="000000" w:themeColor="text1"/>
        </w:rPr>
      </w:pPr>
      <w:r w:rsidRPr="005133CA">
        <w:rPr>
          <w:szCs w:val="20"/>
        </w:rPr>
        <w:t xml:space="preserve">In </w:t>
      </w:r>
      <w:r w:rsidR="00CE0344">
        <w:rPr>
          <w:szCs w:val="20"/>
        </w:rPr>
        <w:t>2023</w:t>
      </w:r>
      <w:r w:rsidR="000C3E7A">
        <w:rPr>
          <w:szCs w:val="20"/>
        </w:rPr>
        <w:t>–</w:t>
      </w:r>
      <w:r w:rsidR="00CE0344">
        <w:rPr>
          <w:szCs w:val="20"/>
        </w:rPr>
        <w:t>24</w:t>
      </w:r>
      <w:r w:rsidRPr="005133CA">
        <w:t>, the following activities occurred to progress Queensland’s national commitments:</w:t>
      </w:r>
    </w:p>
    <w:p w14:paraId="07AAB832" w14:textId="482300BD" w:rsidR="00BB489F" w:rsidRPr="003B212E" w:rsidRDefault="00BB489F" w:rsidP="00C45CCA">
      <w:pPr>
        <w:pStyle w:val="ListParagraph"/>
      </w:pPr>
      <w:r w:rsidRPr="003B212E">
        <w:t xml:space="preserve">Queensland actively works with the </w:t>
      </w:r>
      <w:r w:rsidR="006A36F4">
        <w:t>Australian</w:t>
      </w:r>
      <w:r w:rsidR="006A36F4" w:rsidRPr="003B212E">
        <w:t xml:space="preserve"> </w:t>
      </w:r>
      <w:r w:rsidRPr="003B212E">
        <w:t>and other</w:t>
      </w:r>
      <w:r w:rsidRPr="003B212E" w:rsidDel="003F6056">
        <w:t xml:space="preserve"> </w:t>
      </w:r>
      <w:r w:rsidRPr="003B212E">
        <w:t xml:space="preserve">state and territory governments through the Energy and Climate Change Ministerial Council </w:t>
      </w:r>
      <w:r w:rsidR="00B42F24" w:rsidRPr="003B212E">
        <w:t xml:space="preserve">(ECMC) </w:t>
      </w:r>
      <w:r w:rsidRPr="003B212E">
        <w:t>to progress priority reforms and resilience of the energy sector and climate change. Key energy work programs progressed through ECMC in 2023</w:t>
      </w:r>
      <w:r w:rsidR="007A1DD1">
        <w:t>–</w:t>
      </w:r>
      <w:r w:rsidRPr="003B212E">
        <w:t>24 included:</w:t>
      </w:r>
    </w:p>
    <w:p w14:paraId="3B690572" w14:textId="154A9A2E" w:rsidR="00BB489F" w:rsidRPr="003B212E" w:rsidRDefault="00BB489F" w:rsidP="00D90DD8">
      <w:pPr>
        <w:pStyle w:val="Bulletsround"/>
        <w:keepLines/>
        <w:numPr>
          <w:ilvl w:val="1"/>
          <w:numId w:val="7"/>
        </w:numPr>
      </w:pPr>
      <w:r w:rsidRPr="003B212E">
        <w:t xml:space="preserve">development of a National Consumer Energy Resources (CER) </w:t>
      </w:r>
      <w:r w:rsidR="00133BA5">
        <w:t>r</w:t>
      </w:r>
      <w:r w:rsidRPr="003B212E">
        <w:t xml:space="preserve">oadmap to unlock consumer benefits for locally generated and storage power, deliver efficient and effective CER integration and drive positive outcomes for all consumers, and the system as a </w:t>
      </w:r>
      <w:proofErr w:type="gramStart"/>
      <w:r w:rsidRPr="003B212E">
        <w:t>whole</w:t>
      </w:r>
      <w:proofErr w:type="gramEnd"/>
    </w:p>
    <w:p w14:paraId="4702B17E" w14:textId="17A7C4E1" w:rsidR="00BB489F" w:rsidRPr="003B212E" w:rsidRDefault="00BB489F" w:rsidP="00D90DD8">
      <w:pPr>
        <w:pStyle w:val="Bulletsround"/>
        <w:keepLines/>
        <w:numPr>
          <w:ilvl w:val="1"/>
          <w:numId w:val="7"/>
        </w:numPr>
      </w:pPr>
      <w:r w:rsidRPr="003B212E">
        <w:t>implementation of an emissions reduction objective in the National Energy Objectives</w:t>
      </w:r>
    </w:p>
    <w:p w14:paraId="4D6008C3" w14:textId="77777777" w:rsidR="00BB489F" w:rsidRPr="003B212E" w:rsidRDefault="00BB489F" w:rsidP="00D90DD8">
      <w:pPr>
        <w:pStyle w:val="Bulletsround"/>
        <w:keepLines/>
        <w:numPr>
          <w:ilvl w:val="1"/>
          <w:numId w:val="7"/>
        </w:numPr>
      </w:pPr>
      <w:r w:rsidRPr="003B212E">
        <w:t>development of a response to the Australian Energy Infrastructure Commission’s Community Engagement Review report</w:t>
      </w:r>
    </w:p>
    <w:p w14:paraId="32162CD1" w14:textId="4210D4D6" w:rsidR="00B74EC3" w:rsidRDefault="00BB489F" w:rsidP="00D90DD8">
      <w:pPr>
        <w:pStyle w:val="Bulletsround"/>
        <w:keepLines/>
        <w:numPr>
          <w:ilvl w:val="1"/>
          <w:numId w:val="7"/>
        </w:numPr>
      </w:pPr>
      <w:r w:rsidRPr="003B212E">
        <w:t xml:space="preserve">progressing a National Renewable Energy Supply Chain Action Plan to strengthen supply chain resilience and manufacturing sovereignty, which is expected to be implemented through the </w:t>
      </w:r>
      <w:r w:rsidR="00D97A4C">
        <w:t>Australian government</w:t>
      </w:r>
      <w:r w:rsidR="00D97A4C" w:rsidRPr="003B212E">
        <w:t>’s</w:t>
      </w:r>
      <w:r w:rsidRPr="003B212E">
        <w:t xml:space="preserve"> Future Made in Australia </w:t>
      </w:r>
      <w:proofErr w:type="gramStart"/>
      <w:r w:rsidRPr="003B212E">
        <w:t>initiative</w:t>
      </w:r>
      <w:proofErr w:type="gramEnd"/>
    </w:p>
    <w:p w14:paraId="2434229D" w14:textId="7C088183" w:rsidR="0042140A" w:rsidRPr="003C7B2B" w:rsidRDefault="00376F99" w:rsidP="00D90DD8">
      <w:pPr>
        <w:pStyle w:val="Bulletsround"/>
        <w:keepLines/>
        <w:numPr>
          <w:ilvl w:val="1"/>
          <w:numId w:val="7"/>
        </w:numPr>
      </w:pPr>
      <w:r>
        <w:t>review</w:t>
      </w:r>
      <w:r w:rsidR="001F4146" w:rsidRPr="003C7B2B">
        <w:t xml:space="preserve"> of </w:t>
      </w:r>
      <w:r w:rsidR="001F4146" w:rsidRPr="0024758E">
        <w:rPr>
          <w:i/>
        </w:rPr>
        <w:t>Australia’s National Hydrogen Strategy</w:t>
      </w:r>
      <w:r w:rsidR="001F4146" w:rsidRPr="003C7B2B">
        <w:t xml:space="preserve"> and other national initiatives</w:t>
      </w:r>
      <w:r w:rsidR="007A6F91">
        <w:t>,</w:t>
      </w:r>
      <w:r w:rsidR="001F4146" w:rsidRPr="003C7B2B">
        <w:t xml:space="preserve"> to support</w:t>
      </w:r>
      <w:r w:rsidR="001F4146">
        <w:t xml:space="preserve"> </w:t>
      </w:r>
      <w:r w:rsidR="00124A47">
        <w:t>the</w:t>
      </w:r>
      <w:r w:rsidR="001F4146" w:rsidRPr="003C7B2B">
        <w:t xml:space="preserve"> </w:t>
      </w:r>
      <w:r w:rsidR="00124A47">
        <w:t xml:space="preserve">development of the </w:t>
      </w:r>
      <w:r w:rsidR="001F4146">
        <w:t xml:space="preserve">hydrogen </w:t>
      </w:r>
      <w:proofErr w:type="gramStart"/>
      <w:r w:rsidR="001F4146">
        <w:t>sector</w:t>
      </w:r>
      <w:proofErr w:type="gramEnd"/>
    </w:p>
    <w:p w14:paraId="7F835D4D" w14:textId="18DCBDD5" w:rsidR="00C106D6" w:rsidRPr="003C7B2B" w:rsidRDefault="0042140A" w:rsidP="00D90DD8">
      <w:pPr>
        <w:pStyle w:val="Bulletsround"/>
        <w:keepLines/>
        <w:numPr>
          <w:ilvl w:val="1"/>
          <w:numId w:val="7"/>
        </w:numPr>
      </w:pPr>
      <w:r>
        <w:t>engag</w:t>
      </w:r>
      <w:r w:rsidR="00B74EC3">
        <w:t>ement</w:t>
      </w:r>
      <w:r w:rsidR="005A76B1">
        <w:t xml:space="preserve"> </w:t>
      </w:r>
      <w:r w:rsidR="005A76B1" w:rsidRPr="003C7B2B">
        <w:t xml:space="preserve">on the development of the </w:t>
      </w:r>
      <w:r w:rsidR="008E3266" w:rsidRPr="003C7B2B">
        <w:t xml:space="preserve">national </w:t>
      </w:r>
      <w:r w:rsidR="00744757" w:rsidRPr="006151ED">
        <w:rPr>
          <w:i/>
        </w:rPr>
        <w:t>Net Zero Plan</w:t>
      </w:r>
      <w:r w:rsidR="00744757" w:rsidRPr="003C7B2B">
        <w:t xml:space="preserve"> and six sectoral decarbonisation plans.</w:t>
      </w:r>
    </w:p>
    <w:p w14:paraId="2888DF9F" w14:textId="66970CE5" w:rsidR="00836BD8" w:rsidRPr="003C7B2B" w:rsidRDefault="00B458A0" w:rsidP="00C45CCA">
      <w:pPr>
        <w:pStyle w:val="ListParagraph"/>
      </w:pPr>
      <w:r w:rsidRPr="003C7B2B">
        <w:t>Implementation of amendments to the national energy laws to incorporate an emissions reduction objective into the National Electricity Objective, National Gas Objective and National Energy Retail Objective</w:t>
      </w:r>
      <w:r w:rsidR="007106D6">
        <w:t>.</w:t>
      </w:r>
    </w:p>
    <w:p w14:paraId="18B1277F" w14:textId="17F35E57" w:rsidR="00130F22" w:rsidRPr="003C7B2B" w:rsidRDefault="00836BD8" w:rsidP="00DB42D9">
      <w:pPr>
        <w:pStyle w:val="ListParagraph"/>
      </w:pPr>
      <w:r w:rsidRPr="003C7B2B">
        <w:t>Implementation of</w:t>
      </w:r>
      <w:r w:rsidR="00B458A0" w:rsidRPr="003C7B2B">
        <w:t xml:space="preserve"> amendments to the National Gas Law and Regulations to bring hydrogen, hydrogen blends, biomethane and other renewable gases under the national gas regulatory framework</w:t>
      </w:r>
      <w:r w:rsidR="00B85993" w:rsidRPr="003C7B2B">
        <w:t xml:space="preserve"> through </w:t>
      </w:r>
      <w:r w:rsidR="00721F12" w:rsidRPr="003C7B2B">
        <w:t xml:space="preserve">progression of the </w:t>
      </w:r>
      <w:r w:rsidR="00721F12" w:rsidRPr="004B5945">
        <w:rPr>
          <w:i/>
        </w:rPr>
        <w:t>Gas Supply and Other Legislation (Hydrogen Industry Development) Amendment Act 2023</w:t>
      </w:r>
      <w:r w:rsidR="007106D6" w:rsidRPr="004B5945">
        <w:rPr>
          <w:i/>
          <w:iCs/>
        </w:rPr>
        <w:t>.</w:t>
      </w:r>
    </w:p>
    <w:p w14:paraId="0AC289C2" w14:textId="6D5BE072" w:rsidR="000641DB" w:rsidRPr="003C7B2B" w:rsidRDefault="00D0687D" w:rsidP="00DB42D9">
      <w:pPr>
        <w:pStyle w:val="ListParagraph"/>
      </w:pPr>
      <w:r w:rsidRPr="003C7B2B">
        <w:lastRenderedPageBreak/>
        <w:t>Participation in the Australia and New Zealand Government Procurement Agreement</w:t>
      </w:r>
      <w:r>
        <w:t xml:space="preserve"> </w:t>
      </w:r>
      <w:r w:rsidRPr="003C7B2B">
        <w:t xml:space="preserve">meetings for the </w:t>
      </w:r>
      <w:r w:rsidR="005E21D9" w:rsidRPr="003C7B2B">
        <w:t>Australian and New Zealand governments</w:t>
      </w:r>
      <w:r w:rsidRPr="003C7B2B">
        <w:t xml:space="preserve">, </w:t>
      </w:r>
      <w:proofErr w:type="gramStart"/>
      <w:r w:rsidRPr="003C7B2B">
        <w:t>states</w:t>
      </w:r>
      <w:proofErr w:type="gramEnd"/>
      <w:r w:rsidRPr="003C7B2B">
        <w:t xml:space="preserve"> and territories to work together to maximise procurement opportunities.  </w:t>
      </w:r>
    </w:p>
    <w:p w14:paraId="54F428DC" w14:textId="1CE8F6F5" w:rsidR="00EE417F" w:rsidRPr="003C7B2B" w:rsidRDefault="00DA0A12" w:rsidP="00DB42D9">
      <w:pPr>
        <w:pStyle w:val="ListParagraph"/>
        <w:sectPr w:rsidR="00EE417F" w:rsidRPr="003C7B2B" w:rsidSect="00E23076">
          <w:type w:val="continuous"/>
          <w:pgSz w:w="11906" w:h="16838"/>
          <w:pgMar w:top="2098" w:right="1191" w:bottom="1701" w:left="1191" w:header="720" w:footer="850" w:gutter="0"/>
          <w:cols w:space="295"/>
          <w:titlePg/>
        </w:sectPr>
      </w:pPr>
      <w:r w:rsidRPr="003C7B2B">
        <w:t xml:space="preserve">Provided advice and information to the Department of the Premier and </w:t>
      </w:r>
      <w:r w:rsidRPr="003C7B2B" w:rsidDel="007A047B">
        <w:t>Cabinet</w:t>
      </w:r>
      <w:r w:rsidR="007A047B" w:rsidRPr="003C7B2B">
        <w:t xml:space="preserve"> and</w:t>
      </w:r>
      <w:r w:rsidRPr="003C7B2B">
        <w:t xml:space="preserve"> attended inter-jurisdictional meetings </w:t>
      </w:r>
      <w:r w:rsidR="00661AF2" w:rsidRPr="003C7B2B">
        <w:t xml:space="preserve">regarding Free Trade obligations </w:t>
      </w:r>
      <w:r w:rsidR="00310671" w:rsidRPr="003C7B2B">
        <w:t>in agreements</w:t>
      </w:r>
      <w:r w:rsidR="00E13DDC">
        <w:t>,</w:t>
      </w:r>
      <w:r w:rsidR="00310671" w:rsidRPr="003C7B2B">
        <w:t xml:space="preserve"> including the </w:t>
      </w:r>
      <w:r w:rsidR="000641DB" w:rsidRPr="003C7B2B">
        <w:t>World Trade Organisation Agreement on Government Procurement</w:t>
      </w:r>
    </w:p>
    <w:p w14:paraId="02144900" w14:textId="144E5A40" w:rsidR="00A674A5" w:rsidRDefault="00A674A5" w:rsidP="00A3097C">
      <w:pPr>
        <w:pStyle w:val="BodyText"/>
        <w:rPr>
          <w:noProof/>
        </w:rPr>
      </w:pPr>
    </w:p>
    <w:p w14:paraId="111E97F9" w14:textId="774237E2" w:rsidR="003402B4" w:rsidRPr="003402B4" w:rsidRDefault="003402B4" w:rsidP="003402B4">
      <w:pPr>
        <w:pStyle w:val="DECHeading2"/>
      </w:pPr>
      <w:r w:rsidRPr="00185671">
        <w:t>Organisational</w:t>
      </w:r>
      <w:r>
        <w:t xml:space="preserve"> s</w:t>
      </w:r>
      <w:r w:rsidRPr="00185671">
        <w:t>tructure</w:t>
      </w:r>
      <w:r>
        <w:t xml:space="preserve"> as </w:t>
      </w:r>
      <w:proofErr w:type="gramStart"/>
      <w:r>
        <w:t>at</w:t>
      </w:r>
      <w:proofErr w:type="gramEnd"/>
      <w:r>
        <w:t xml:space="preserve"> 30 June 2024</w:t>
      </w:r>
    </w:p>
    <w:p w14:paraId="5DB8E24E" w14:textId="77777777" w:rsidR="003402B4" w:rsidRDefault="003402B4" w:rsidP="003402B4">
      <w:pPr>
        <w:rPr>
          <w:b/>
          <w:bCs/>
        </w:rPr>
      </w:pPr>
      <w:r w:rsidRPr="003D0A40">
        <w:rPr>
          <w:b/>
          <w:bCs/>
        </w:rPr>
        <w:t>Minister for Energy and Clean Economy Jobs</w:t>
      </w:r>
      <w:r>
        <w:rPr>
          <w:b/>
          <w:bCs/>
        </w:rPr>
        <w:t xml:space="preserve">, </w:t>
      </w:r>
      <w:hyperlink r:id="rId54" w:history="1">
        <w:r w:rsidRPr="003D0A40">
          <w:rPr>
            <w:b/>
            <w:bCs/>
          </w:rPr>
          <w:t>Hon</w:t>
        </w:r>
        <w:r>
          <w:rPr>
            <w:b/>
            <w:bCs/>
          </w:rPr>
          <w:t xml:space="preserve">ourable </w:t>
        </w:r>
        <w:r w:rsidRPr="003D0A40">
          <w:rPr>
            <w:b/>
            <w:bCs/>
          </w:rPr>
          <w:t xml:space="preserve">Mick de </w:t>
        </w:r>
        <w:proofErr w:type="spellStart"/>
        <w:r w:rsidRPr="003D0A40">
          <w:rPr>
            <w:b/>
            <w:bCs/>
          </w:rPr>
          <w:t>Brenni</w:t>
        </w:r>
        <w:proofErr w:type="spellEnd"/>
        <w:r w:rsidRPr="003D0A40">
          <w:rPr>
            <w:b/>
            <w:bCs/>
          </w:rPr>
          <w:t xml:space="preserve"> </w:t>
        </w:r>
      </w:hyperlink>
    </w:p>
    <w:p w14:paraId="18CEA2AE" w14:textId="77777777" w:rsidR="003402B4" w:rsidRDefault="003402B4" w:rsidP="003402B4">
      <w:pPr>
        <w:pStyle w:val="ListParagraph"/>
        <w:numPr>
          <w:ilvl w:val="0"/>
          <w:numId w:val="26"/>
        </w:numPr>
      </w:pPr>
      <w:r w:rsidRPr="00A3097C">
        <w:t>Director-General</w:t>
      </w:r>
      <w:r>
        <w:t xml:space="preserve">, Department of Energy and Climate, Paul Martyn </w:t>
      </w:r>
    </w:p>
    <w:p w14:paraId="4A43A69B" w14:textId="77777777" w:rsidR="003402B4" w:rsidRDefault="003402B4" w:rsidP="003402B4">
      <w:pPr>
        <w:pStyle w:val="ListParagraph"/>
        <w:numPr>
          <w:ilvl w:val="1"/>
          <w:numId w:val="26"/>
        </w:numPr>
      </w:pPr>
      <w:r>
        <w:t xml:space="preserve">Director, </w:t>
      </w:r>
      <w:r w:rsidRPr="00A3097C">
        <w:t>Office of the Director-General</w:t>
      </w:r>
    </w:p>
    <w:p w14:paraId="205B6765" w14:textId="77777777" w:rsidR="003402B4" w:rsidRDefault="003402B4" w:rsidP="003402B4">
      <w:pPr>
        <w:pStyle w:val="ListParagraph"/>
        <w:numPr>
          <w:ilvl w:val="1"/>
          <w:numId w:val="26"/>
        </w:numPr>
      </w:pPr>
      <w:r w:rsidRPr="00A3097C">
        <w:t>Deputy Director-General</w:t>
      </w:r>
      <w:r>
        <w:t>, Energy, D</w:t>
      </w:r>
      <w:r w:rsidRPr="00A3097C">
        <w:t>avid Shankey</w:t>
      </w:r>
    </w:p>
    <w:p w14:paraId="6D9A546C" w14:textId="77777777" w:rsidR="003402B4" w:rsidRDefault="003402B4" w:rsidP="003402B4">
      <w:pPr>
        <w:pStyle w:val="ListParagraph"/>
        <w:numPr>
          <w:ilvl w:val="2"/>
          <w:numId w:val="27"/>
        </w:numPr>
        <w:ind w:left="993" w:hanging="284"/>
      </w:pPr>
      <w:r>
        <w:t xml:space="preserve">Executive Director, </w:t>
      </w:r>
      <w:r w:rsidRPr="00A3097C">
        <w:t>Strategy, National and Analytic</w:t>
      </w:r>
      <w:r>
        <w:t>s</w:t>
      </w:r>
    </w:p>
    <w:p w14:paraId="54A59F0E" w14:textId="77777777" w:rsidR="003402B4" w:rsidRDefault="003402B4" w:rsidP="003402B4">
      <w:pPr>
        <w:pStyle w:val="ListParagraph"/>
        <w:numPr>
          <w:ilvl w:val="2"/>
          <w:numId w:val="27"/>
        </w:numPr>
        <w:ind w:left="993" w:hanging="284"/>
      </w:pPr>
      <w:r>
        <w:t xml:space="preserve">Executive Director, </w:t>
      </w:r>
      <w:r w:rsidRPr="00A3097C">
        <w:t xml:space="preserve">Renewable Energy </w:t>
      </w:r>
      <w:proofErr w:type="gramStart"/>
      <w:r w:rsidRPr="00A3097C">
        <w:t>Zones</w:t>
      </w:r>
      <w:proofErr w:type="gramEnd"/>
      <w:r w:rsidRPr="00A3097C">
        <w:t xml:space="preserve"> and Transformation</w:t>
      </w:r>
    </w:p>
    <w:p w14:paraId="70D3C49C" w14:textId="77777777" w:rsidR="003402B4" w:rsidRDefault="003402B4" w:rsidP="003402B4">
      <w:pPr>
        <w:pStyle w:val="ListParagraph"/>
        <w:numPr>
          <w:ilvl w:val="2"/>
          <w:numId w:val="27"/>
        </w:numPr>
        <w:ind w:left="993" w:hanging="284"/>
      </w:pPr>
      <w:r>
        <w:t xml:space="preserve">Executive Director, </w:t>
      </w:r>
      <w:r w:rsidRPr="00A3097C">
        <w:t>Supply and Storage</w:t>
      </w:r>
    </w:p>
    <w:p w14:paraId="072A7D6D" w14:textId="77777777" w:rsidR="003402B4" w:rsidRPr="00A3097C" w:rsidRDefault="003402B4" w:rsidP="003402B4">
      <w:pPr>
        <w:pStyle w:val="ListParagraph"/>
        <w:numPr>
          <w:ilvl w:val="2"/>
          <w:numId w:val="27"/>
        </w:numPr>
        <w:ind w:left="993" w:hanging="284"/>
      </w:pPr>
      <w:r>
        <w:t xml:space="preserve">Executive Director, </w:t>
      </w:r>
      <w:r w:rsidRPr="00A3097C">
        <w:t xml:space="preserve">Distribution, </w:t>
      </w:r>
      <w:proofErr w:type="gramStart"/>
      <w:r w:rsidRPr="00A3097C">
        <w:t>Consumer</w:t>
      </w:r>
      <w:proofErr w:type="gramEnd"/>
      <w:r w:rsidRPr="00A3097C">
        <w:t xml:space="preserve"> and Innovation</w:t>
      </w:r>
    </w:p>
    <w:p w14:paraId="041A6FAE" w14:textId="77777777" w:rsidR="003402B4" w:rsidRPr="00A3097C" w:rsidRDefault="003402B4" w:rsidP="003402B4">
      <w:pPr>
        <w:pStyle w:val="ListParagraph"/>
        <w:numPr>
          <w:ilvl w:val="1"/>
          <w:numId w:val="26"/>
        </w:numPr>
      </w:pPr>
      <w:r w:rsidRPr="00A3097C">
        <w:t>Deputy Director-General</w:t>
      </w:r>
      <w:r>
        <w:t xml:space="preserve">, </w:t>
      </w:r>
      <w:r w:rsidRPr="00A3097C">
        <w:t>Hydrogen and Future Fuels</w:t>
      </w:r>
      <w:r>
        <w:t xml:space="preserve">, </w:t>
      </w:r>
      <w:r w:rsidRPr="00A3097C">
        <w:t>Alana Barlow</w:t>
      </w:r>
    </w:p>
    <w:p w14:paraId="053B18B7" w14:textId="77777777" w:rsidR="003402B4" w:rsidRPr="00A3097C" w:rsidRDefault="003402B4" w:rsidP="003402B4">
      <w:pPr>
        <w:pStyle w:val="ListParagraph"/>
        <w:numPr>
          <w:ilvl w:val="2"/>
          <w:numId w:val="27"/>
        </w:numPr>
        <w:ind w:left="993" w:hanging="284"/>
      </w:pPr>
      <w:r>
        <w:t xml:space="preserve">Executive Director, </w:t>
      </w:r>
      <w:r w:rsidRPr="00A3097C">
        <w:t>Hydrogen and Future Fuels</w:t>
      </w:r>
    </w:p>
    <w:p w14:paraId="472FE84A" w14:textId="77777777" w:rsidR="003402B4" w:rsidRPr="00A3097C" w:rsidRDefault="003402B4" w:rsidP="003402B4">
      <w:pPr>
        <w:pStyle w:val="ListParagraph"/>
        <w:numPr>
          <w:ilvl w:val="1"/>
          <w:numId w:val="26"/>
        </w:numPr>
      </w:pPr>
      <w:r w:rsidRPr="00A3097C">
        <w:t>Deputy Director-General</w:t>
      </w:r>
      <w:r>
        <w:t>, Climate,</w:t>
      </w:r>
      <w:r w:rsidRPr="00A3097C">
        <w:t xml:space="preserve"> Carlye Sycz</w:t>
      </w:r>
    </w:p>
    <w:p w14:paraId="13EF477C" w14:textId="30F4A42A" w:rsidR="003402B4" w:rsidRPr="00A3097C" w:rsidRDefault="003402B4" w:rsidP="003402B4">
      <w:pPr>
        <w:pStyle w:val="ListParagraph"/>
        <w:numPr>
          <w:ilvl w:val="2"/>
          <w:numId w:val="27"/>
        </w:numPr>
        <w:ind w:left="993" w:hanging="284"/>
      </w:pPr>
      <w:r w:rsidRPr="00A3097C">
        <w:t>Executive Director</w:t>
      </w:r>
      <w:r>
        <w:t xml:space="preserve">, Emissions, Strategic </w:t>
      </w:r>
      <w:r>
        <w:t>Coordination</w:t>
      </w:r>
      <w:r>
        <w:t xml:space="preserve"> and Governance</w:t>
      </w:r>
    </w:p>
    <w:p w14:paraId="5D962966" w14:textId="4266C12D" w:rsidR="003402B4" w:rsidRDefault="003402B4" w:rsidP="003402B4">
      <w:pPr>
        <w:pStyle w:val="ListParagraph"/>
        <w:numPr>
          <w:ilvl w:val="2"/>
          <w:numId w:val="27"/>
        </w:numPr>
        <w:ind w:left="993" w:hanging="284"/>
      </w:pPr>
      <w:r>
        <w:t>Executive Director, Climate Science, Analytics and Adaptation</w:t>
      </w:r>
    </w:p>
    <w:p w14:paraId="64BF2796" w14:textId="77777777" w:rsidR="003402B4" w:rsidRPr="00A3097C" w:rsidRDefault="003402B4" w:rsidP="003402B4">
      <w:pPr>
        <w:pStyle w:val="ListParagraph"/>
        <w:numPr>
          <w:ilvl w:val="1"/>
          <w:numId w:val="26"/>
        </w:numPr>
      </w:pPr>
      <w:r>
        <w:t xml:space="preserve">Acting </w:t>
      </w:r>
      <w:r w:rsidRPr="00A3097C">
        <w:t>Deputy Director-General</w:t>
      </w:r>
      <w:r>
        <w:t>, Queensland Government Procurement, Chris Perkins</w:t>
      </w:r>
    </w:p>
    <w:p w14:paraId="145E9729" w14:textId="77777777" w:rsidR="003402B4" w:rsidRPr="00A3097C" w:rsidRDefault="003402B4" w:rsidP="003402B4">
      <w:pPr>
        <w:pStyle w:val="ListParagraph"/>
        <w:numPr>
          <w:ilvl w:val="2"/>
          <w:numId w:val="27"/>
        </w:numPr>
        <w:ind w:left="993" w:hanging="284"/>
      </w:pPr>
      <w:r w:rsidRPr="00A3097C">
        <w:t>Executive Director</w:t>
      </w:r>
      <w:r>
        <w:t>, Policy</w:t>
      </w:r>
    </w:p>
    <w:p w14:paraId="0BD9C86E" w14:textId="77777777" w:rsidR="003402B4" w:rsidRPr="00A3097C" w:rsidRDefault="003402B4" w:rsidP="003402B4">
      <w:pPr>
        <w:pStyle w:val="ListParagraph"/>
        <w:numPr>
          <w:ilvl w:val="2"/>
          <w:numId w:val="27"/>
        </w:numPr>
        <w:ind w:left="993" w:hanging="284"/>
      </w:pPr>
      <w:r w:rsidRPr="00A3097C">
        <w:t>Executive Director</w:t>
      </w:r>
      <w:r>
        <w:t>, Compliance</w:t>
      </w:r>
    </w:p>
    <w:p w14:paraId="3CEAD0D8" w14:textId="77777777" w:rsidR="003402B4" w:rsidRPr="00A3097C" w:rsidRDefault="003402B4" w:rsidP="003402B4">
      <w:pPr>
        <w:pStyle w:val="ListParagraph"/>
        <w:numPr>
          <w:ilvl w:val="2"/>
          <w:numId w:val="27"/>
        </w:numPr>
        <w:ind w:left="993" w:hanging="284"/>
      </w:pPr>
      <w:r w:rsidRPr="00A3097C">
        <w:t>Executive Director</w:t>
      </w:r>
      <w:r>
        <w:t xml:space="preserve">, </w:t>
      </w:r>
      <w:r w:rsidRPr="00A3097C">
        <w:t>General Goods and Services</w:t>
      </w:r>
    </w:p>
    <w:p w14:paraId="175AC0BE" w14:textId="77777777" w:rsidR="003402B4" w:rsidRPr="00A3097C" w:rsidRDefault="003402B4" w:rsidP="003402B4">
      <w:pPr>
        <w:pStyle w:val="ListParagraph"/>
        <w:numPr>
          <w:ilvl w:val="2"/>
          <w:numId w:val="27"/>
        </w:numPr>
        <w:ind w:left="993" w:hanging="284"/>
      </w:pPr>
      <w:r w:rsidRPr="00A3097C">
        <w:t>General Manager</w:t>
      </w:r>
      <w:r>
        <w:t>, QFleet</w:t>
      </w:r>
    </w:p>
    <w:p w14:paraId="0FA0FD70" w14:textId="77777777" w:rsidR="003402B4" w:rsidRPr="00A3097C" w:rsidRDefault="003402B4" w:rsidP="003402B4">
      <w:pPr>
        <w:pStyle w:val="ListParagraph"/>
        <w:numPr>
          <w:ilvl w:val="1"/>
          <w:numId w:val="26"/>
        </w:numPr>
      </w:pPr>
      <w:r w:rsidRPr="00A3097C">
        <w:t>Deputy Director-General</w:t>
      </w:r>
      <w:r>
        <w:t xml:space="preserve">, Corporate Services, </w:t>
      </w:r>
      <w:r w:rsidRPr="00A3097C">
        <w:t>Irene Violet</w:t>
      </w:r>
    </w:p>
    <w:p w14:paraId="2E275EF2" w14:textId="77777777" w:rsidR="003402B4" w:rsidRPr="00A3097C" w:rsidRDefault="003402B4" w:rsidP="003402B4">
      <w:pPr>
        <w:pStyle w:val="ListParagraph"/>
        <w:numPr>
          <w:ilvl w:val="2"/>
          <w:numId w:val="27"/>
        </w:numPr>
        <w:ind w:left="993" w:hanging="284"/>
      </w:pPr>
      <w:r w:rsidRPr="00A3097C">
        <w:t>Chief Finance Officer</w:t>
      </w:r>
    </w:p>
    <w:p w14:paraId="377238AA" w14:textId="77777777" w:rsidR="003402B4" w:rsidRPr="00A3097C" w:rsidRDefault="003402B4" w:rsidP="003402B4">
      <w:pPr>
        <w:pStyle w:val="ListParagraph"/>
        <w:numPr>
          <w:ilvl w:val="2"/>
          <w:numId w:val="27"/>
        </w:numPr>
        <w:ind w:left="993" w:hanging="284"/>
      </w:pPr>
      <w:r w:rsidRPr="00A3097C">
        <w:t>Chief Human Resources Officer</w:t>
      </w:r>
    </w:p>
    <w:p w14:paraId="33F4A7ED" w14:textId="77777777" w:rsidR="003402B4" w:rsidRPr="00A3097C" w:rsidRDefault="003402B4" w:rsidP="003402B4">
      <w:pPr>
        <w:pStyle w:val="ListParagraph"/>
        <w:numPr>
          <w:ilvl w:val="2"/>
          <w:numId w:val="27"/>
        </w:numPr>
        <w:ind w:left="993" w:hanging="284"/>
      </w:pPr>
      <w:r w:rsidRPr="00A3097C">
        <w:t>Executive Director</w:t>
      </w:r>
      <w:r>
        <w:t xml:space="preserve">, </w:t>
      </w:r>
      <w:r w:rsidRPr="00A3097C">
        <w:t>Strategic Communication and Engagement</w:t>
      </w:r>
    </w:p>
    <w:p w14:paraId="4BDB0497" w14:textId="77777777" w:rsidR="003402B4" w:rsidRPr="00A3097C" w:rsidRDefault="003402B4" w:rsidP="003402B4">
      <w:pPr>
        <w:pStyle w:val="ListParagraph"/>
        <w:numPr>
          <w:ilvl w:val="2"/>
          <w:numId w:val="27"/>
        </w:numPr>
        <w:ind w:left="993" w:hanging="284"/>
      </w:pPr>
      <w:r w:rsidRPr="00A3097C">
        <w:t>Executive Director</w:t>
      </w:r>
      <w:r>
        <w:t xml:space="preserve">, </w:t>
      </w:r>
      <w:r w:rsidRPr="00A3097C">
        <w:t>Strategy, Performance and Digital</w:t>
      </w:r>
    </w:p>
    <w:p w14:paraId="2C4BF85D" w14:textId="77777777" w:rsidR="003402B4" w:rsidRPr="00A3097C" w:rsidRDefault="003402B4" w:rsidP="003402B4">
      <w:pPr>
        <w:pStyle w:val="ListParagraph"/>
        <w:numPr>
          <w:ilvl w:val="2"/>
          <w:numId w:val="27"/>
        </w:numPr>
        <w:ind w:left="993" w:hanging="284"/>
      </w:pPr>
      <w:r w:rsidRPr="00A3097C">
        <w:t>Director</w:t>
      </w:r>
      <w:r>
        <w:t xml:space="preserve">, </w:t>
      </w:r>
      <w:r w:rsidRPr="00A3097C">
        <w:t>Executive Services</w:t>
      </w:r>
    </w:p>
    <w:p w14:paraId="0F467189" w14:textId="77777777" w:rsidR="00864FAB" w:rsidRDefault="00864FAB" w:rsidP="00A3097C">
      <w:pPr>
        <w:pStyle w:val="BodyText"/>
        <w:sectPr w:rsidR="00864FAB" w:rsidSect="003402B4">
          <w:pgSz w:w="11906" w:h="16838"/>
          <w:pgMar w:top="2098" w:right="1191" w:bottom="1701" w:left="1191" w:header="720" w:footer="850" w:gutter="0"/>
          <w:cols w:space="720"/>
          <w:docGrid w:linePitch="272"/>
        </w:sectPr>
      </w:pPr>
    </w:p>
    <w:p w14:paraId="11868D6E" w14:textId="3B310EB7" w:rsidR="00836C6B" w:rsidRPr="00097251" w:rsidRDefault="00836C6B" w:rsidP="00E9351D">
      <w:pPr>
        <w:pStyle w:val="DECChapterHeading"/>
      </w:pPr>
      <w:bookmarkStart w:id="205" w:name="_Toc111189211"/>
      <w:bookmarkStart w:id="206" w:name="_Toc138317834"/>
      <w:bookmarkStart w:id="207" w:name="_Toc172794870"/>
      <w:bookmarkStart w:id="208" w:name="_Toc176424939"/>
      <w:r w:rsidRPr="00097251">
        <w:lastRenderedPageBreak/>
        <w:t xml:space="preserve">Our </w:t>
      </w:r>
      <w:r w:rsidR="00CA6C05">
        <w:t>s</w:t>
      </w:r>
      <w:r w:rsidRPr="00097251">
        <w:t xml:space="preserve">trategic </w:t>
      </w:r>
      <w:r w:rsidR="00CA6C05">
        <w:t>o</w:t>
      </w:r>
      <w:r w:rsidRPr="00097251">
        <w:t>bjectives</w:t>
      </w:r>
      <w:bookmarkEnd w:id="205"/>
      <w:bookmarkEnd w:id="206"/>
      <w:bookmarkEnd w:id="207"/>
      <w:bookmarkEnd w:id="208"/>
    </w:p>
    <w:p w14:paraId="3D393494" w14:textId="0E24CE99" w:rsidR="00A44566" w:rsidRPr="00E86D5A" w:rsidRDefault="00836C6B" w:rsidP="00286129">
      <w:pPr>
        <w:pStyle w:val="BodyText"/>
        <w:widowControl w:val="0"/>
        <w:rPr>
          <w:color w:val="FF0000"/>
        </w:rPr>
      </w:pPr>
      <w:r w:rsidRPr="00264812">
        <w:t xml:space="preserve">In </w:t>
      </w:r>
      <w:r w:rsidR="0087524A" w:rsidRPr="00264812">
        <w:t>20</w:t>
      </w:r>
      <w:r w:rsidR="00CE0344" w:rsidRPr="00264812">
        <w:t>23-24</w:t>
      </w:r>
      <w:r w:rsidRPr="00264812">
        <w:t xml:space="preserve">, the department </w:t>
      </w:r>
      <w:r w:rsidR="00EB7AEF">
        <w:t>contributed</w:t>
      </w:r>
      <w:r w:rsidR="00EB7AEF" w:rsidRPr="00264812">
        <w:t xml:space="preserve"> </w:t>
      </w:r>
      <w:r w:rsidRPr="00264812">
        <w:t xml:space="preserve">toward a more sustainable and prosperous future through our </w:t>
      </w:r>
      <w:r>
        <w:t xml:space="preserve">strategic plan. </w:t>
      </w:r>
      <w:r w:rsidRPr="00264812">
        <w:t xml:space="preserve">This section highlights our achievements against our strategic objectives </w:t>
      </w:r>
      <w:r w:rsidR="00AF5D77">
        <w:t>as</w:t>
      </w:r>
      <w:r w:rsidRPr="00264812">
        <w:t xml:space="preserve"> outlined in our </w:t>
      </w:r>
      <w:r w:rsidR="00686D08" w:rsidRPr="00686D08">
        <w:rPr>
          <w:i/>
          <w:iCs/>
        </w:rPr>
        <w:t>S</w:t>
      </w:r>
      <w:r w:rsidRPr="00686D08">
        <w:rPr>
          <w:i/>
          <w:iCs/>
        </w:rPr>
        <w:t xml:space="preserve">trategic </w:t>
      </w:r>
      <w:r w:rsidR="00686D08" w:rsidRPr="00686D08">
        <w:rPr>
          <w:i/>
          <w:iCs/>
        </w:rPr>
        <w:t>P</w:t>
      </w:r>
      <w:r w:rsidRPr="00686D08">
        <w:rPr>
          <w:i/>
          <w:iCs/>
        </w:rPr>
        <w:t>lan</w:t>
      </w:r>
      <w:r w:rsidRPr="00686D08">
        <w:rPr>
          <w:i/>
        </w:rPr>
        <w:t xml:space="preserve"> </w:t>
      </w:r>
      <w:r w:rsidR="00A45C98" w:rsidRPr="00686D08">
        <w:rPr>
          <w:i/>
        </w:rPr>
        <w:t>2023</w:t>
      </w:r>
      <w:r w:rsidR="008A452D">
        <w:rPr>
          <w:i/>
        </w:rPr>
        <w:t>–20</w:t>
      </w:r>
      <w:r w:rsidR="00A45C98" w:rsidRPr="00686D08">
        <w:rPr>
          <w:i/>
        </w:rPr>
        <w:t>27</w:t>
      </w:r>
      <w:r w:rsidRPr="00264812">
        <w:t>.</w:t>
      </w:r>
    </w:p>
    <w:tbl>
      <w:tblPr>
        <w:tblStyle w:val="TableGrid"/>
        <w:tblpPr w:leftFromText="180" w:rightFromText="180" w:vertAnchor="text" w:tblpY="1"/>
        <w:tblOverlap w:val="never"/>
        <w:tblW w:w="0" w:type="auto"/>
        <w:shd w:val="clear" w:color="auto" w:fill="F2F2F2" w:themeFill="background1" w:themeFillShade="F2"/>
        <w:tblLook w:val="04A0" w:firstRow="1" w:lastRow="0" w:firstColumn="1" w:lastColumn="0" w:noHBand="0" w:noVBand="1"/>
      </w:tblPr>
      <w:tblGrid>
        <w:gridCol w:w="9514"/>
      </w:tblGrid>
      <w:tr w:rsidR="002774ED" w14:paraId="393D1A70" w14:textId="77777777" w:rsidTr="006C2362">
        <w:tc>
          <w:tcPr>
            <w:tcW w:w="9514" w:type="dxa"/>
            <w:shd w:val="clear" w:color="auto" w:fill="F2F2F2"/>
          </w:tcPr>
          <w:p w14:paraId="2DCBA2A7" w14:textId="7E76115C" w:rsidR="002774ED" w:rsidRDefault="002774ED" w:rsidP="00654F2F">
            <w:pPr>
              <w:pStyle w:val="DECHeading2"/>
            </w:pPr>
            <w:bookmarkStart w:id="209" w:name="_Toc111189212"/>
            <w:bookmarkStart w:id="210" w:name="_Toc138317835"/>
            <w:bookmarkStart w:id="211" w:name="_Toc172794871"/>
            <w:bookmarkStart w:id="212" w:name="_Toc172806389"/>
            <w:bookmarkStart w:id="213" w:name="_Toc172806675"/>
            <w:bookmarkStart w:id="214" w:name="_Toc176424940"/>
            <w:r>
              <w:t xml:space="preserve">Our </w:t>
            </w:r>
            <w:r w:rsidR="00E055E5">
              <w:t>2023</w:t>
            </w:r>
            <w:r w:rsidR="00CA6C05">
              <w:t>–</w:t>
            </w:r>
            <w:r w:rsidR="00E055E5">
              <w:t xml:space="preserve">24 </w:t>
            </w:r>
            <w:r w:rsidR="003525C0">
              <w:t>h</w:t>
            </w:r>
            <w:r>
              <w:t>ighlights</w:t>
            </w:r>
            <w:bookmarkEnd w:id="209"/>
            <w:bookmarkEnd w:id="210"/>
            <w:bookmarkEnd w:id="211"/>
            <w:bookmarkEnd w:id="212"/>
            <w:bookmarkEnd w:id="213"/>
            <w:bookmarkEnd w:id="214"/>
          </w:p>
          <w:p w14:paraId="5BEF3B0E" w14:textId="3BD96CD6" w:rsidR="009B2DA0" w:rsidRPr="00092DAA" w:rsidRDefault="004071FB" w:rsidP="00654F2F">
            <w:pPr>
              <w:pStyle w:val="DECHeading3"/>
            </w:pPr>
            <w:bookmarkStart w:id="215" w:name="_Toc172806390"/>
            <w:bookmarkStart w:id="216" w:name="_Toc172806676"/>
            <w:bookmarkStart w:id="217" w:name="_Toc172808501"/>
            <w:bookmarkStart w:id="218" w:name="_Toc174605644"/>
            <w:bookmarkStart w:id="219" w:name="_Toc176424782"/>
            <w:bookmarkStart w:id="220" w:name="_Toc176424941"/>
            <w:r w:rsidRPr="00092DAA">
              <w:t>Energy</w:t>
            </w:r>
            <w:bookmarkEnd w:id="215"/>
            <w:bookmarkEnd w:id="216"/>
            <w:bookmarkEnd w:id="217"/>
            <w:bookmarkEnd w:id="218"/>
            <w:bookmarkEnd w:id="219"/>
            <w:bookmarkEnd w:id="220"/>
          </w:p>
          <w:p w14:paraId="6FE95CA2" w14:textId="40FF6443" w:rsidR="00B6140F" w:rsidRPr="008B1796" w:rsidRDefault="005916E0" w:rsidP="001D7BC5">
            <w:pPr>
              <w:pStyle w:val="ListParagraph"/>
              <w:spacing w:after="120"/>
            </w:pPr>
            <w:r w:rsidRPr="00BB43B8">
              <w:t xml:space="preserve">Support delivery of the </w:t>
            </w:r>
            <w:r w:rsidR="00E35BAA" w:rsidRPr="00BB43B8">
              <w:t xml:space="preserve">Queensland Energy and Jobs Plan </w:t>
            </w:r>
            <w:r w:rsidR="00C25214" w:rsidRPr="00BB43B8">
              <w:t xml:space="preserve">through the </w:t>
            </w:r>
            <w:r w:rsidR="008D4AB1">
              <w:t>passage of the</w:t>
            </w:r>
            <w:r w:rsidR="00C25214" w:rsidRPr="00BB43B8">
              <w:t xml:space="preserve"> </w:t>
            </w:r>
            <w:r w:rsidR="00B722F3" w:rsidRPr="00BB43B8">
              <w:rPr>
                <w:i/>
                <w:iCs/>
              </w:rPr>
              <w:t xml:space="preserve">Energy (Renewable Transformation and Jobs) Act </w:t>
            </w:r>
            <w:r w:rsidR="00B722F3" w:rsidRPr="008D4AB1">
              <w:rPr>
                <w:i/>
              </w:rPr>
              <w:t>2024</w:t>
            </w:r>
            <w:r w:rsidR="00372D60" w:rsidRPr="00BB43B8">
              <w:t xml:space="preserve"> </w:t>
            </w:r>
            <w:r w:rsidR="00E35BAA" w:rsidRPr="00BB43B8">
              <w:t xml:space="preserve">enshrining </w:t>
            </w:r>
            <w:r w:rsidR="008768C7" w:rsidRPr="00BB43B8">
              <w:t>Queensland’s commitment</w:t>
            </w:r>
            <w:r w:rsidR="00DC26BA" w:rsidRPr="00BB43B8">
              <w:t xml:space="preserve"> to </w:t>
            </w:r>
            <w:r w:rsidR="00D740B5" w:rsidRPr="00BB43B8">
              <w:t>a clean economy future</w:t>
            </w:r>
            <w:r w:rsidR="0013193C" w:rsidRPr="00BB43B8">
              <w:t xml:space="preserve">. </w:t>
            </w:r>
          </w:p>
          <w:p w14:paraId="7C18A348" w14:textId="2D3F493C" w:rsidR="00131F78" w:rsidRPr="0014007B" w:rsidRDefault="00131F78" w:rsidP="001D7BC5">
            <w:pPr>
              <w:pStyle w:val="ListParagraph"/>
              <w:spacing w:after="120"/>
            </w:pPr>
            <w:r w:rsidRPr="0014007B">
              <w:t>$60 million over 2 years ($40 million in 2023</w:t>
            </w:r>
            <w:r w:rsidR="001C1E3D">
              <w:t>–</w:t>
            </w:r>
            <w:r w:rsidRPr="0014007B">
              <w:t xml:space="preserve">24), to complement Australian </w:t>
            </w:r>
            <w:r w:rsidR="00D10BEC">
              <w:t>g</w:t>
            </w:r>
            <w:r w:rsidRPr="0014007B">
              <w:t xml:space="preserve">overnment </w:t>
            </w:r>
            <w:r w:rsidR="009C7F6D" w:rsidRPr="0014007B">
              <w:t>initiatives, delivering</w:t>
            </w:r>
            <w:r w:rsidRPr="0014007B">
              <w:t xml:space="preserve"> energy efficiency measures to keep costs down for households, enabling more choice and greater energy equity</w:t>
            </w:r>
            <w:r w:rsidR="00C073F5">
              <w:t>.</w:t>
            </w:r>
          </w:p>
          <w:p w14:paraId="2E7F656F" w14:textId="2207C00A" w:rsidR="00131F78" w:rsidRPr="0014007B" w:rsidRDefault="00131F78" w:rsidP="001D7BC5">
            <w:pPr>
              <w:pStyle w:val="ListParagraph"/>
              <w:spacing w:after="120"/>
            </w:pPr>
            <w:r w:rsidRPr="0014007B">
              <w:t>$35 million over 3 years ($14.5 million in 2023</w:t>
            </w:r>
            <w:r>
              <w:t>–</w:t>
            </w:r>
            <w:r w:rsidRPr="0014007B">
              <w:t>24), to deliver the Queensland Business Energy Saving and Transformation Program to support businesses in Queensland to reduce their electricity bills</w:t>
            </w:r>
            <w:r w:rsidR="00C073F5">
              <w:t>.</w:t>
            </w:r>
          </w:p>
          <w:p w14:paraId="1A993B24" w14:textId="3EA05C8A" w:rsidR="00131F78" w:rsidRPr="0014007B" w:rsidRDefault="00131F78" w:rsidP="001D7BC5">
            <w:pPr>
              <w:pStyle w:val="ListParagraph"/>
              <w:spacing w:after="120"/>
            </w:pPr>
            <w:r w:rsidRPr="0014007B">
              <w:t>$35 million over 4 years ($12 million in 2023</w:t>
            </w:r>
            <w:r>
              <w:t>–</w:t>
            </w:r>
            <w:r w:rsidRPr="0014007B">
              <w:t>24), to undertake strategic planning and community engagement activities to develop Queensland Renewable Energy Zones in a coordinated</w:t>
            </w:r>
            <w:r w:rsidR="005843DB">
              <w:t>, collaborative</w:t>
            </w:r>
            <w:r w:rsidRPr="0014007B">
              <w:t xml:space="preserve"> way and increase community benefits</w:t>
            </w:r>
            <w:r w:rsidR="00C073F5">
              <w:t>.</w:t>
            </w:r>
          </w:p>
          <w:p w14:paraId="3A51F72D" w14:textId="58236ED7" w:rsidR="58D7F40D" w:rsidRPr="00E427D8" w:rsidRDefault="58D7F40D" w:rsidP="5AF76E8D">
            <w:pPr>
              <w:pStyle w:val="ListParagraph"/>
              <w:spacing w:after="120"/>
            </w:pPr>
            <w:r w:rsidRPr="0014007B">
              <w:t xml:space="preserve">$30 million over 4 years ($12.5 million in 2023–24), for charging infrastructure to make government buildings </w:t>
            </w:r>
            <w:r w:rsidR="00057BCA">
              <w:t>z</w:t>
            </w:r>
            <w:r w:rsidRPr="0014007B">
              <w:t xml:space="preserve">ero </w:t>
            </w:r>
            <w:r w:rsidR="00057BCA">
              <w:t>e</w:t>
            </w:r>
            <w:r w:rsidRPr="0014007B">
              <w:t xml:space="preserve">mission </w:t>
            </w:r>
            <w:r w:rsidR="00057BCA">
              <w:t>v</w:t>
            </w:r>
            <w:r w:rsidRPr="0014007B">
              <w:t>ehicle ready</w:t>
            </w:r>
            <w:r>
              <w:t>.</w:t>
            </w:r>
          </w:p>
          <w:p w14:paraId="6B5B4ED7" w14:textId="77777777" w:rsidR="004071FB" w:rsidRPr="00092DAA" w:rsidRDefault="004071FB" w:rsidP="00654F2F">
            <w:pPr>
              <w:pStyle w:val="DECHeading3"/>
            </w:pPr>
            <w:bookmarkStart w:id="221" w:name="_Toc172806391"/>
            <w:bookmarkStart w:id="222" w:name="_Toc172806677"/>
            <w:bookmarkStart w:id="223" w:name="_Toc172808502"/>
            <w:bookmarkStart w:id="224" w:name="_Toc174605645"/>
            <w:bookmarkStart w:id="225" w:name="_Toc176424783"/>
            <w:bookmarkStart w:id="226" w:name="_Toc176424942"/>
            <w:r w:rsidRPr="00092DAA">
              <w:t>Procurement</w:t>
            </w:r>
            <w:bookmarkEnd w:id="221"/>
            <w:bookmarkEnd w:id="222"/>
            <w:bookmarkEnd w:id="223"/>
            <w:bookmarkEnd w:id="224"/>
            <w:bookmarkEnd w:id="225"/>
            <w:bookmarkEnd w:id="226"/>
          </w:p>
          <w:p w14:paraId="71596435" w14:textId="51A2A2DB" w:rsidR="00F25D31" w:rsidRPr="0014007B" w:rsidRDefault="003E7684" w:rsidP="00F25D31">
            <w:pPr>
              <w:pStyle w:val="ListParagraph"/>
              <w:spacing w:after="120"/>
            </w:pPr>
            <w:bookmarkStart w:id="227" w:name="_Hlk170460428"/>
            <w:r w:rsidRPr="0014007B">
              <w:t>Continued</w:t>
            </w:r>
            <w:r w:rsidR="00281CA0" w:rsidRPr="0014007B">
              <w:t xml:space="preserve"> the three-year</w:t>
            </w:r>
            <w:r w:rsidR="005134EF" w:rsidRPr="0014007B">
              <w:t xml:space="preserve"> implementation </w:t>
            </w:r>
            <w:r w:rsidR="00982EBD" w:rsidRPr="0014007B">
              <w:t xml:space="preserve">of </w:t>
            </w:r>
            <w:r w:rsidR="0028533E" w:rsidRPr="0014007B">
              <w:rPr>
                <w:i/>
              </w:rPr>
              <w:t>Buy Queensland 2023</w:t>
            </w:r>
            <w:r w:rsidR="0028533E" w:rsidRPr="0014007B">
              <w:t xml:space="preserve"> </w:t>
            </w:r>
            <w:r w:rsidR="00982EBD" w:rsidRPr="0014007B">
              <w:t>to</w:t>
            </w:r>
            <w:r w:rsidR="00734067" w:rsidRPr="0014007B">
              <w:t xml:space="preserve"> ensure our procurement investment supports quality, local jobs, boosts the Queensland economy</w:t>
            </w:r>
            <w:r w:rsidR="00446267">
              <w:t>,</w:t>
            </w:r>
            <w:r w:rsidR="00734067" w:rsidRPr="0014007B">
              <w:t xml:space="preserve"> and leaves a lasting positive legacy for current and future generations of Queenslanders.</w:t>
            </w:r>
          </w:p>
          <w:p w14:paraId="47DC9721" w14:textId="39F96A64" w:rsidR="00F25D31" w:rsidRPr="0014007B" w:rsidRDefault="00F25D31" w:rsidP="001D55C7">
            <w:pPr>
              <w:pStyle w:val="ListParagraph"/>
              <w:spacing w:after="120"/>
            </w:pPr>
            <w:r w:rsidRPr="0014007B">
              <w:t>Launch</w:t>
            </w:r>
            <w:r w:rsidR="002E2057" w:rsidRPr="0014007B">
              <w:t>ed</w:t>
            </w:r>
            <w:r w:rsidR="00391F4B" w:rsidRPr="0014007B">
              <w:t xml:space="preserve"> </w:t>
            </w:r>
            <w:r w:rsidRPr="0014007B">
              <w:t>the new procurement system which enhances supplier visibility of procurement opportunities and streamlines engagement with the government, leading to reduced time and effort in the procurement process. </w:t>
            </w:r>
            <w:bookmarkEnd w:id="227"/>
          </w:p>
          <w:p w14:paraId="4473DF78" w14:textId="33857A7B" w:rsidR="009C1851" w:rsidRPr="0014007B" w:rsidRDefault="4B3928F8" w:rsidP="009C1851">
            <w:pPr>
              <w:pStyle w:val="ListParagraph"/>
            </w:pPr>
            <w:r w:rsidRPr="0014007B">
              <w:t xml:space="preserve">Created a level playing field for Queensland </w:t>
            </w:r>
            <w:r w:rsidR="007071DB">
              <w:t>G</w:t>
            </w:r>
            <w:r w:rsidRPr="0014007B">
              <w:t xml:space="preserve">overnment suppliers by expanding application of the </w:t>
            </w:r>
            <w:r w:rsidR="6041615D" w:rsidRPr="0014007B">
              <w:t xml:space="preserve">Ethical Supplier </w:t>
            </w:r>
            <w:r w:rsidRPr="0014007B">
              <w:t>Mandate to all procurement contracts executed on or after 1 February 2024 across all categories of spend</w:t>
            </w:r>
            <w:r w:rsidR="009179A7" w:rsidRPr="0014007B">
              <w:t>.</w:t>
            </w:r>
            <w:r w:rsidRPr="0014007B">
              <w:t xml:space="preserve"> </w:t>
            </w:r>
          </w:p>
          <w:p w14:paraId="5CB224DD" w14:textId="47974E5C" w:rsidR="00E1103F" w:rsidRPr="0014007B" w:rsidRDefault="370477E9" w:rsidP="004A6E09">
            <w:pPr>
              <w:pStyle w:val="ListParagraph"/>
            </w:pPr>
            <w:r w:rsidRPr="7946044E">
              <w:rPr>
                <w:rFonts w:eastAsia="Arial Nova Light" w:cs="Arial Nova Light"/>
              </w:rPr>
              <w:t xml:space="preserve">Continued to transition eligible QFleet passenger and SUV vehicles to zero emission vehicles </w:t>
            </w:r>
            <w:r w:rsidR="007C6022" w:rsidRPr="7946044E">
              <w:rPr>
                <w:rFonts w:eastAsia="Arial Nova Light" w:cs="Arial Nova Light"/>
              </w:rPr>
              <w:t>(ZEVs)</w:t>
            </w:r>
            <w:r w:rsidRPr="7946044E">
              <w:rPr>
                <w:rFonts w:eastAsia="Arial Nova Light" w:cs="Arial Nova Light"/>
              </w:rPr>
              <w:t xml:space="preserve"> as leases </w:t>
            </w:r>
            <w:r w:rsidRPr="3B6EC069">
              <w:rPr>
                <w:rFonts w:eastAsia="Arial Nova Light" w:cs="Arial Nova Light"/>
              </w:rPr>
              <w:t>expire</w:t>
            </w:r>
            <w:r w:rsidR="1DE7EA7E" w:rsidRPr="3B6EC069">
              <w:rPr>
                <w:rFonts w:eastAsia="Arial Nova Light" w:cs="Arial Nova Light"/>
              </w:rPr>
              <w:t>d</w:t>
            </w:r>
            <w:r w:rsidR="4BC61A1A" w:rsidRPr="364A9B12">
              <w:rPr>
                <w:rFonts w:eastAsia="Arial Nova Light" w:cs="Arial Nova Light"/>
              </w:rPr>
              <w:t xml:space="preserve"> and</w:t>
            </w:r>
            <w:r w:rsidR="00451B72">
              <w:rPr>
                <w:rFonts w:eastAsia="Arial Nova Light" w:cs="Arial Nova Light"/>
              </w:rPr>
              <w:t xml:space="preserve"> </w:t>
            </w:r>
            <w:r w:rsidR="2ABA34EF" w:rsidRPr="5FA6F4D0">
              <w:rPr>
                <w:rFonts w:eastAsia="Arial Nova Light" w:cs="Arial Nova Light"/>
              </w:rPr>
              <w:t>support broader community transition by</w:t>
            </w:r>
            <w:r w:rsidRPr="5FA6F4D0">
              <w:rPr>
                <w:rFonts w:eastAsia="Arial Nova Light" w:cs="Arial Nova Light"/>
              </w:rPr>
              <w:t xml:space="preserve"> </w:t>
            </w:r>
            <w:r w:rsidR="00E97A77">
              <w:rPr>
                <w:rFonts w:eastAsia="Arial Nova Light" w:cs="Arial Nova Light"/>
              </w:rPr>
              <w:t>i</w:t>
            </w:r>
            <w:r w:rsidRPr="4C7D273A">
              <w:rPr>
                <w:rFonts w:eastAsia="Arial Nova Light" w:cs="Arial Nova Light"/>
              </w:rPr>
              <w:t>ncreas</w:t>
            </w:r>
            <w:r w:rsidR="00E97A77">
              <w:rPr>
                <w:rFonts w:eastAsia="Arial Nova Light" w:cs="Arial Nova Light"/>
              </w:rPr>
              <w:t>ing</w:t>
            </w:r>
            <w:r w:rsidRPr="7946044E">
              <w:rPr>
                <w:rFonts w:eastAsia="Arial Nova Light" w:cs="Arial Nova Light"/>
              </w:rPr>
              <w:t xml:space="preserve"> the availability of quality second-hand</w:t>
            </w:r>
            <w:r w:rsidR="00E20342">
              <w:rPr>
                <w:rFonts w:eastAsia="Arial Nova Light" w:cs="Arial Nova Light"/>
              </w:rPr>
              <w:t>, end of lease</w:t>
            </w:r>
            <w:r w:rsidRPr="7946044E">
              <w:rPr>
                <w:rFonts w:eastAsia="Arial Nova Light" w:cs="Arial Nova Light"/>
              </w:rPr>
              <w:t xml:space="preserve"> ZEVs </w:t>
            </w:r>
            <w:r w:rsidR="23FD4529" w:rsidRPr="415352E2">
              <w:rPr>
                <w:rFonts w:eastAsia="Arial Nova Light" w:cs="Arial Nova Light"/>
              </w:rPr>
              <w:t>available</w:t>
            </w:r>
            <w:r w:rsidR="23FD4529" w:rsidRPr="1EFF2613">
              <w:rPr>
                <w:rFonts w:eastAsia="Arial Nova Light" w:cs="Arial Nova Light"/>
              </w:rPr>
              <w:t xml:space="preserve"> </w:t>
            </w:r>
            <w:r w:rsidRPr="7946044E">
              <w:rPr>
                <w:rFonts w:eastAsia="Arial Nova Light" w:cs="Arial Nova Light"/>
              </w:rPr>
              <w:t>to the used car market each year</w:t>
            </w:r>
            <w:r w:rsidR="394A7421" w:rsidRPr="65ED9CBB" w:rsidDel="009C0D13">
              <w:rPr>
                <w:rFonts w:eastAsia="Arial Nova Light" w:cs="Arial Nova Light"/>
              </w:rPr>
              <w:t xml:space="preserve"> </w:t>
            </w:r>
            <w:r w:rsidR="0133A066" w:rsidRPr="4C7D273A">
              <w:rPr>
                <w:rFonts w:eastAsia="Arial Nova Light" w:cs="Arial Nova Light"/>
              </w:rPr>
              <w:t>for purchase via public</w:t>
            </w:r>
            <w:r w:rsidR="54D02CD0" w:rsidRPr="4C7D273A">
              <w:rPr>
                <w:rFonts w:eastAsia="Arial Nova Light" w:cs="Arial Nova Light"/>
              </w:rPr>
              <w:t xml:space="preserve"> auction</w:t>
            </w:r>
            <w:r w:rsidRPr="7946044E">
              <w:rPr>
                <w:rFonts w:eastAsia="Arial Nova Light" w:cs="Arial Nova Light"/>
              </w:rPr>
              <w:t>.</w:t>
            </w:r>
          </w:p>
        </w:tc>
      </w:tr>
    </w:tbl>
    <w:p w14:paraId="29CD590A" w14:textId="77777777" w:rsidR="004A6E09" w:rsidRDefault="004A6E09">
      <w:pPr>
        <w:spacing w:before="0" w:after="160" w:line="259" w:lineRule="auto"/>
      </w:pPr>
      <w:r>
        <w:br w:type="page"/>
      </w:r>
    </w:p>
    <w:tbl>
      <w:tblPr>
        <w:tblStyle w:val="TableGrid"/>
        <w:tblpPr w:leftFromText="180" w:rightFromText="180" w:vertAnchor="text" w:tblpY="1"/>
        <w:tblOverlap w:val="never"/>
        <w:tblW w:w="0" w:type="auto"/>
        <w:shd w:val="clear" w:color="auto" w:fill="F2F2F2" w:themeFill="background1" w:themeFillShade="F2"/>
        <w:tblLook w:val="04A0" w:firstRow="1" w:lastRow="0" w:firstColumn="1" w:lastColumn="0" w:noHBand="0" w:noVBand="1"/>
      </w:tblPr>
      <w:tblGrid>
        <w:gridCol w:w="9514"/>
      </w:tblGrid>
      <w:tr w:rsidR="004A6E09" w14:paraId="637552B4" w14:textId="77777777">
        <w:tc>
          <w:tcPr>
            <w:tcW w:w="9514" w:type="dxa"/>
            <w:shd w:val="clear" w:color="auto" w:fill="F2F2F2"/>
          </w:tcPr>
          <w:p w14:paraId="190DC248" w14:textId="08BFAEF0" w:rsidR="004A6E09" w:rsidRPr="00092DAA" w:rsidRDefault="004A6E09">
            <w:pPr>
              <w:pStyle w:val="DECHeading3"/>
            </w:pPr>
            <w:bookmarkStart w:id="228" w:name="_Toc174605646"/>
            <w:bookmarkStart w:id="229" w:name="_Toc176424784"/>
            <w:bookmarkStart w:id="230" w:name="_Toc176424943"/>
            <w:r w:rsidRPr="00092DAA">
              <w:lastRenderedPageBreak/>
              <w:t>Climate</w:t>
            </w:r>
            <w:bookmarkEnd w:id="228"/>
            <w:bookmarkEnd w:id="229"/>
            <w:bookmarkEnd w:id="230"/>
          </w:p>
          <w:p w14:paraId="3FE30F3C" w14:textId="77777777" w:rsidR="004A6E09" w:rsidRPr="0014007B" w:rsidRDefault="004A6E09">
            <w:pPr>
              <w:pStyle w:val="ListParagraph"/>
              <w:spacing w:after="120"/>
            </w:pPr>
            <w:r w:rsidRPr="0014007B">
              <w:t xml:space="preserve">Supported passage of the </w:t>
            </w:r>
            <w:r w:rsidRPr="00DB15D4">
              <w:rPr>
                <w:i/>
              </w:rPr>
              <w:t>Clean Economy Jobs Act 2024</w:t>
            </w:r>
            <w:r w:rsidRPr="0014007B">
              <w:t xml:space="preserve"> to enshrine Queensland’s 2030, 2035 and 2050 emissions reduction targets in legislation and drive work towards a clean economy future.</w:t>
            </w:r>
          </w:p>
          <w:p w14:paraId="04CC4ACA" w14:textId="2B02314D" w:rsidR="004A6E09" w:rsidRPr="0014007B" w:rsidRDefault="004A6E09">
            <w:pPr>
              <w:pStyle w:val="ListParagraph"/>
              <w:spacing w:after="120"/>
            </w:pPr>
            <w:r w:rsidRPr="0014007B">
              <w:t xml:space="preserve">Invested in the Queensland Decarbonisation Hub, a collaborative project between the Queensland </w:t>
            </w:r>
            <w:r w:rsidR="007071DB">
              <w:t>G</w:t>
            </w:r>
            <w:r w:rsidRPr="0014007B">
              <w:t>overnment and seven leading Queensland universities</w:t>
            </w:r>
            <w:r>
              <w:t>,</w:t>
            </w:r>
            <w:r w:rsidRPr="0014007B">
              <w:t xml:space="preserve"> focused on consolidating and undertaking research to support the decarbonisation of Queensland’s economy.</w:t>
            </w:r>
          </w:p>
          <w:p w14:paraId="2C5DE0A1" w14:textId="69A9A919" w:rsidR="004A6E09" w:rsidRPr="0014007B" w:rsidRDefault="004A6E09">
            <w:pPr>
              <w:pStyle w:val="ListParagraph"/>
              <w:spacing w:after="120"/>
            </w:pPr>
            <w:r w:rsidRPr="0014007B">
              <w:t xml:space="preserve">Allocated $10 million over three years to the </w:t>
            </w:r>
            <w:proofErr w:type="spellStart"/>
            <w:r w:rsidRPr="0014007B">
              <w:t>ecoBiz</w:t>
            </w:r>
            <w:proofErr w:type="spellEnd"/>
            <w:r w:rsidRPr="0014007B">
              <w:t xml:space="preserve"> sustainability program, delivered by the Business Chamber Queensland, which assists businesses </w:t>
            </w:r>
            <w:r w:rsidR="00EE6955">
              <w:t xml:space="preserve">to </w:t>
            </w:r>
            <w:r w:rsidRPr="0014007B">
              <w:t xml:space="preserve">audit their resource use, manage carbon emissions and save on costs while reducing consumption of waste, </w:t>
            </w:r>
            <w:proofErr w:type="gramStart"/>
            <w:r w:rsidRPr="0014007B">
              <w:t>water</w:t>
            </w:r>
            <w:proofErr w:type="gramEnd"/>
            <w:r w:rsidRPr="0014007B">
              <w:t xml:space="preserve"> and energy.</w:t>
            </w:r>
          </w:p>
          <w:p w14:paraId="287F51A3" w14:textId="77777777" w:rsidR="004A6E09" w:rsidRPr="004956DF" w:rsidRDefault="004A6E09">
            <w:pPr>
              <w:pStyle w:val="ListParagraph"/>
              <w:spacing w:after="120"/>
            </w:pPr>
            <w:r w:rsidRPr="0014007B">
              <w:t>Committed $2 million to the Local Government Association of Queensland to extend the Queensland Climate Resilient Councils initiative until 2026 to further enhance climate resilience in local governments across Queensland.</w:t>
            </w:r>
          </w:p>
          <w:p w14:paraId="376BA931" w14:textId="77777777" w:rsidR="004A6E09" w:rsidRPr="00092DAA" w:rsidRDefault="004A6E09">
            <w:pPr>
              <w:pStyle w:val="DECHeading3"/>
            </w:pPr>
            <w:bookmarkStart w:id="231" w:name="_Toc174605647"/>
            <w:bookmarkStart w:id="232" w:name="_Toc176424785"/>
            <w:bookmarkStart w:id="233" w:name="_Toc176424944"/>
            <w:r>
              <w:t>Hydrogen and Future Fuels</w:t>
            </w:r>
            <w:bookmarkEnd w:id="231"/>
            <w:bookmarkEnd w:id="232"/>
            <w:bookmarkEnd w:id="233"/>
          </w:p>
          <w:p w14:paraId="74FC06B0" w14:textId="77777777" w:rsidR="00B6140F" w:rsidRPr="0014007B" w:rsidRDefault="00B6140F" w:rsidP="00B6140F">
            <w:pPr>
              <w:pStyle w:val="ListParagraph"/>
              <w:numPr>
                <w:ilvl w:val="0"/>
                <w:numId w:val="13"/>
              </w:numPr>
            </w:pPr>
            <w:r w:rsidRPr="0014007B">
              <w:t>Led and coordinated government actions to support the growth of a safe and sustainable renewable hydrogen industry, including progressing the development of strong policy and legislative frameworks and planning at strategic hydrogen hubs in Queensland</w:t>
            </w:r>
            <w:r>
              <w:t>.</w:t>
            </w:r>
          </w:p>
          <w:p w14:paraId="38468183" w14:textId="77777777" w:rsidR="004A6E09" w:rsidRPr="0014007B" w:rsidRDefault="004A6E09" w:rsidP="00113DF0">
            <w:pPr>
              <w:pStyle w:val="ListParagraph"/>
              <w:numPr>
                <w:ilvl w:val="0"/>
                <w:numId w:val="13"/>
              </w:numPr>
            </w:pPr>
            <w:r w:rsidRPr="0014007B">
              <w:t>Delivered key studies identified under the $15 million Supercharging Hydrogen Hubs Fund</w:t>
            </w:r>
            <w:r>
              <w:t>.</w:t>
            </w:r>
          </w:p>
          <w:p w14:paraId="03E347B9" w14:textId="77777777" w:rsidR="004A6E09" w:rsidRPr="0014007B" w:rsidRDefault="004A6E09" w:rsidP="00113DF0">
            <w:pPr>
              <w:pStyle w:val="ListParagraph"/>
              <w:numPr>
                <w:ilvl w:val="0"/>
                <w:numId w:val="13"/>
              </w:numPr>
            </w:pPr>
            <w:r w:rsidRPr="0014007B">
              <w:t xml:space="preserve">Established a clear approvals pathway for hydrogen (and other prescribed substances) in pipelines through progression of the </w:t>
            </w:r>
            <w:r w:rsidRPr="00F00E8F">
              <w:rPr>
                <w:i/>
              </w:rPr>
              <w:t>Gas Supply and Other Legislation (Hydrogen Industry Development) Amendment Act 2023</w:t>
            </w:r>
            <w:r w:rsidRPr="00F00E8F">
              <w:rPr>
                <w:i/>
                <w:iCs/>
              </w:rPr>
              <w:t>.</w:t>
            </w:r>
          </w:p>
          <w:p w14:paraId="31E40888" w14:textId="77777777" w:rsidR="004A6E09" w:rsidRPr="0014007B" w:rsidRDefault="004A6E09" w:rsidP="00113DF0">
            <w:pPr>
              <w:pStyle w:val="ListParagraph"/>
              <w:numPr>
                <w:ilvl w:val="0"/>
                <w:numId w:val="13"/>
              </w:numPr>
            </w:pPr>
            <w:r w:rsidRPr="0014007B">
              <w:t>Commenced consultation and industry engagement to inform development of a fuels strategy to drive the uptake of sustainable liquid fuels as part of Queensland’s energy mix towards net zero and beyond</w:t>
            </w:r>
            <w:r>
              <w:t>.</w:t>
            </w:r>
            <w:r w:rsidRPr="0014007B">
              <w:t xml:space="preserve"> </w:t>
            </w:r>
          </w:p>
          <w:p w14:paraId="14282738" w14:textId="77777777" w:rsidR="004A6E09" w:rsidRPr="0014007B" w:rsidRDefault="004A6E09" w:rsidP="00113DF0">
            <w:pPr>
              <w:pStyle w:val="ListParagraph"/>
              <w:numPr>
                <w:ilvl w:val="0"/>
                <w:numId w:val="13"/>
              </w:numPr>
            </w:pPr>
            <w:r w:rsidRPr="0014007B">
              <w:t xml:space="preserve">Continued to deliver Queensland’s </w:t>
            </w:r>
            <w:r>
              <w:t>F</w:t>
            </w:r>
            <w:r w:rsidRPr="0014007B">
              <w:t xml:space="preserve">uel </w:t>
            </w:r>
            <w:r>
              <w:t>P</w:t>
            </w:r>
            <w:r w:rsidRPr="0014007B">
              <w:t xml:space="preserve">rice </w:t>
            </w:r>
            <w:r>
              <w:t>R</w:t>
            </w:r>
            <w:r w:rsidRPr="0014007B">
              <w:t>eporting scheme, which puts up</w:t>
            </w:r>
            <w:r>
              <w:t>-</w:t>
            </w:r>
            <w:r w:rsidRPr="0014007B">
              <w:t>to</w:t>
            </w:r>
            <w:r>
              <w:t>-</w:t>
            </w:r>
            <w:r w:rsidRPr="0014007B">
              <w:t>date fuel prices in the hands of Queensland’s motorists to shop around for the best priced fuel and save money at the bowser</w:t>
            </w:r>
            <w:r>
              <w:t>.</w:t>
            </w:r>
            <w:r w:rsidRPr="0014007B">
              <w:t xml:space="preserve"> </w:t>
            </w:r>
          </w:p>
        </w:tc>
      </w:tr>
    </w:tbl>
    <w:p w14:paraId="35417811" w14:textId="35597DBE" w:rsidR="00A64DBD" w:rsidRPr="00A64DBD" w:rsidRDefault="00A64DBD" w:rsidP="00286129">
      <w:pPr>
        <w:pStyle w:val="BodyText"/>
        <w:widowControl w:val="0"/>
        <w:sectPr w:rsidR="00A64DBD" w:rsidRPr="00A64DBD" w:rsidSect="00DC7C72">
          <w:headerReference w:type="default" r:id="rId55"/>
          <w:footerReference w:type="default" r:id="rId56"/>
          <w:headerReference w:type="first" r:id="rId57"/>
          <w:pgSz w:w="11906" w:h="16838"/>
          <w:pgMar w:top="2098" w:right="1191" w:bottom="1701" w:left="1191" w:header="720" w:footer="850" w:gutter="0"/>
          <w:cols w:space="720"/>
          <w:docGrid w:linePitch="272"/>
        </w:sectPr>
      </w:pPr>
    </w:p>
    <w:p w14:paraId="7A8FE89D" w14:textId="4C7AD055" w:rsidR="007D7E77" w:rsidRPr="009E16E4" w:rsidRDefault="008F7893" w:rsidP="00654F2F">
      <w:pPr>
        <w:pStyle w:val="DECheading11"/>
      </w:pPr>
      <w:bookmarkStart w:id="234" w:name="_Objective_one"/>
      <w:bookmarkStart w:id="235" w:name="_Toc111189213"/>
      <w:bookmarkStart w:id="236" w:name="_Toc138317836"/>
      <w:bookmarkStart w:id="237" w:name="_Toc172794872"/>
      <w:bookmarkStart w:id="238" w:name="_Toc172806394"/>
      <w:bookmarkStart w:id="239" w:name="_Toc172808406"/>
      <w:bookmarkStart w:id="240" w:name="_Toc176424945"/>
      <w:bookmarkEnd w:id="234"/>
      <w:r w:rsidRPr="009E16E4">
        <w:lastRenderedPageBreak/>
        <w:t>Objective one</w:t>
      </w:r>
      <w:bookmarkEnd w:id="235"/>
      <w:bookmarkEnd w:id="236"/>
      <w:bookmarkEnd w:id="237"/>
      <w:bookmarkEnd w:id="238"/>
      <w:bookmarkEnd w:id="239"/>
      <w:bookmarkEnd w:id="240"/>
    </w:p>
    <w:p w14:paraId="3ADC978B" w14:textId="41E813DC" w:rsidR="000A70C9" w:rsidRDefault="00E16956" w:rsidP="00C93034">
      <w:pPr>
        <w:pStyle w:val="DECHeading2"/>
      </w:pPr>
      <w:bookmarkStart w:id="241" w:name="_Toc138317837"/>
      <w:bookmarkStart w:id="242" w:name="_Toc172794873"/>
      <w:bookmarkStart w:id="243" w:name="_Toc172806395"/>
      <w:bookmarkStart w:id="244" w:name="_Toc172806681"/>
      <w:bookmarkStart w:id="245" w:name="_Toc172808506"/>
      <w:bookmarkStart w:id="246" w:name="_Toc174605649"/>
      <w:bookmarkStart w:id="247" w:name="_Toc176424787"/>
      <w:bookmarkStart w:id="248" w:name="_Toc176424946"/>
      <w:r w:rsidRPr="00B22B85">
        <w:t xml:space="preserve">Drive affordable, reliable and clean </w:t>
      </w:r>
      <w:proofErr w:type="gramStart"/>
      <w:r w:rsidRPr="00B22B85">
        <w:t>energy</w:t>
      </w:r>
      <w:bookmarkEnd w:id="241"/>
      <w:bookmarkEnd w:id="242"/>
      <w:bookmarkEnd w:id="243"/>
      <w:bookmarkEnd w:id="244"/>
      <w:bookmarkEnd w:id="245"/>
      <w:bookmarkEnd w:id="246"/>
      <w:bookmarkEnd w:id="247"/>
      <w:bookmarkEnd w:id="248"/>
      <w:proofErr w:type="gramEnd"/>
      <w:r w:rsidR="007A1E70">
        <w:t xml:space="preserve"> </w:t>
      </w:r>
    </w:p>
    <w:p w14:paraId="5F9A0F31" w14:textId="1D390C0A" w:rsidR="00AF1D6C" w:rsidRPr="00AF1D6C" w:rsidRDefault="007A1E70" w:rsidP="00072B0A">
      <w:pPr>
        <w:pStyle w:val="DECHeading3"/>
      </w:pPr>
      <w:bookmarkStart w:id="249" w:name="_Toc138317838"/>
      <w:bookmarkStart w:id="250" w:name="_Toc172794874"/>
      <w:bookmarkStart w:id="251" w:name="_Toc172806396"/>
      <w:bookmarkStart w:id="252" w:name="_Toc172806682"/>
      <w:bookmarkStart w:id="253" w:name="_Toc172808507"/>
      <w:bookmarkStart w:id="254" w:name="_Toc174605650"/>
      <w:bookmarkStart w:id="255" w:name="_Toc176424788"/>
      <w:bookmarkStart w:id="256" w:name="_Toc176424947"/>
      <w:r>
        <w:t xml:space="preserve">Delivering programs and services that ensure reliability, </w:t>
      </w:r>
      <w:proofErr w:type="gramStart"/>
      <w:r>
        <w:t>affordability</w:t>
      </w:r>
      <w:proofErr w:type="gramEnd"/>
      <w:r>
        <w:t xml:space="preserve"> and equity of Queensland’s energy supply</w:t>
      </w:r>
      <w:r w:rsidR="00F74529">
        <w:t xml:space="preserve">. </w:t>
      </w:r>
      <w:r w:rsidR="00A52F56">
        <w:t>Building our hydrogen</w:t>
      </w:r>
      <w:r w:rsidR="0008501B">
        <w:t xml:space="preserve"> and sustainable fuel industries to secure Queensland’s low emissions future</w:t>
      </w:r>
      <w:r w:rsidR="005C78E0">
        <w:t>, regional econ</w:t>
      </w:r>
      <w:r w:rsidR="00D548B5">
        <w:t xml:space="preserve">omies, </w:t>
      </w:r>
      <w:proofErr w:type="gramStart"/>
      <w:r w:rsidR="00D548B5">
        <w:t>jobs</w:t>
      </w:r>
      <w:proofErr w:type="gramEnd"/>
      <w:r w:rsidR="00D548B5">
        <w:t xml:space="preserve"> and export potential</w:t>
      </w:r>
      <w:bookmarkEnd w:id="249"/>
      <w:bookmarkEnd w:id="250"/>
      <w:bookmarkEnd w:id="251"/>
      <w:bookmarkEnd w:id="252"/>
      <w:bookmarkEnd w:id="253"/>
      <w:bookmarkEnd w:id="254"/>
      <w:bookmarkEnd w:id="255"/>
      <w:bookmarkEnd w:id="256"/>
    </w:p>
    <w:p w14:paraId="6115F148" w14:textId="560440E5" w:rsidR="004914C4" w:rsidRPr="00416453" w:rsidRDefault="007D7E77" w:rsidP="007D5C38">
      <w:pPr>
        <w:pStyle w:val="BodyText"/>
      </w:pPr>
      <w:r w:rsidRPr="00416453">
        <w:t xml:space="preserve">We deliver this strategic objective through our </w:t>
      </w:r>
      <w:r w:rsidR="002825A7" w:rsidRPr="00416453">
        <w:t>E</w:t>
      </w:r>
      <w:r w:rsidRPr="00416453">
        <w:t xml:space="preserve">nergy </w:t>
      </w:r>
      <w:r w:rsidR="00E426CE">
        <w:t>and Hyd</w:t>
      </w:r>
      <w:r w:rsidR="00FD3AE0">
        <w:t>rogen and Future Fuels divisions</w:t>
      </w:r>
      <w:r w:rsidR="00592199">
        <w:t xml:space="preserve">, </w:t>
      </w:r>
      <w:r w:rsidR="004914C4" w:rsidRPr="00416453">
        <w:t>by</w:t>
      </w:r>
      <w:r w:rsidRPr="00416453">
        <w:t>:</w:t>
      </w:r>
    </w:p>
    <w:p w14:paraId="0DE97C6D" w14:textId="263B7EE7" w:rsidR="00B6140F" w:rsidRPr="0014007B" w:rsidRDefault="009E0B00" w:rsidP="00B6140F">
      <w:pPr>
        <w:pStyle w:val="ListParagraph"/>
        <w:numPr>
          <w:ilvl w:val="0"/>
          <w:numId w:val="9"/>
        </w:numPr>
      </w:pPr>
      <w:r>
        <w:t>C</w:t>
      </w:r>
      <w:r w:rsidR="00B6140F" w:rsidRPr="0014007B">
        <w:t>ollaborat</w:t>
      </w:r>
      <w:r w:rsidR="00B6140F">
        <w:t>i</w:t>
      </w:r>
      <w:r w:rsidR="00206E6C">
        <w:t>ng</w:t>
      </w:r>
      <w:r w:rsidR="00B6140F">
        <w:t xml:space="preserve"> with</w:t>
      </w:r>
      <w:r w:rsidR="00B6140F" w:rsidDel="00206E6C">
        <w:t xml:space="preserve"> </w:t>
      </w:r>
      <w:r w:rsidR="00B6140F">
        <w:t xml:space="preserve">all areas of government, government owned corporations, industry, unions, and communities </w:t>
      </w:r>
      <w:r w:rsidR="00B6140F" w:rsidRPr="0014007B">
        <w:t xml:space="preserve">to deliver the </w:t>
      </w:r>
      <w:r w:rsidR="00B6140F" w:rsidRPr="003153D0">
        <w:rPr>
          <w:i/>
        </w:rPr>
        <w:t>Queensland Energy and Jobs Plan</w:t>
      </w:r>
    </w:p>
    <w:p w14:paraId="5D79F931" w14:textId="619D3785" w:rsidR="00745B4C" w:rsidRPr="0014007B" w:rsidRDefault="00B6140F" w:rsidP="00D90DD8">
      <w:pPr>
        <w:pStyle w:val="ListParagraph"/>
        <w:numPr>
          <w:ilvl w:val="0"/>
          <w:numId w:val="9"/>
        </w:numPr>
      </w:pPr>
      <w:r>
        <w:t xml:space="preserve">Delivering programs to improve access to affordable </w:t>
      </w:r>
      <w:proofErr w:type="gramStart"/>
      <w:r>
        <w:t>energy</w:t>
      </w:r>
      <w:proofErr w:type="gramEnd"/>
      <w:r>
        <w:t xml:space="preserve"> </w:t>
      </w:r>
      <w:r w:rsidR="00745B4C" w:rsidRPr="0014007B">
        <w:t xml:space="preserve"> </w:t>
      </w:r>
    </w:p>
    <w:p w14:paraId="7D92D93C" w14:textId="62C57C0F" w:rsidR="00F34FDB" w:rsidRPr="00821FAF" w:rsidRDefault="00745B4C" w:rsidP="00D90DD8">
      <w:pPr>
        <w:pStyle w:val="ListParagraph"/>
        <w:numPr>
          <w:ilvl w:val="0"/>
          <w:numId w:val="9"/>
        </w:numPr>
      </w:pPr>
      <w:r w:rsidRPr="0014007B">
        <w:t xml:space="preserve">Supporting </w:t>
      </w:r>
      <w:r>
        <w:t xml:space="preserve">economic diversification in North-West Queensland </w:t>
      </w:r>
    </w:p>
    <w:p w14:paraId="72474370" w14:textId="0990F082" w:rsidR="00821FAF" w:rsidRDefault="00821FAF" w:rsidP="00D90DD8">
      <w:pPr>
        <w:pStyle w:val="ListParagraph"/>
        <w:numPr>
          <w:ilvl w:val="0"/>
          <w:numId w:val="9"/>
        </w:numPr>
      </w:pPr>
      <w:r w:rsidRPr="00821FAF">
        <w:t xml:space="preserve">Building towards net-zero emissions future, </w:t>
      </w:r>
      <w:proofErr w:type="gramStart"/>
      <w:r w:rsidRPr="00821FAF">
        <w:t>economy</w:t>
      </w:r>
      <w:proofErr w:type="gramEnd"/>
      <w:r w:rsidRPr="00821FAF">
        <w:t xml:space="preserve"> and jobs</w:t>
      </w:r>
    </w:p>
    <w:p w14:paraId="7D4932C5" w14:textId="074D5AE7" w:rsidR="007C16B8" w:rsidRPr="007C16B8" w:rsidRDefault="0014007B" w:rsidP="00D90DD8">
      <w:pPr>
        <w:pStyle w:val="ListParagraph"/>
        <w:numPr>
          <w:ilvl w:val="0"/>
          <w:numId w:val="9"/>
        </w:numPr>
      </w:pPr>
      <w:r>
        <w:t xml:space="preserve">Investigating </w:t>
      </w:r>
      <w:r w:rsidR="007927EF">
        <w:t>cleaner</w:t>
      </w:r>
      <w:r w:rsidR="00193F6D">
        <w:t xml:space="preserve"> fuel sources that </w:t>
      </w:r>
      <w:r w:rsidR="00F3550D">
        <w:t>e</w:t>
      </w:r>
      <w:r w:rsidR="00D42F87">
        <w:t xml:space="preserve">nable Queenslanders to </w:t>
      </w:r>
      <w:r w:rsidR="00C863B4">
        <w:t>sustain their way of living</w:t>
      </w:r>
      <w:r w:rsidR="003518E2">
        <w:t>.</w:t>
      </w:r>
    </w:p>
    <w:p w14:paraId="23683843" w14:textId="77777777" w:rsidR="00E67C3D" w:rsidRPr="00F35E2F" w:rsidRDefault="00E67C3D" w:rsidP="00403DA3">
      <w:pPr>
        <w:pStyle w:val="ListParagraph"/>
        <w:numPr>
          <w:ilvl w:val="0"/>
          <w:numId w:val="0"/>
        </w:numPr>
        <w:ind w:left="360"/>
      </w:pPr>
    </w:p>
    <w:tbl>
      <w:tblPr>
        <w:tblStyle w:val="TableGrid"/>
        <w:tblW w:w="9514" w:type="dxa"/>
        <w:tblLook w:val="04A0" w:firstRow="1" w:lastRow="0" w:firstColumn="1" w:lastColumn="0" w:noHBand="0" w:noVBand="1"/>
      </w:tblPr>
      <w:tblGrid>
        <w:gridCol w:w="4890"/>
        <w:gridCol w:w="1635"/>
        <w:gridCol w:w="2989"/>
      </w:tblGrid>
      <w:tr w:rsidR="00430F7A" w:rsidRPr="007432F8" w14:paraId="0D3FC017" w14:textId="77777777" w:rsidTr="37F05FFD">
        <w:trPr>
          <w:trHeight w:val="300"/>
        </w:trPr>
        <w:tc>
          <w:tcPr>
            <w:tcW w:w="4890" w:type="dxa"/>
            <w:shd w:val="clear" w:color="auto" w:fill="7F7F7F" w:themeFill="text2" w:themeFillTint="80"/>
          </w:tcPr>
          <w:p w14:paraId="791AD973" w14:textId="1D8AF0EB" w:rsidR="00A114C6" w:rsidRPr="004B7AB0" w:rsidRDefault="00A114C6" w:rsidP="004B7AB0">
            <w:pPr>
              <w:pStyle w:val="DECTableheader"/>
              <w:rPr>
                <w:lang w:val="en-AU"/>
              </w:rPr>
            </w:pPr>
            <w:r w:rsidRPr="004B7AB0">
              <w:rPr>
                <w:lang w:val="en-AU"/>
              </w:rPr>
              <w:t xml:space="preserve">Strategic </w:t>
            </w:r>
            <w:r w:rsidR="00757173">
              <w:rPr>
                <w:lang w:val="en-AU"/>
              </w:rPr>
              <w:t>o</w:t>
            </w:r>
            <w:r w:rsidRPr="004B7AB0">
              <w:rPr>
                <w:lang w:val="en-AU"/>
              </w:rPr>
              <w:t xml:space="preserve">bjective </w:t>
            </w:r>
            <w:r w:rsidR="00757173">
              <w:rPr>
                <w:lang w:val="en-AU"/>
              </w:rPr>
              <w:t>p</w:t>
            </w:r>
            <w:r w:rsidRPr="004B7AB0">
              <w:rPr>
                <w:lang w:val="en-AU"/>
              </w:rPr>
              <w:t xml:space="preserve">erformance </w:t>
            </w:r>
            <w:r w:rsidR="006F7521">
              <w:rPr>
                <w:lang w:val="en-AU"/>
              </w:rPr>
              <w:t>i</w:t>
            </w:r>
            <w:r w:rsidRPr="004B7AB0">
              <w:rPr>
                <w:lang w:val="en-AU"/>
              </w:rPr>
              <w:t>ndicator</w:t>
            </w:r>
          </w:p>
        </w:tc>
        <w:tc>
          <w:tcPr>
            <w:tcW w:w="1635" w:type="dxa"/>
            <w:shd w:val="clear" w:color="auto" w:fill="7F7F7F" w:themeFill="text2" w:themeFillTint="80"/>
          </w:tcPr>
          <w:p w14:paraId="16150D76" w14:textId="243CAF2A" w:rsidR="00A114C6" w:rsidRPr="004B7AB0" w:rsidRDefault="00E67C3D" w:rsidP="004B7AB0">
            <w:pPr>
              <w:pStyle w:val="EPWtableheading"/>
              <w:rPr>
                <w:b w:val="0"/>
                <w:lang w:val="en-AU"/>
              </w:rPr>
            </w:pPr>
            <w:r w:rsidRPr="004B7AB0">
              <w:rPr>
                <w:b w:val="0"/>
                <w:lang w:val="en-AU"/>
              </w:rPr>
              <w:t>2023</w:t>
            </w:r>
            <w:r w:rsidR="00B944EB">
              <w:rPr>
                <w:b w:val="0"/>
                <w:lang w:val="en-AU"/>
              </w:rPr>
              <w:t>–</w:t>
            </w:r>
            <w:r w:rsidRPr="004B7AB0">
              <w:rPr>
                <w:b w:val="0"/>
                <w:lang w:val="en-AU"/>
              </w:rPr>
              <w:t>24</w:t>
            </w:r>
            <w:r w:rsidR="00A114C6" w:rsidRPr="004B7AB0">
              <w:rPr>
                <w:b w:val="0"/>
                <w:lang w:val="en-AU"/>
              </w:rPr>
              <w:t xml:space="preserve"> </w:t>
            </w:r>
            <w:r w:rsidR="006F7521">
              <w:rPr>
                <w:b w:val="0"/>
                <w:lang w:val="en-AU"/>
              </w:rPr>
              <w:t>t</w:t>
            </w:r>
            <w:r w:rsidR="00A114C6" w:rsidRPr="004B7AB0">
              <w:rPr>
                <w:b w:val="0"/>
                <w:lang w:val="en-AU"/>
              </w:rPr>
              <w:t>arget</w:t>
            </w:r>
          </w:p>
        </w:tc>
        <w:tc>
          <w:tcPr>
            <w:tcW w:w="2989" w:type="dxa"/>
            <w:shd w:val="clear" w:color="auto" w:fill="7F7F7F" w:themeFill="text2" w:themeFillTint="80"/>
          </w:tcPr>
          <w:p w14:paraId="40B224EF" w14:textId="3F586C97" w:rsidR="00A114C6" w:rsidRPr="004B7AB0" w:rsidRDefault="00A114C6" w:rsidP="004B7AB0">
            <w:pPr>
              <w:pStyle w:val="EPWtableheading"/>
              <w:rPr>
                <w:b w:val="0"/>
                <w:lang w:val="en-AU"/>
              </w:rPr>
            </w:pPr>
            <w:r w:rsidRPr="004B7AB0">
              <w:rPr>
                <w:b w:val="0"/>
                <w:lang w:val="en-AU"/>
              </w:rPr>
              <w:t xml:space="preserve">Actual </w:t>
            </w:r>
            <w:r w:rsidR="0087524A" w:rsidRPr="004B7AB0">
              <w:rPr>
                <w:b w:val="0"/>
                <w:lang w:val="en-AU"/>
              </w:rPr>
              <w:t>202</w:t>
            </w:r>
            <w:r w:rsidR="00E67C3D" w:rsidRPr="004B7AB0">
              <w:rPr>
                <w:b w:val="0"/>
                <w:lang w:val="en-AU"/>
              </w:rPr>
              <w:t>3</w:t>
            </w:r>
            <w:r w:rsidR="00B944EB">
              <w:rPr>
                <w:b w:val="0"/>
                <w:lang w:val="en-AU"/>
              </w:rPr>
              <w:t>–</w:t>
            </w:r>
            <w:r w:rsidR="00E67C3D" w:rsidRPr="004B7AB0">
              <w:rPr>
                <w:b w:val="0"/>
                <w:lang w:val="en-AU"/>
              </w:rPr>
              <w:t>24</w:t>
            </w:r>
          </w:p>
        </w:tc>
      </w:tr>
      <w:tr w:rsidR="003A5D4D" w:rsidRPr="00F35E2F" w14:paraId="2F455980" w14:textId="77777777" w:rsidTr="00367370">
        <w:trPr>
          <w:trHeight w:val="300"/>
        </w:trPr>
        <w:tc>
          <w:tcPr>
            <w:tcW w:w="4890" w:type="dxa"/>
            <w:shd w:val="clear" w:color="auto" w:fill="auto"/>
          </w:tcPr>
          <w:p w14:paraId="61B8EEF9" w14:textId="159267FB" w:rsidR="003A5D4D" w:rsidRPr="00F074BD" w:rsidRDefault="003A5D4D" w:rsidP="003A5D4D">
            <w:pPr>
              <w:pStyle w:val="BodyText"/>
            </w:pPr>
            <w:r w:rsidRPr="00F074BD">
              <w:t>Renewable energy as percentage of total energy consumed in Queensland</w:t>
            </w:r>
          </w:p>
        </w:tc>
        <w:tc>
          <w:tcPr>
            <w:tcW w:w="1635" w:type="dxa"/>
            <w:shd w:val="clear" w:color="auto" w:fill="auto"/>
          </w:tcPr>
          <w:p w14:paraId="0EB49E47" w14:textId="48CF0195" w:rsidR="003A5D4D" w:rsidRPr="003D59F3" w:rsidRDefault="003A5D4D" w:rsidP="003A5D4D">
            <w:pPr>
              <w:pStyle w:val="BodyText"/>
              <w:jc w:val="right"/>
            </w:pPr>
            <w:r>
              <w:t>25.9%</w:t>
            </w:r>
          </w:p>
        </w:tc>
        <w:tc>
          <w:tcPr>
            <w:tcW w:w="2989" w:type="dxa"/>
            <w:shd w:val="clear" w:color="auto" w:fill="auto"/>
          </w:tcPr>
          <w:p w14:paraId="4228B8C6" w14:textId="0B67698F" w:rsidR="003A5D4D" w:rsidRPr="00F074BD" w:rsidRDefault="00DA66A0" w:rsidP="003A5D4D">
            <w:pPr>
              <w:pStyle w:val="BodyText"/>
              <w:jc w:val="right"/>
            </w:pPr>
            <w:r w:rsidRPr="003D59F3">
              <w:t>28.2%</w:t>
            </w:r>
          </w:p>
        </w:tc>
      </w:tr>
      <w:tr w:rsidR="00932CC5" w:rsidRPr="00F35E2F" w14:paraId="3A002B93" w14:textId="77777777" w:rsidTr="00367370">
        <w:trPr>
          <w:trHeight w:val="300"/>
        </w:trPr>
        <w:tc>
          <w:tcPr>
            <w:tcW w:w="4890" w:type="dxa"/>
          </w:tcPr>
          <w:p w14:paraId="1287479D" w14:textId="218DEFBC" w:rsidR="00932CC5" w:rsidRPr="00F074BD" w:rsidRDefault="00202DE9" w:rsidP="00932CC5">
            <w:pPr>
              <w:pStyle w:val="BodyText"/>
            </w:pPr>
            <w:r>
              <w:t>Average time of energy (electricity and gas) licensing assessment</w:t>
            </w:r>
          </w:p>
        </w:tc>
        <w:tc>
          <w:tcPr>
            <w:tcW w:w="1635" w:type="dxa"/>
          </w:tcPr>
          <w:p w14:paraId="6AD309C8" w14:textId="60CF6623" w:rsidR="00932CC5" w:rsidRPr="0058209C" w:rsidRDefault="00932CC5" w:rsidP="00932CC5">
            <w:pPr>
              <w:pStyle w:val="BodyText"/>
              <w:jc w:val="right"/>
            </w:pPr>
            <w:r w:rsidRPr="0058209C">
              <w:t>&lt;120 days</w:t>
            </w:r>
          </w:p>
        </w:tc>
        <w:tc>
          <w:tcPr>
            <w:tcW w:w="2989" w:type="dxa"/>
            <w:shd w:val="clear" w:color="auto" w:fill="FFFFFF" w:themeFill="background1"/>
          </w:tcPr>
          <w:p w14:paraId="3D2B1CE4" w14:textId="5515781F" w:rsidR="00932CC5" w:rsidRPr="00F074BD" w:rsidRDefault="006208FE" w:rsidP="00932CC5">
            <w:pPr>
              <w:pStyle w:val="BodyText"/>
              <w:jc w:val="right"/>
            </w:pPr>
            <w:r w:rsidRPr="00490EBC">
              <w:t>74 days</w:t>
            </w:r>
          </w:p>
        </w:tc>
      </w:tr>
      <w:tr w:rsidR="008555C6" w:rsidRPr="00F35E2F" w14:paraId="5E98EDCD" w14:textId="77777777" w:rsidTr="00367370">
        <w:trPr>
          <w:trHeight w:val="300"/>
        </w:trPr>
        <w:tc>
          <w:tcPr>
            <w:tcW w:w="4890" w:type="dxa"/>
          </w:tcPr>
          <w:p w14:paraId="7C08B7EF" w14:textId="1B777910" w:rsidR="008555C6" w:rsidRDefault="008555C6" w:rsidP="008555C6">
            <w:pPr>
              <w:pStyle w:val="BodyText"/>
            </w:pPr>
            <w:r>
              <w:t>Increase investment in renewable energy in Queensland</w:t>
            </w:r>
          </w:p>
        </w:tc>
        <w:tc>
          <w:tcPr>
            <w:tcW w:w="1635" w:type="dxa"/>
          </w:tcPr>
          <w:p w14:paraId="758557F0" w14:textId="19799DA5" w:rsidR="008555C6" w:rsidRPr="0058209C" w:rsidRDefault="008555C6" w:rsidP="008555C6">
            <w:pPr>
              <w:pStyle w:val="BodyText"/>
              <w:jc w:val="right"/>
            </w:pPr>
            <w:r>
              <w:t>Improved performance</w:t>
            </w:r>
          </w:p>
        </w:tc>
        <w:tc>
          <w:tcPr>
            <w:tcW w:w="2989" w:type="dxa"/>
            <w:shd w:val="clear" w:color="auto" w:fill="FFFFFF" w:themeFill="background1"/>
          </w:tcPr>
          <w:p w14:paraId="178B85CE" w14:textId="1B854B5F" w:rsidR="008555C6" w:rsidRPr="00490EBC" w:rsidRDefault="003A19BF" w:rsidP="008555C6">
            <w:pPr>
              <w:pStyle w:val="BodyText"/>
              <w:jc w:val="right"/>
            </w:pPr>
            <w:r w:rsidRPr="005D25B7">
              <w:t>55 committed projects since 2015</w:t>
            </w:r>
            <w:r w:rsidR="00EE77F5">
              <w:t xml:space="preserve"> (</w:t>
            </w:r>
            <w:r w:rsidR="00EE77F5" w:rsidRPr="00977553">
              <w:t xml:space="preserve">compared to </w:t>
            </w:r>
            <w:r w:rsidR="00EE77F5">
              <w:t xml:space="preserve">52 </w:t>
            </w:r>
            <w:proofErr w:type="gramStart"/>
            <w:r w:rsidR="00EE77F5">
              <w:t>at</w:t>
            </w:r>
            <w:proofErr w:type="gramEnd"/>
            <w:r w:rsidR="00EE77F5">
              <w:t xml:space="preserve"> 30 June 2023</w:t>
            </w:r>
            <w:r w:rsidR="00A57D40">
              <w:t>)</w:t>
            </w:r>
            <w:r w:rsidR="3D96C808" w:rsidRPr="00367370">
              <w:t xml:space="preserve">, an increase of 3 projects </w:t>
            </w:r>
          </w:p>
        </w:tc>
      </w:tr>
    </w:tbl>
    <w:p w14:paraId="4B6B59C9" w14:textId="77777777" w:rsidR="0037741C" w:rsidRDefault="0037741C">
      <w:pPr>
        <w:spacing w:before="0" w:after="160" w:line="259" w:lineRule="auto"/>
      </w:pPr>
      <w:bookmarkStart w:id="257" w:name="_Toc111189215"/>
    </w:p>
    <w:p w14:paraId="7CE2FA22" w14:textId="56D1DC38" w:rsidR="00091228" w:rsidRDefault="00091228" w:rsidP="00941974">
      <w:pPr>
        <w:pStyle w:val="ListParagraph"/>
        <w:numPr>
          <w:ilvl w:val="0"/>
          <w:numId w:val="34"/>
        </w:numPr>
        <w:spacing w:before="0" w:after="160" w:line="259" w:lineRule="auto"/>
        <w:rPr>
          <w:rFonts w:eastAsiaTheme="majorEastAsia" w:cstheme="majorBidi"/>
          <w:color w:val="808080" w:themeColor="background1" w:themeShade="80"/>
          <w:sz w:val="36"/>
          <w:szCs w:val="36"/>
        </w:rPr>
      </w:pPr>
      <w:r>
        <w:br w:type="page"/>
      </w:r>
    </w:p>
    <w:p w14:paraId="68F72BC4" w14:textId="21EB7C01" w:rsidR="007D7605" w:rsidRPr="00B567D5" w:rsidRDefault="005669EE" w:rsidP="00BA22E2">
      <w:pPr>
        <w:pStyle w:val="DECHeading2"/>
        <w:rPr>
          <w:color w:val="auto"/>
          <w:shd w:val="clear" w:color="auto" w:fill="FFFFB7"/>
        </w:rPr>
      </w:pPr>
      <w:bookmarkStart w:id="258" w:name="_Toc172794875"/>
      <w:bookmarkStart w:id="259" w:name="_Toc172806397"/>
      <w:bookmarkStart w:id="260" w:name="_Toc172806683"/>
      <w:bookmarkStart w:id="261" w:name="_Toc172808508"/>
      <w:bookmarkStart w:id="262" w:name="_Toc174605651"/>
      <w:bookmarkStart w:id="263" w:name="_Toc176424789"/>
      <w:bookmarkStart w:id="264" w:name="_Toc176424948"/>
      <w:bookmarkStart w:id="265" w:name="_Toc138317839"/>
      <w:r w:rsidRPr="005C7048">
        <w:lastRenderedPageBreak/>
        <w:t xml:space="preserve">Our </w:t>
      </w:r>
      <w:r w:rsidR="00CA6C05">
        <w:t>a</w:t>
      </w:r>
      <w:r w:rsidRPr="005C7048">
        <w:t>chievements</w:t>
      </w:r>
      <w:r w:rsidR="004C611B" w:rsidRPr="005C7048">
        <w:t xml:space="preserve"> </w:t>
      </w:r>
      <w:r w:rsidR="00C7127F" w:rsidRPr="005C7048">
        <w:rPr>
          <w:color w:val="auto"/>
        </w:rPr>
        <w:t>–</w:t>
      </w:r>
      <w:r w:rsidR="004C611B" w:rsidRPr="005C7048">
        <w:rPr>
          <w:color w:val="auto"/>
        </w:rPr>
        <w:t xml:space="preserve"> </w:t>
      </w:r>
      <w:r w:rsidR="004C611B" w:rsidRPr="00D51306">
        <w:rPr>
          <w:color w:val="auto"/>
        </w:rPr>
        <w:t>Energy</w:t>
      </w:r>
      <w:bookmarkEnd w:id="258"/>
      <w:bookmarkEnd w:id="259"/>
      <w:bookmarkEnd w:id="260"/>
      <w:bookmarkEnd w:id="261"/>
      <w:bookmarkEnd w:id="262"/>
      <w:bookmarkEnd w:id="263"/>
      <w:bookmarkEnd w:id="264"/>
    </w:p>
    <w:p w14:paraId="1B3AD4E9" w14:textId="3B2EE49E" w:rsidR="00AE2770" w:rsidRDefault="00AE2770" w:rsidP="00AE2770">
      <w:pPr>
        <w:pStyle w:val="DECHeading3"/>
      </w:pPr>
      <w:bookmarkStart w:id="266" w:name="_Toc174605652"/>
      <w:bookmarkStart w:id="267" w:name="_Toc176424790"/>
      <w:bookmarkStart w:id="268" w:name="_Toc176424949"/>
      <w:r>
        <w:t xml:space="preserve">Renewable </w:t>
      </w:r>
      <w:r w:rsidR="00757173">
        <w:t>e</w:t>
      </w:r>
      <w:r>
        <w:t>nergy consumption</w:t>
      </w:r>
      <w:r w:rsidR="00C735DA">
        <w:t xml:space="preserve"> and generation</w:t>
      </w:r>
      <w:r>
        <w:t xml:space="preserve"> in Queensland</w:t>
      </w:r>
      <w:bookmarkEnd w:id="266"/>
      <w:bookmarkEnd w:id="267"/>
      <w:bookmarkEnd w:id="268"/>
    </w:p>
    <w:p w14:paraId="7F7C3C21" w14:textId="614F2DB8" w:rsidR="00DD72F5" w:rsidRDefault="00260E10" w:rsidP="008D0088">
      <w:pPr>
        <w:spacing w:before="0" w:after="0" w:line="259" w:lineRule="auto"/>
        <w:contextualSpacing/>
        <w:rPr>
          <w:rFonts w:eastAsia="Arial" w:cs="Arial"/>
          <w:szCs w:val="20"/>
        </w:rPr>
      </w:pPr>
      <w:r w:rsidRPr="008D0088">
        <w:rPr>
          <w:rFonts w:eastAsia="Arial" w:cs="Arial"/>
          <w:szCs w:val="20"/>
        </w:rPr>
        <w:t xml:space="preserve">The </w:t>
      </w:r>
      <w:r w:rsidRPr="008D0088">
        <w:rPr>
          <w:rFonts w:eastAsia="Arial" w:cs="Arial"/>
          <w:i/>
          <w:iCs/>
          <w:szCs w:val="20"/>
        </w:rPr>
        <w:t>Energy (Renewable Transformation and Jobs) Act 2024</w:t>
      </w:r>
      <w:r w:rsidRPr="008D0088">
        <w:rPr>
          <w:rFonts w:eastAsia="Arial" w:cs="Arial"/>
          <w:szCs w:val="20"/>
        </w:rPr>
        <w:t xml:space="preserve"> was passed on 18 April 2024, enshrining into law key commitments from the </w:t>
      </w:r>
      <w:r w:rsidRPr="00E0330F">
        <w:rPr>
          <w:rFonts w:eastAsia="Arial" w:cs="Arial"/>
          <w:i/>
          <w:iCs/>
          <w:szCs w:val="20"/>
        </w:rPr>
        <w:t>Queensland Energy and Jobs Plan</w:t>
      </w:r>
      <w:r w:rsidRPr="008D0088">
        <w:rPr>
          <w:rFonts w:eastAsia="Arial" w:cs="Arial"/>
          <w:szCs w:val="20"/>
        </w:rPr>
        <w:t xml:space="preserve">, such as the </w:t>
      </w:r>
      <w:r w:rsidR="00E8487C">
        <w:rPr>
          <w:rFonts w:eastAsia="Arial" w:cs="Arial"/>
          <w:szCs w:val="20"/>
        </w:rPr>
        <w:t>s</w:t>
      </w:r>
      <w:r w:rsidRPr="008D0088">
        <w:rPr>
          <w:rFonts w:eastAsia="Arial" w:cs="Arial"/>
          <w:szCs w:val="20"/>
        </w:rPr>
        <w:t>tate’s three renewable energy targets</w:t>
      </w:r>
      <w:r w:rsidR="004E6976">
        <w:rPr>
          <w:rFonts w:eastAsia="Arial" w:cs="Arial"/>
          <w:szCs w:val="20"/>
        </w:rPr>
        <w:t>.</w:t>
      </w:r>
    </w:p>
    <w:p w14:paraId="04C0B56E" w14:textId="77777777" w:rsidR="00DD72F5" w:rsidRDefault="00DD72F5" w:rsidP="008D0088">
      <w:pPr>
        <w:spacing w:before="0" w:after="0" w:line="259" w:lineRule="auto"/>
        <w:contextualSpacing/>
        <w:rPr>
          <w:rFonts w:eastAsia="Arial" w:cs="Arial"/>
          <w:szCs w:val="20"/>
        </w:rPr>
      </w:pPr>
    </w:p>
    <w:p w14:paraId="3C02BA0E" w14:textId="7A3BF663" w:rsidR="00260E10" w:rsidRDefault="00260E10" w:rsidP="003F01A9">
      <w:pPr>
        <w:spacing w:before="0" w:after="0" w:line="259" w:lineRule="auto"/>
        <w:contextualSpacing/>
        <w:rPr>
          <w:rFonts w:eastAsia="Arial" w:cs="Arial"/>
          <w:szCs w:val="20"/>
        </w:rPr>
      </w:pPr>
      <w:r w:rsidRPr="008D0088">
        <w:rPr>
          <w:rFonts w:eastAsia="Arial" w:cs="Arial"/>
          <w:szCs w:val="20"/>
        </w:rPr>
        <w:t xml:space="preserve">The renewable energy targets are to </w:t>
      </w:r>
      <w:r w:rsidRPr="008D0088">
        <w:rPr>
          <w:rFonts w:eastAsia="Arial" w:cs="Arial"/>
          <w:bCs/>
          <w:szCs w:val="20"/>
        </w:rPr>
        <w:t>generate</w:t>
      </w:r>
      <w:r w:rsidRPr="008D0088">
        <w:rPr>
          <w:rFonts w:eastAsia="Arial" w:cs="Arial"/>
          <w:szCs w:val="20"/>
        </w:rPr>
        <w:t xml:space="preserve"> 50 </w:t>
      </w:r>
      <w:r w:rsidR="00A347E7">
        <w:rPr>
          <w:rFonts w:eastAsia="Arial" w:cs="Arial"/>
          <w:szCs w:val="20"/>
        </w:rPr>
        <w:t>per cent</w:t>
      </w:r>
      <w:r w:rsidRPr="008D0088">
        <w:rPr>
          <w:rFonts w:eastAsia="Arial" w:cs="Arial"/>
          <w:szCs w:val="20"/>
        </w:rPr>
        <w:t xml:space="preserve"> of Queensland’s electricity from renewable sources by 2030; 70</w:t>
      </w:r>
      <w:r w:rsidR="0064681C">
        <w:rPr>
          <w:rFonts w:eastAsia="Arial" w:cs="Arial"/>
          <w:szCs w:val="20"/>
        </w:rPr>
        <w:t xml:space="preserve"> per cent</w:t>
      </w:r>
      <w:r w:rsidRPr="008D0088">
        <w:rPr>
          <w:rFonts w:eastAsia="Arial" w:cs="Arial"/>
          <w:szCs w:val="20"/>
        </w:rPr>
        <w:t xml:space="preserve"> by 2032 and 80</w:t>
      </w:r>
      <w:r w:rsidR="0064681C">
        <w:rPr>
          <w:rFonts w:eastAsia="Arial" w:cs="Arial"/>
          <w:szCs w:val="20"/>
        </w:rPr>
        <w:t xml:space="preserve"> per cent</w:t>
      </w:r>
      <w:r w:rsidRPr="008D0088">
        <w:rPr>
          <w:rFonts w:eastAsia="Arial" w:cs="Arial"/>
          <w:szCs w:val="20"/>
        </w:rPr>
        <w:t xml:space="preserve"> by 2035</w:t>
      </w:r>
      <w:r w:rsidR="00AC4300">
        <w:rPr>
          <w:rFonts w:eastAsia="Arial" w:cs="Arial"/>
          <w:szCs w:val="20"/>
        </w:rPr>
        <w:t xml:space="preserve">. </w:t>
      </w:r>
      <w:r w:rsidRPr="008D0088">
        <w:rPr>
          <w:rFonts w:eastAsia="Arial" w:cs="Arial"/>
          <w:szCs w:val="20"/>
        </w:rPr>
        <w:t>These targets show Queensland’s commitment to reducing emissions and supporting international efforts to act on the causes of climate change</w:t>
      </w:r>
      <w:r w:rsidR="00DD72F5">
        <w:rPr>
          <w:rFonts w:eastAsia="Arial" w:cs="Arial"/>
          <w:szCs w:val="20"/>
        </w:rPr>
        <w:t>.</w:t>
      </w:r>
    </w:p>
    <w:p w14:paraId="50805DAD" w14:textId="77777777" w:rsidR="00DD72F5" w:rsidRPr="008D0088" w:rsidRDefault="00DD72F5" w:rsidP="008D0088">
      <w:pPr>
        <w:spacing w:before="0" w:after="0" w:line="259" w:lineRule="auto"/>
        <w:rPr>
          <w:rFonts w:eastAsia="Arial" w:cs="Arial"/>
          <w:szCs w:val="20"/>
        </w:rPr>
      </w:pPr>
    </w:p>
    <w:p w14:paraId="4FA889F2" w14:textId="71089D34" w:rsidR="00260E10" w:rsidRDefault="00260E10" w:rsidP="008D0088">
      <w:pPr>
        <w:spacing w:before="0" w:after="0" w:line="259" w:lineRule="auto"/>
        <w:rPr>
          <w:rFonts w:eastAsia="Arial" w:cs="Arial"/>
        </w:rPr>
      </w:pPr>
      <w:r w:rsidRPr="00967A45">
        <w:rPr>
          <w:rFonts w:eastAsia="Arial" w:cs="Arial"/>
        </w:rPr>
        <w:t>Queensland is on track to achieve these targets</w:t>
      </w:r>
      <w:r w:rsidR="00646599" w:rsidRPr="00967A45">
        <w:rPr>
          <w:rFonts w:eastAsia="Arial" w:cs="Arial"/>
        </w:rPr>
        <w:t xml:space="preserve">, with </w:t>
      </w:r>
      <w:r w:rsidR="00AB0658" w:rsidRPr="00967A45">
        <w:rPr>
          <w:rFonts w:eastAsia="Arial" w:cs="Arial"/>
        </w:rPr>
        <w:t>27.4</w:t>
      </w:r>
      <w:r w:rsidR="0064681C" w:rsidRPr="00967A45">
        <w:rPr>
          <w:rFonts w:eastAsia="Arial" w:cs="Arial"/>
        </w:rPr>
        <w:t xml:space="preserve"> per cent</w:t>
      </w:r>
      <w:r w:rsidR="00AB0658" w:rsidRPr="00967A45">
        <w:rPr>
          <w:rFonts w:eastAsia="Arial" w:cs="Arial"/>
        </w:rPr>
        <w:t xml:space="preserve"> of Queensland’s electricity generated from renewables in 2023</w:t>
      </w:r>
      <w:r w:rsidR="0064681C" w:rsidRPr="00967A45">
        <w:rPr>
          <w:rFonts w:eastAsia="Arial" w:cs="Arial"/>
        </w:rPr>
        <w:t>–</w:t>
      </w:r>
      <w:r w:rsidR="00AB0658" w:rsidRPr="00967A45">
        <w:rPr>
          <w:rFonts w:eastAsia="Arial" w:cs="Arial"/>
        </w:rPr>
        <w:t>24.</w:t>
      </w:r>
      <w:r w:rsidR="009C04F2" w:rsidRPr="00967A45">
        <w:rPr>
          <w:rFonts w:eastAsia="Arial" w:cs="Arial"/>
        </w:rPr>
        <w:t xml:space="preserve"> This </w:t>
      </w:r>
      <w:r w:rsidR="002625EA" w:rsidRPr="00967A45">
        <w:rPr>
          <w:rFonts w:eastAsia="Arial" w:cs="Arial"/>
        </w:rPr>
        <w:t xml:space="preserve">builds on the positive trend </w:t>
      </w:r>
      <w:r w:rsidR="21F67E1D" w:rsidRPr="00967A45">
        <w:rPr>
          <w:rFonts w:eastAsia="Arial" w:cs="Arial"/>
        </w:rPr>
        <w:t xml:space="preserve">of renewable energy </w:t>
      </w:r>
      <w:r w:rsidR="00794A2B" w:rsidRPr="00967A45">
        <w:rPr>
          <w:rFonts w:eastAsia="Arial" w:cs="Arial"/>
        </w:rPr>
        <w:t>that demonstrates Queenslanders</w:t>
      </w:r>
      <w:r w:rsidR="00857A66" w:rsidRPr="00967A45">
        <w:rPr>
          <w:rFonts w:eastAsia="Arial" w:cs="Arial"/>
        </w:rPr>
        <w:t xml:space="preserve"> are backing </w:t>
      </w:r>
      <w:r w:rsidR="00E566B7" w:rsidRPr="00967A45">
        <w:rPr>
          <w:rFonts w:eastAsia="Arial" w:cs="Arial"/>
        </w:rPr>
        <w:t>the vision</w:t>
      </w:r>
      <w:r w:rsidR="007A2727" w:rsidRPr="00967A45">
        <w:rPr>
          <w:rFonts w:eastAsia="Arial" w:cs="Arial"/>
        </w:rPr>
        <w:t xml:space="preserve"> to </w:t>
      </w:r>
      <w:r w:rsidR="00B3018B" w:rsidRPr="00967A45">
        <w:rPr>
          <w:rFonts w:eastAsia="Arial" w:cs="Arial"/>
        </w:rPr>
        <w:t xml:space="preserve">provide a clear pathway to clean, </w:t>
      </w:r>
      <w:proofErr w:type="gramStart"/>
      <w:r w:rsidR="00B3018B" w:rsidRPr="00967A45">
        <w:rPr>
          <w:rFonts w:eastAsia="Arial" w:cs="Arial"/>
        </w:rPr>
        <w:t>reliable</w:t>
      </w:r>
      <w:proofErr w:type="gramEnd"/>
      <w:r w:rsidR="00B3018B" w:rsidRPr="00967A45">
        <w:rPr>
          <w:rFonts w:eastAsia="Arial" w:cs="Arial"/>
        </w:rPr>
        <w:t xml:space="preserve"> and affordable power for generations</w:t>
      </w:r>
      <w:r w:rsidR="00DC151A" w:rsidRPr="47C3DEC9">
        <w:rPr>
          <w:rFonts w:eastAsia="Arial" w:cs="Arial"/>
        </w:rPr>
        <w:t>.</w:t>
      </w:r>
    </w:p>
    <w:p w14:paraId="5D1815FD" w14:textId="77777777" w:rsidR="00C735DA" w:rsidRDefault="00C735DA" w:rsidP="008D0088">
      <w:pPr>
        <w:spacing w:before="0" w:after="0" w:line="259" w:lineRule="auto"/>
        <w:rPr>
          <w:rFonts w:eastAsia="Arial" w:cs="Arial"/>
        </w:rPr>
      </w:pPr>
    </w:p>
    <w:p w14:paraId="6FDE14D9" w14:textId="5A33AB76" w:rsidR="00C735DA" w:rsidRPr="008D0088" w:rsidRDefault="00C735DA" w:rsidP="008D0088">
      <w:pPr>
        <w:spacing w:before="0" w:after="0" w:line="259" w:lineRule="auto"/>
        <w:rPr>
          <w:rFonts w:eastAsia="Arial" w:cs="Arial"/>
        </w:rPr>
      </w:pPr>
      <w:r>
        <w:rPr>
          <w:rFonts w:eastAsia="Arial" w:cs="Arial"/>
        </w:rPr>
        <w:t xml:space="preserve">Historically, the Queensland renewable energy target has been defined in terms of renewable electricity </w:t>
      </w:r>
      <w:r w:rsidR="00C84494">
        <w:rPr>
          <w:rFonts w:eastAsia="Arial" w:cs="Arial"/>
        </w:rPr>
        <w:t xml:space="preserve">generated in relation to the total </w:t>
      </w:r>
      <w:r w:rsidR="00E35C36">
        <w:rPr>
          <w:rFonts w:eastAsia="Arial" w:cs="Arial"/>
        </w:rPr>
        <w:t xml:space="preserve">electricity consumed in Queensland. Going forward, a better indication of the transition is to measure </w:t>
      </w:r>
      <w:r w:rsidR="00083008">
        <w:rPr>
          <w:rFonts w:eastAsia="Arial" w:cs="Arial"/>
        </w:rPr>
        <w:t>renewable electricity</w:t>
      </w:r>
      <w:r w:rsidR="009874EB">
        <w:rPr>
          <w:rFonts w:eastAsia="Arial" w:cs="Arial"/>
        </w:rPr>
        <w:t xml:space="preserve"> generation</w:t>
      </w:r>
      <w:r w:rsidR="00083008">
        <w:rPr>
          <w:rFonts w:eastAsia="Arial" w:cs="Arial"/>
        </w:rPr>
        <w:t xml:space="preserve"> </w:t>
      </w:r>
      <w:r w:rsidR="009874EB">
        <w:rPr>
          <w:rFonts w:eastAsia="Arial" w:cs="Arial"/>
        </w:rPr>
        <w:t xml:space="preserve">in relation to total electricity generation. </w:t>
      </w:r>
    </w:p>
    <w:p w14:paraId="6912C4E5" w14:textId="076F980E" w:rsidR="009C205D" w:rsidRPr="00F35E2F" w:rsidRDefault="00305AB9" w:rsidP="009C205D">
      <w:pPr>
        <w:pStyle w:val="BodyText"/>
      </w:pPr>
      <w:r>
        <w:rPr>
          <w:noProof/>
        </w:rPr>
        <w:drawing>
          <wp:inline distT="0" distB="0" distL="0" distR="0" wp14:anchorId="3A4DEE1A" wp14:editId="21BB4259">
            <wp:extent cx="4572000" cy="2743200"/>
            <wp:effectExtent l="0" t="0" r="0" b="0"/>
            <wp:docPr id="1" name="Chart 1" descr="This graph shows the renewable energy consumed in Queensland as a percentage of total energy consumed. The graph shows an increasing trend beginning in 2016-17. The data shows:&#10;2016-17 = 7% of energy consumed was renewable&#10;2017-18 = 8.5%&#10;2018-19 = 12.9%&#10;2019-20 = 17.3%&#10;2020-21 = 20.2%&#10;2021-22 = 21.4%&#10;2022-23 = 26%&#10;2023-24 = 28.2%">
              <a:extLst xmlns:a="http://schemas.openxmlformats.org/drawingml/2006/main">
                <a:ext uri="{FF2B5EF4-FFF2-40B4-BE49-F238E27FC236}">
                  <a16:creationId xmlns:a16="http://schemas.microsoft.com/office/drawing/2014/main" id="{5DBEF8DE-8109-C0B9-6AB0-ACBE31A5F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01879DC" w14:textId="3A9943AB" w:rsidR="009C205D" w:rsidRPr="009E16E4" w:rsidRDefault="004F6E1E" w:rsidP="00720594">
      <w:pPr>
        <w:pStyle w:val="DECNotes"/>
      </w:pPr>
      <w:r>
        <w:t xml:space="preserve">Graph: Renewable energy as a percentage of </w:t>
      </w:r>
      <w:r w:rsidR="00916D75">
        <w:t xml:space="preserve">total </w:t>
      </w:r>
      <w:r>
        <w:t>energy consumed in Queensland</w:t>
      </w:r>
    </w:p>
    <w:bookmarkEnd w:id="257"/>
    <w:bookmarkEnd w:id="265"/>
    <w:tbl>
      <w:tblPr>
        <w:tblStyle w:val="TableGrid"/>
        <w:tblpPr w:leftFromText="180" w:rightFromText="180" w:vertAnchor="text" w:horzAnchor="margin" w:tblpXSpec="center" w:tblpY="1"/>
        <w:tblOverlap w:val="never"/>
        <w:tblW w:w="9507" w:type="dxa"/>
        <w:tblLayout w:type="fixed"/>
        <w:tblLook w:val="04A0" w:firstRow="1" w:lastRow="0" w:firstColumn="1" w:lastColumn="0" w:noHBand="0" w:noVBand="1"/>
      </w:tblPr>
      <w:tblGrid>
        <w:gridCol w:w="1875"/>
        <w:gridCol w:w="954"/>
        <w:gridCol w:w="954"/>
        <w:gridCol w:w="954"/>
        <w:gridCol w:w="954"/>
        <w:gridCol w:w="954"/>
        <w:gridCol w:w="954"/>
        <w:gridCol w:w="954"/>
        <w:gridCol w:w="954"/>
      </w:tblGrid>
      <w:tr w:rsidR="00B8152B" w:rsidRPr="00F35E2F" w14:paraId="4711AD14" w14:textId="77777777" w:rsidTr="004354FF">
        <w:trPr>
          <w:trHeight w:val="300"/>
        </w:trPr>
        <w:tc>
          <w:tcPr>
            <w:tcW w:w="1875" w:type="dxa"/>
            <w:shd w:val="clear" w:color="auto" w:fill="7F7F7F" w:themeFill="text2" w:themeFillTint="80"/>
          </w:tcPr>
          <w:p w14:paraId="0E6ACB85" w14:textId="209BDAAF" w:rsidR="70EBA517" w:rsidRDefault="70EBA517">
            <w:pPr>
              <w:pStyle w:val="DECTableheader"/>
              <w:jc w:val="center"/>
            </w:pPr>
          </w:p>
        </w:tc>
        <w:tc>
          <w:tcPr>
            <w:tcW w:w="954" w:type="dxa"/>
            <w:shd w:val="clear" w:color="auto" w:fill="7F7F7F" w:themeFill="text2" w:themeFillTint="80"/>
          </w:tcPr>
          <w:p w14:paraId="16079948" w14:textId="12756E48" w:rsidR="009C205D" w:rsidRPr="004354FF" w:rsidRDefault="009C205D" w:rsidP="004354FF">
            <w:pPr>
              <w:pStyle w:val="DECTableheader"/>
              <w:jc w:val="center"/>
              <w:rPr>
                <w:sz w:val="18"/>
                <w:szCs w:val="18"/>
              </w:rPr>
            </w:pPr>
            <w:r w:rsidRPr="004354FF">
              <w:rPr>
                <w:sz w:val="18"/>
                <w:szCs w:val="18"/>
              </w:rPr>
              <w:t>2016</w:t>
            </w:r>
            <w:r w:rsidR="0052184E" w:rsidRPr="004354FF">
              <w:rPr>
                <w:sz w:val="18"/>
                <w:szCs w:val="18"/>
              </w:rPr>
              <w:t>–</w:t>
            </w:r>
            <w:r w:rsidRPr="004354FF">
              <w:rPr>
                <w:sz w:val="18"/>
                <w:szCs w:val="18"/>
              </w:rPr>
              <w:t>17</w:t>
            </w:r>
          </w:p>
        </w:tc>
        <w:tc>
          <w:tcPr>
            <w:tcW w:w="954" w:type="dxa"/>
            <w:shd w:val="clear" w:color="auto" w:fill="7F7F7F" w:themeFill="text2" w:themeFillTint="80"/>
          </w:tcPr>
          <w:p w14:paraId="3C902703" w14:textId="56ECA8AD" w:rsidR="009C205D" w:rsidRPr="004354FF" w:rsidRDefault="009C205D" w:rsidP="004354FF">
            <w:pPr>
              <w:pStyle w:val="DECTableheader"/>
              <w:jc w:val="center"/>
              <w:rPr>
                <w:sz w:val="18"/>
                <w:szCs w:val="18"/>
              </w:rPr>
            </w:pPr>
            <w:r w:rsidRPr="004354FF">
              <w:rPr>
                <w:sz w:val="18"/>
                <w:szCs w:val="18"/>
              </w:rPr>
              <w:t>2017</w:t>
            </w:r>
            <w:r w:rsidR="0052184E" w:rsidRPr="004354FF">
              <w:rPr>
                <w:sz w:val="18"/>
                <w:szCs w:val="18"/>
              </w:rPr>
              <w:t>–</w:t>
            </w:r>
            <w:r w:rsidRPr="004354FF">
              <w:rPr>
                <w:sz w:val="18"/>
                <w:szCs w:val="18"/>
              </w:rPr>
              <w:t>18</w:t>
            </w:r>
          </w:p>
        </w:tc>
        <w:tc>
          <w:tcPr>
            <w:tcW w:w="954" w:type="dxa"/>
            <w:shd w:val="clear" w:color="auto" w:fill="7F7F7F" w:themeFill="text2" w:themeFillTint="80"/>
          </w:tcPr>
          <w:p w14:paraId="01357F5A" w14:textId="29800A7A" w:rsidR="009C205D" w:rsidRPr="004354FF" w:rsidRDefault="009C205D" w:rsidP="004354FF">
            <w:pPr>
              <w:pStyle w:val="DECTableheader"/>
              <w:jc w:val="center"/>
              <w:rPr>
                <w:sz w:val="18"/>
                <w:szCs w:val="18"/>
              </w:rPr>
            </w:pPr>
            <w:r w:rsidRPr="004354FF">
              <w:rPr>
                <w:sz w:val="18"/>
                <w:szCs w:val="18"/>
              </w:rPr>
              <w:t>2018</w:t>
            </w:r>
            <w:r w:rsidR="0052184E" w:rsidRPr="004354FF">
              <w:rPr>
                <w:sz w:val="18"/>
                <w:szCs w:val="18"/>
              </w:rPr>
              <w:t>–</w:t>
            </w:r>
            <w:r w:rsidRPr="004354FF">
              <w:rPr>
                <w:sz w:val="18"/>
                <w:szCs w:val="18"/>
              </w:rPr>
              <w:t>19</w:t>
            </w:r>
          </w:p>
        </w:tc>
        <w:tc>
          <w:tcPr>
            <w:tcW w:w="954" w:type="dxa"/>
            <w:shd w:val="clear" w:color="auto" w:fill="7F7F7F" w:themeFill="text2" w:themeFillTint="80"/>
          </w:tcPr>
          <w:p w14:paraId="7C634A53" w14:textId="77777777" w:rsidR="009C205D" w:rsidRPr="004354FF" w:rsidRDefault="009C205D" w:rsidP="004354FF">
            <w:pPr>
              <w:pStyle w:val="DECTableheader"/>
              <w:jc w:val="center"/>
              <w:rPr>
                <w:sz w:val="18"/>
                <w:szCs w:val="18"/>
              </w:rPr>
            </w:pPr>
            <w:r w:rsidRPr="004354FF">
              <w:rPr>
                <w:sz w:val="18"/>
                <w:szCs w:val="18"/>
              </w:rPr>
              <w:t>2019–20</w:t>
            </w:r>
          </w:p>
        </w:tc>
        <w:tc>
          <w:tcPr>
            <w:tcW w:w="954" w:type="dxa"/>
            <w:shd w:val="clear" w:color="auto" w:fill="7F7F7F" w:themeFill="text2" w:themeFillTint="80"/>
          </w:tcPr>
          <w:p w14:paraId="08275FEC" w14:textId="61494B0D" w:rsidR="009C205D" w:rsidRPr="004354FF" w:rsidRDefault="009C205D" w:rsidP="004354FF">
            <w:pPr>
              <w:pStyle w:val="DECTableheader"/>
              <w:jc w:val="center"/>
              <w:rPr>
                <w:sz w:val="18"/>
                <w:szCs w:val="18"/>
              </w:rPr>
            </w:pPr>
            <w:r w:rsidRPr="004354FF">
              <w:rPr>
                <w:sz w:val="18"/>
                <w:szCs w:val="18"/>
              </w:rPr>
              <w:t>2020</w:t>
            </w:r>
            <w:r w:rsidR="0052184E" w:rsidRPr="004354FF">
              <w:rPr>
                <w:sz w:val="18"/>
                <w:szCs w:val="18"/>
              </w:rPr>
              <w:t>–</w:t>
            </w:r>
            <w:r w:rsidRPr="004354FF">
              <w:rPr>
                <w:sz w:val="18"/>
                <w:szCs w:val="18"/>
              </w:rPr>
              <w:t>21</w:t>
            </w:r>
          </w:p>
        </w:tc>
        <w:tc>
          <w:tcPr>
            <w:tcW w:w="954" w:type="dxa"/>
            <w:shd w:val="clear" w:color="auto" w:fill="7F7F7F" w:themeFill="text2" w:themeFillTint="80"/>
          </w:tcPr>
          <w:p w14:paraId="699792DC" w14:textId="77777777" w:rsidR="009C205D" w:rsidRPr="004354FF" w:rsidRDefault="009C205D" w:rsidP="004354FF">
            <w:pPr>
              <w:pStyle w:val="DECTableheader"/>
              <w:jc w:val="center"/>
              <w:rPr>
                <w:sz w:val="18"/>
                <w:szCs w:val="18"/>
              </w:rPr>
            </w:pPr>
            <w:r w:rsidRPr="004354FF">
              <w:rPr>
                <w:sz w:val="18"/>
                <w:szCs w:val="18"/>
              </w:rPr>
              <w:t>2021–22</w:t>
            </w:r>
          </w:p>
        </w:tc>
        <w:tc>
          <w:tcPr>
            <w:tcW w:w="954" w:type="dxa"/>
            <w:shd w:val="clear" w:color="auto" w:fill="7F7F7F" w:themeFill="text2" w:themeFillTint="80"/>
          </w:tcPr>
          <w:p w14:paraId="76E9EF9D" w14:textId="77777777" w:rsidR="009C205D" w:rsidRPr="004354FF" w:rsidRDefault="009C205D" w:rsidP="004354FF">
            <w:pPr>
              <w:pStyle w:val="DECTableheader"/>
              <w:jc w:val="center"/>
              <w:rPr>
                <w:sz w:val="18"/>
                <w:szCs w:val="18"/>
              </w:rPr>
            </w:pPr>
            <w:r w:rsidRPr="004354FF">
              <w:rPr>
                <w:sz w:val="18"/>
                <w:szCs w:val="18"/>
              </w:rPr>
              <w:t>2022–23</w:t>
            </w:r>
          </w:p>
        </w:tc>
        <w:tc>
          <w:tcPr>
            <w:tcW w:w="954" w:type="dxa"/>
            <w:shd w:val="clear" w:color="auto" w:fill="7F7F7F" w:themeFill="text2" w:themeFillTint="80"/>
          </w:tcPr>
          <w:p w14:paraId="079A573E" w14:textId="6DFF0817" w:rsidR="009C205D" w:rsidRPr="004354FF" w:rsidRDefault="009C205D" w:rsidP="004354FF">
            <w:pPr>
              <w:pStyle w:val="DECTableheader"/>
              <w:jc w:val="center"/>
              <w:rPr>
                <w:sz w:val="18"/>
                <w:szCs w:val="18"/>
                <w:highlight w:val="yellow"/>
              </w:rPr>
            </w:pPr>
            <w:r w:rsidRPr="004354FF">
              <w:rPr>
                <w:sz w:val="18"/>
                <w:szCs w:val="18"/>
              </w:rPr>
              <w:t>2023</w:t>
            </w:r>
            <w:r w:rsidR="0052184E" w:rsidRPr="004354FF">
              <w:rPr>
                <w:sz w:val="18"/>
                <w:szCs w:val="18"/>
              </w:rPr>
              <w:t>–</w:t>
            </w:r>
            <w:r w:rsidRPr="004354FF">
              <w:rPr>
                <w:sz w:val="18"/>
                <w:szCs w:val="18"/>
              </w:rPr>
              <w:t>24</w:t>
            </w:r>
          </w:p>
        </w:tc>
      </w:tr>
      <w:tr w:rsidR="001A7CF2" w:rsidRPr="00F35E2F" w14:paraId="31A81916" w14:textId="77777777" w:rsidTr="004354FF">
        <w:trPr>
          <w:trHeight w:val="300"/>
        </w:trPr>
        <w:tc>
          <w:tcPr>
            <w:tcW w:w="1875" w:type="dxa"/>
          </w:tcPr>
          <w:p w14:paraId="441ED3D5" w14:textId="3E01B812" w:rsidR="1B92CCFD" w:rsidRDefault="1B92CCFD">
            <w:pPr>
              <w:pStyle w:val="BodyText"/>
              <w:jc w:val="center"/>
            </w:pPr>
            <w:r>
              <w:t>% of consumption</w:t>
            </w:r>
            <w:r w:rsidR="00A366EE" w:rsidRPr="004354FF">
              <w:rPr>
                <w:vertAlign w:val="superscript"/>
              </w:rPr>
              <w:t>1</w:t>
            </w:r>
          </w:p>
        </w:tc>
        <w:tc>
          <w:tcPr>
            <w:tcW w:w="954" w:type="dxa"/>
          </w:tcPr>
          <w:p w14:paraId="0C29C404" w14:textId="2FCE6739" w:rsidR="009C205D" w:rsidRPr="00F35E2F" w:rsidRDefault="009C205D" w:rsidP="00DB2CD2">
            <w:pPr>
              <w:pStyle w:val="BodyText"/>
              <w:jc w:val="center"/>
            </w:pPr>
            <w:r w:rsidRPr="00F35E2F">
              <w:t>7%</w:t>
            </w:r>
          </w:p>
        </w:tc>
        <w:tc>
          <w:tcPr>
            <w:tcW w:w="954" w:type="dxa"/>
          </w:tcPr>
          <w:p w14:paraId="39518893" w14:textId="77777777" w:rsidR="009C205D" w:rsidRPr="00F35E2F" w:rsidRDefault="009C205D" w:rsidP="00DB2CD2">
            <w:pPr>
              <w:pStyle w:val="BodyText"/>
              <w:jc w:val="center"/>
            </w:pPr>
            <w:r w:rsidRPr="00F35E2F">
              <w:t>8.5%</w:t>
            </w:r>
          </w:p>
        </w:tc>
        <w:tc>
          <w:tcPr>
            <w:tcW w:w="954" w:type="dxa"/>
          </w:tcPr>
          <w:p w14:paraId="07F12EF2" w14:textId="77777777" w:rsidR="009C205D" w:rsidRPr="00F35E2F" w:rsidRDefault="009C205D" w:rsidP="00DB2CD2">
            <w:pPr>
              <w:pStyle w:val="BodyText"/>
              <w:jc w:val="center"/>
            </w:pPr>
            <w:r w:rsidRPr="00F35E2F">
              <w:t>12.9%</w:t>
            </w:r>
          </w:p>
        </w:tc>
        <w:tc>
          <w:tcPr>
            <w:tcW w:w="954" w:type="dxa"/>
          </w:tcPr>
          <w:p w14:paraId="4AA2AE97" w14:textId="77777777" w:rsidR="009C205D" w:rsidRPr="00F35E2F" w:rsidRDefault="009C205D" w:rsidP="00DB2CD2">
            <w:pPr>
              <w:pStyle w:val="BodyText"/>
              <w:jc w:val="center"/>
            </w:pPr>
            <w:r w:rsidRPr="00F35E2F">
              <w:t>17.2%</w:t>
            </w:r>
          </w:p>
        </w:tc>
        <w:tc>
          <w:tcPr>
            <w:tcW w:w="954" w:type="dxa"/>
          </w:tcPr>
          <w:p w14:paraId="5E10A4EE" w14:textId="77777777" w:rsidR="009C205D" w:rsidRPr="00F35E2F" w:rsidRDefault="009C205D" w:rsidP="00DB2CD2">
            <w:pPr>
              <w:pStyle w:val="BodyText"/>
              <w:jc w:val="center"/>
            </w:pPr>
            <w:r w:rsidRPr="00F35E2F">
              <w:t>20.2%</w:t>
            </w:r>
          </w:p>
        </w:tc>
        <w:tc>
          <w:tcPr>
            <w:tcW w:w="954" w:type="dxa"/>
            <w:shd w:val="clear" w:color="auto" w:fill="FFFFFF" w:themeFill="background1"/>
          </w:tcPr>
          <w:p w14:paraId="3F9422A4" w14:textId="77777777" w:rsidR="009C205D" w:rsidRPr="00F35E2F" w:rsidRDefault="009C205D" w:rsidP="00DB2CD2">
            <w:pPr>
              <w:pStyle w:val="BodyText"/>
              <w:jc w:val="center"/>
            </w:pPr>
            <w:r w:rsidRPr="00F35E2F">
              <w:t>21.4%</w:t>
            </w:r>
          </w:p>
        </w:tc>
        <w:tc>
          <w:tcPr>
            <w:tcW w:w="954" w:type="dxa"/>
            <w:shd w:val="clear" w:color="auto" w:fill="auto"/>
          </w:tcPr>
          <w:p w14:paraId="3101C1CC" w14:textId="3E4CE476" w:rsidR="009C205D" w:rsidRPr="00F35E2F" w:rsidRDefault="009C205D" w:rsidP="00DB2CD2">
            <w:pPr>
              <w:pStyle w:val="BodyText"/>
              <w:jc w:val="center"/>
            </w:pPr>
            <w:r>
              <w:t>26</w:t>
            </w:r>
            <w:r w:rsidR="004823C3">
              <w:t>%</w:t>
            </w:r>
          </w:p>
        </w:tc>
        <w:tc>
          <w:tcPr>
            <w:tcW w:w="954" w:type="dxa"/>
            <w:shd w:val="clear" w:color="auto" w:fill="auto"/>
          </w:tcPr>
          <w:p w14:paraId="2B748F3E" w14:textId="0483D759" w:rsidR="009C205D" w:rsidRPr="00E950D5" w:rsidRDefault="00352AEF" w:rsidP="00DB2CD2">
            <w:pPr>
              <w:pStyle w:val="BodyText"/>
              <w:jc w:val="center"/>
            </w:pPr>
            <w:r>
              <w:t>28.2%</w:t>
            </w:r>
          </w:p>
        </w:tc>
      </w:tr>
      <w:tr w:rsidR="2325845B" w14:paraId="6AFEB147" w14:textId="77777777" w:rsidTr="004354FF">
        <w:trPr>
          <w:trHeight w:val="300"/>
        </w:trPr>
        <w:tc>
          <w:tcPr>
            <w:tcW w:w="1875" w:type="dxa"/>
          </w:tcPr>
          <w:p w14:paraId="67F3770C" w14:textId="657835E8" w:rsidR="4A2732FD" w:rsidRDefault="4A2732FD">
            <w:pPr>
              <w:pStyle w:val="BodyText"/>
              <w:jc w:val="center"/>
            </w:pPr>
            <w:r>
              <w:t>% of generation</w:t>
            </w:r>
            <w:r w:rsidR="00D25AAD" w:rsidRPr="004354FF">
              <w:rPr>
                <w:vertAlign w:val="superscript"/>
              </w:rPr>
              <w:t>1</w:t>
            </w:r>
          </w:p>
        </w:tc>
        <w:tc>
          <w:tcPr>
            <w:tcW w:w="954" w:type="dxa"/>
          </w:tcPr>
          <w:p w14:paraId="7784EC41" w14:textId="3EB53DA8" w:rsidR="2325845B" w:rsidRDefault="00D5455F" w:rsidP="004354FF">
            <w:pPr>
              <w:pStyle w:val="BodyText"/>
              <w:jc w:val="center"/>
            </w:pPr>
            <w:r>
              <w:t>-</w:t>
            </w:r>
          </w:p>
        </w:tc>
        <w:tc>
          <w:tcPr>
            <w:tcW w:w="954" w:type="dxa"/>
          </w:tcPr>
          <w:p w14:paraId="43943459" w14:textId="52120223" w:rsidR="2325845B" w:rsidRDefault="00D5455F" w:rsidP="004354FF">
            <w:pPr>
              <w:pStyle w:val="BodyText"/>
              <w:jc w:val="center"/>
            </w:pPr>
            <w:r>
              <w:t>-</w:t>
            </w:r>
          </w:p>
        </w:tc>
        <w:tc>
          <w:tcPr>
            <w:tcW w:w="954" w:type="dxa"/>
          </w:tcPr>
          <w:p w14:paraId="0F3AEFA1" w14:textId="19E3D32E" w:rsidR="2325845B" w:rsidRDefault="00D5455F" w:rsidP="004354FF">
            <w:pPr>
              <w:pStyle w:val="BodyText"/>
              <w:jc w:val="center"/>
            </w:pPr>
            <w:r>
              <w:t>-</w:t>
            </w:r>
          </w:p>
        </w:tc>
        <w:tc>
          <w:tcPr>
            <w:tcW w:w="954" w:type="dxa"/>
          </w:tcPr>
          <w:p w14:paraId="4153900B" w14:textId="200FFBD8" w:rsidR="2325845B" w:rsidRDefault="00D5455F" w:rsidP="004354FF">
            <w:pPr>
              <w:pStyle w:val="BodyText"/>
              <w:jc w:val="center"/>
            </w:pPr>
            <w:r>
              <w:t>-</w:t>
            </w:r>
          </w:p>
        </w:tc>
        <w:tc>
          <w:tcPr>
            <w:tcW w:w="954" w:type="dxa"/>
          </w:tcPr>
          <w:p w14:paraId="0C45196E" w14:textId="5DF21B59" w:rsidR="2325845B" w:rsidRDefault="00D5455F" w:rsidP="004354FF">
            <w:pPr>
              <w:pStyle w:val="BodyText"/>
              <w:jc w:val="center"/>
            </w:pPr>
            <w:r>
              <w:t>-</w:t>
            </w:r>
          </w:p>
        </w:tc>
        <w:tc>
          <w:tcPr>
            <w:tcW w:w="954" w:type="dxa"/>
            <w:shd w:val="clear" w:color="auto" w:fill="FFFFFF" w:themeFill="background1"/>
          </w:tcPr>
          <w:p w14:paraId="45B31643" w14:textId="75042B08" w:rsidR="2325845B" w:rsidRDefault="00D5455F" w:rsidP="004354FF">
            <w:pPr>
              <w:pStyle w:val="BodyText"/>
              <w:jc w:val="center"/>
            </w:pPr>
            <w:r>
              <w:t>-</w:t>
            </w:r>
          </w:p>
        </w:tc>
        <w:tc>
          <w:tcPr>
            <w:tcW w:w="954" w:type="dxa"/>
            <w:shd w:val="clear" w:color="auto" w:fill="auto"/>
          </w:tcPr>
          <w:p w14:paraId="27932969" w14:textId="6401572E" w:rsidR="2325845B" w:rsidRDefault="00D5455F" w:rsidP="004354FF">
            <w:pPr>
              <w:pStyle w:val="BodyText"/>
              <w:jc w:val="center"/>
            </w:pPr>
            <w:r>
              <w:t>-</w:t>
            </w:r>
          </w:p>
        </w:tc>
        <w:tc>
          <w:tcPr>
            <w:tcW w:w="954" w:type="dxa"/>
            <w:shd w:val="clear" w:color="auto" w:fill="auto"/>
          </w:tcPr>
          <w:p w14:paraId="2DB9D98C" w14:textId="2EC3F315" w:rsidR="2325845B" w:rsidRDefault="5CCAFCC8" w:rsidP="004354FF">
            <w:pPr>
              <w:pStyle w:val="BodyText"/>
              <w:jc w:val="center"/>
            </w:pPr>
            <w:r>
              <w:t>27.4%</w:t>
            </w:r>
          </w:p>
        </w:tc>
      </w:tr>
    </w:tbl>
    <w:p w14:paraId="12A03493" w14:textId="673BFF54" w:rsidR="005B38E0" w:rsidRPr="004354FF" w:rsidRDefault="005B38E0">
      <w:pPr>
        <w:rPr>
          <w:sz w:val="16"/>
          <w:szCs w:val="16"/>
        </w:rPr>
      </w:pPr>
      <w:r w:rsidRPr="004354FF">
        <w:rPr>
          <w:sz w:val="16"/>
          <w:szCs w:val="16"/>
        </w:rPr>
        <w:t>Note:</w:t>
      </w:r>
    </w:p>
    <w:p w14:paraId="6D91B9C2" w14:textId="6E31AFC0" w:rsidR="5D4E93E2" w:rsidRPr="004354FF" w:rsidRDefault="009874EB" w:rsidP="004354FF">
      <w:pPr>
        <w:pStyle w:val="ListParagraph"/>
        <w:numPr>
          <w:ilvl w:val="0"/>
          <w:numId w:val="33"/>
        </w:numPr>
        <w:ind w:left="426"/>
        <w:rPr>
          <w:sz w:val="16"/>
          <w:szCs w:val="16"/>
        </w:rPr>
      </w:pPr>
      <w:r>
        <w:rPr>
          <w:sz w:val="16"/>
          <w:szCs w:val="16"/>
        </w:rPr>
        <w:t xml:space="preserve">As mentioned above, </w:t>
      </w:r>
      <w:r w:rsidR="00DC4EEA">
        <w:rPr>
          <w:sz w:val="16"/>
          <w:szCs w:val="16"/>
        </w:rPr>
        <w:t>going forward there will be a change in target and methodology</w:t>
      </w:r>
      <w:r w:rsidR="53284820" w:rsidRPr="004354FF">
        <w:rPr>
          <w:sz w:val="16"/>
          <w:szCs w:val="16"/>
        </w:rPr>
        <w:t xml:space="preserve">. There is a small difference between electricity consumed and generated </w:t>
      </w:r>
      <w:r w:rsidR="00D43E68" w:rsidRPr="004354FF">
        <w:rPr>
          <w:sz w:val="16"/>
          <w:szCs w:val="16"/>
        </w:rPr>
        <w:t>due to</w:t>
      </w:r>
      <w:r w:rsidR="77F99E67" w:rsidRPr="004354FF">
        <w:rPr>
          <w:sz w:val="16"/>
          <w:szCs w:val="16"/>
        </w:rPr>
        <w:t xml:space="preserve"> imports and exports to New South Wales. </w:t>
      </w:r>
    </w:p>
    <w:p w14:paraId="1422C634" w14:textId="2510F6F2" w:rsidR="003258FC" w:rsidRPr="005B3E0F" w:rsidRDefault="003258FC" w:rsidP="00720594">
      <w:pPr>
        <w:pStyle w:val="DECHeading3"/>
        <w:shd w:val="clear" w:color="auto" w:fill="F2F2F2"/>
      </w:pPr>
      <w:bookmarkStart w:id="269" w:name="_Toc172806398"/>
      <w:bookmarkStart w:id="270" w:name="_Toc172806684"/>
      <w:bookmarkStart w:id="271" w:name="_Toc172808509"/>
      <w:bookmarkStart w:id="272" w:name="_Toc174605653"/>
      <w:bookmarkStart w:id="273" w:name="_Toc176424791"/>
      <w:bookmarkStart w:id="274" w:name="_Toc176424950"/>
      <w:r w:rsidRPr="005B3E0F">
        <w:lastRenderedPageBreak/>
        <w:t xml:space="preserve">Consumer energy resources lowering household </w:t>
      </w:r>
      <w:proofErr w:type="gramStart"/>
      <w:r w:rsidRPr="005B3E0F">
        <w:t>costs</w:t>
      </w:r>
      <w:bookmarkEnd w:id="269"/>
      <w:bookmarkEnd w:id="270"/>
      <w:bookmarkEnd w:id="271"/>
      <w:bookmarkEnd w:id="272"/>
      <w:bookmarkEnd w:id="273"/>
      <w:bookmarkEnd w:id="274"/>
      <w:proofErr w:type="gramEnd"/>
    </w:p>
    <w:p w14:paraId="32B91871" w14:textId="721E1372" w:rsidR="003258FC" w:rsidRPr="003258FC" w:rsidRDefault="003258FC" w:rsidP="170D4351">
      <w:pPr>
        <w:shd w:val="clear" w:color="auto" w:fill="F2F2F2" w:themeFill="background1" w:themeFillShade="F2"/>
      </w:pPr>
      <w:r w:rsidRPr="003258FC">
        <w:t xml:space="preserve">The department’s Climate Smart Energy Savers appliance rebate program successfully delivered cost of living relief to </w:t>
      </w:r>
      <w:r w:rsidR="003E7CDE">
        <w:t>approximately</w:t>
      </w:r>
      <w:r w:rsidRPr="003258FC">
        <w:t xml:space="preserve"> 72,700 households across Queensland, with low-income households benefitting the most.</w:t>
      </w:r>
    </w:p>
    <w:p w14:paraId="40105B48" w14:textId="7263A1FF" w:rsidR="003258FC" w:rsidRPr="003258FC" w:rsidRDefault="003258FC" w:rsidP="00720594">
      <w:pPr>
        <w:shd w:val="clear" w:color="auto" w:fill="F2F2F2"/>
      </w:pPr>
      <w:r w:rsidRPr="003258FC">
        <w:t>Households were granted immediate financial relief, with an average rebate of $440 paid out, meaning a substantial saving on new, energy-efficient appliances, leading to reduced utility bills and a greener environment.</w:t>
      </w:r>
    </w:p>
    <w:p w14:paraId="377266CC" w14:textId="2F5C7E9F" w:rsidR="003258FC" w:rsidRPr="003258FC" w:rsidRDefault="003258FC" w:rsidP="00720594">
      <w:pPr>
        <w:shd w:val="clear" w:color="auto" w:fill="F2F2F2"/>
      </w:pPr>
      <w:r w:rsidRPr="003258FC">
        <w:t>The scheme offered cash rebates between $300 and $1,000 on high energy-efficient appliances, with 54</w:t>
      </w:r>
      <w:r w:rsidR="00A005B0">
        <w:t xml:space="preserve"> </w:t>
      </w:r>
      <w:r w:rsidR="00A919FA">
        <w:t>per cent</w:t>
      </w:r>
      <w:r w:rsidRPr="003258FC">
        <w:t xml:space="preserve"> of rebates going to low-income households. </w:t>
      </w:r>
    </w:p>
    <w:p w14:paraId="056080CA" w14:textId="41CE97A2" w:rsidR="003258FC" w:rsidRPr="003258FC" w:rsidRDefault="003258FC" w:rsidP="00720594">
      <w:pPr>
        <w:shd w:val="clear" w:color="auto" w:fill="F2F2F2"/>
      </w:pPr>
      <w:r w:rsidRPr="003258FC">
        <w:t xml:space="preserve">The rebates enabled Queenslanders to access immediate savings, while the energy-efficient appliances are expected to save an average of around $103 annually on their electricity bills. </w:t>
      </w:r>
    </w:p>
    <w:p w14:paraId="4F579EB1" w14:textId="3E6FB5C2" w:rsidR="003258FC" w:rsidRPr="003258FC" w:rsidRDefault="003258FC" w:rsidP="53CCCBBA">
      <w:pPr>
        <w:shd w:val="clear" w:color="auto" w:fill="F2F2F2" w:themeFill="background1" w:themeFillShade="F2"/>
      </w:pPr>
      <w:r w:rsidRPr="003258FC">
        <w:t>The most popular appliances were washing machines, energy-saving fridges, dishwashers, air-conditioners, dryers, and solar and heat pump hot water systems.</w:t>
      </w:r>
    </w:p>
    <w:p w14:paraId="2EF9FA47" w14:textId="18D7888A" w:rsidR="003258FC" w:rsidRPr="003258FC" w:rsidRDefault="003258FC" w:rsidP="00720594">
      <w:pPr>
        <w:shd w:val="clear" w:color="auto" w:fill="F2F2F2"/>
      </w:pPr>
      <w:r w:rsidRPr="003258FC">
        <w:t>Households are also reducing their CO2 emissions by around 0.27 tonnes annually, contributing to a greener, and more sustainable Queensland and contributing to our emissions reduction target of 75</w:t>
      </w:r>
      <w:r w:rsidR="004B1D55">
        <w:t xml:space="preserve"> per cent</w:t>
      </w:r>
      <w:r w:rsidRPr="003258FC">
        <w:t xml:space="preserve"> by 2035.</w:t>
      </w:r>
    </w:p>
    <w:p w14:paraId="60FC7A99" w14:textId="57E0D296" w:rsidR="003258FC" w:rsidRPr="003258FC" w:rsidRDefault="003258FC" w:rsidP="00720594">
      <w:pPr>
        <w:shd w:val="clear" w:color="auto" w:fill="F2F2F2"/>
      </w:pPr>
      <w:r w:rsidRPr="003258FC">
        <w:t>The department also launched the Battery Booster Program in February 2024 to support eligible households to lower costs of electricity bills, through solar and storage.</w:t>
      </w:r>
    </w:p>
    <w:p w14:paraId="59784FF5" w14:textId="0880DB1E" w:rsidR="003258FC" w:rsidRPr="003258FC" w:rsidRDefault="003258FC" w:rsidP="00720594">
      <w:pPr>
        <w:shd w:val="clear" w:color="auto" w:fill="F2F2F2"/>
      </w:pPr>
      <w:r w:rsidRPr="003258FC">
        <w:t>Households who purchased a battery system during the rebate period can store power for use when the sun isn’t shining, further cutting power bills and emissions, and reducing load on the grid.</w:t>
      </w:r>
    </w:p>
    <w:p w14:paraId="77A045A3" w14:textId="28AA89DF" w:rsidR="003258FC" w:rsidRDefault="003258FC" w:rsidP="00720594">
      <w:pPr>
        <w:shd w:val="clear" w:color="auto" w:fill="F2F2F2"/>
      </w:pPr>
      <w:r w:rsidRPr="003258FC">
        <w:t>The $10 million program allowed homes with a new or existing solar PV system of at least 5 kilowatts, to receive a means-tested rebate of between $3,000 and $4,000 to purchase solar battery systems of 6 kilowatt hours or more.</w:t>
      </w:r>
    </w:p>
    <w:p w14:paraId="7B124217" w14:textId="2843FF89" w:rsidR="00B567D5" w:rsidRDefault="00B567D5" w:rsidP="00720594">
      <w:pPr>
        <w:pStyle w:val="DECHeading3"/>
        <w:shd w:val="clear" w:color="auto" w:fill="F2F2F2"/>
      </w:pPr>
      <w:bookmarkStart w:id="275" w:name="_Toc172806399"/>
      <w:bookmarkStart w:id="276" w:name="_Toc172806685"/>
      <w:bookmarkStart w:id="277" w:name="_Toc172808510"/>
      <w:bookmarkStart w:id="278" w:name="_Toc174605654"/>
      <w:bookmarkStart w:id="279" w:name="_Toc176424792"/>
      <w:bookmarkStart w:id="280" w:name="_Toc176424951"/>
      <w:r w:rsidRPr="3DF438FE">
        <w:t xml:space="preserve">Cost of living rebates make a </w:t>
      </w:r>
      <w:proofErr w:type="gramStart"/>
      <w:r w:rsidRPr="3DF438FE">
        <w:t>difference</w:t>
      </w:r>
      <w:bookmarkEnd w:id="275"/>
      <w:bookmarkEnd w:id="276"/>
      <w:bookmarkEnd w:id="277"/>
      <w:bookmarkEnd w:id="278"/>
      <w:bookmarkEnd w:id="279"/>
      <w:bookmarkEnd w:id="280"/>
      <w:proofErr w:type="gramEnd"/>
    </w:p>
    <w:p w14:paraId="067E5363" w14:textId="1D35ADB9" w:rsidR="00B567D5" w:rsidRPr="00B567D5" w:rsidRDefault="00B567D5" w:rsidP="00720594">
      <w:pPr>
        <w:shd w:val="clear" w:color="auto" w:fill="F2F2F2"/>
      </w:pPr>
      <w:r w:rsidRPr="00B567D5">
        <w:t>Cost of living support for households and small businesses during 2023</w:t>
      </w:r>
      <w:r w:rsidR="0052184E">
        <w:t>–</w:t>
      </w:r>
      <w:r w:rsidRPr="00B567D5">
        <w:t>24 included a rebate for households more than three times the size of the previous year’s rebate in recognition of the growing costs of everyday expenses such as fuel, groceries, rent and mortgage repayments.</w:t>
      </w:r>
    </w:p>
    <w:p w14:paraId="3751A726" w14:textId="77777777" w:rsidR="00B567D5" w:rsidRPr="00B567D5" w:rsidRDefault="00B567D5" w:rsidP="00720594">
      <w:pPr>
        <w:shd w:val="clear" w:color="auto" w:fill="F2F2F2"/>
      </w:pPr>
      <w:r w:rsidRPr="00B567D5">
        <w:t xml:space="preserve">Queensland households automatically received a $550 electricity rebate on their energy bills which was a welcome contribution to household budgets. </w:t>
      </w:r>
    </w:p>
    <w:p w14:paraId="528640C2" w14:textId="1233D324" w:rsidR="00B567D5" w:rsidRPr="00B567D5" w:rsidRDefault="00B567D5" w:rsidP="00720594">
      <w:pPr>
        <w:shd w:val="clear" w:color="auto" w:fill="F2F2F2"/>
      </w:pPr>
      <w:r w:rsidRPr="00B567D5">
        <w:t xml:space="preserve">In providing this relief to households, recent </w:t>
      </w:r>
      <w:r w:rsidR="00384AFA">
        <w:t xml:space="preserve">Australian Bureau of Statistics </w:t>
      </w:r>
      <w:r w:rsidRPr="00B567D5">
        <w:t>data showed that the $550 electricity rebates lowered electricity bills by 9.5 per cent and contributed to lowering inflation.</w:t>
      </w:r>
    </w:p>
    <w:p w14:paraId="036F3829" w14:textId="4BF978B5" w:rsidR="00B567D5" w:rsidRPr="00B567D5" w:rsidRDefault="00B567D5" w:rsidP="00720594">
      <w:pPr>
        <w:shd w:val="clear" w:color="auto" w:fill="F2F2F2"/>
      </w:pPr>
      <w:r w:rsidRPr="00B567D5">
        <w:t xml:space="preserve">Vulnerable households, including eligible seniors, pensioners and concession card holders received $1,072 relief per household including a $700 Cost of Living rebate – partly funded with the </w:t>
      </w:r>
      <w:r w:rsidR="00850191">
        <w:t>Australian government</w:t>
      </w:r>
      <w:r w:rsidRPr="00B567D5">
        <w:t xml:space="preserve"> under the National Energy Bill Relief Fund </w:t>
      </w:r>
      <w:r w:rsidR="00F51332">
        <w:t>–</w:t>
      </w:r>
      <w:r w:rsidR="00F51332" w:rsidRPr="00B567D5">
        <w:t xml:space="preserve"> </w:t>
      </w:r>
      <w:r w:rsidRPr="00B567D5">
        <w:t xml:space="preserve">and a further $372 through Queensland’s existing Electricity Rebate </w:t>
      </w:r>
      <w:r w:rsidR="0023406E">
        <w:t>s</w:t>
      </w:r>
      <w:r w:rsidRPr="00B567D5">
        <w:t>cheme.</w:t>
      </w:r>
    </w:p>
    <w:p w14:paraId="5CCA1CAA" w14:textId="77777777" w:rsidR="00B567D5" w:rsidRPr="00B567D5" w:rsidRDefault="00B567D5" w:rsidP="00720594">
      <w:pPr>
        <w:shd w:val="clear" w:color="auto" w:fill="F2F2F2"/>
      </w:pPr>
      <w:r w:rsidRPr="00B567D5">
        <w:t>The rebates continued with around 205,000 eligible small businesses receiving a $650 rebate to help cut the cost of doing business in Queensland and a combined $70 million for other initiatives to keep costs down for households, enabling more choice and greater energy equity.</w:t>
      </w:r>
    </w:p>
    <w:p w14:paraId="72F34E5D" w14:textId="20D2EC02" w:rsidR="00B567D5" w:rsidRDefault="00B567D5" w:rsidP="00720594">
      <w:pPr>
        <w:shd w:val="clear" w:color="auto" w:fill="F2F2F2"/>
      </w:pPr>
      <w:r w:rsidRPr="00B567D5">
        <w:t xml:space="preserve">The </w:t>
      </w:r>
      <w:proofErr w:type="gramStart"/>
      <w:r w:rsidR="00384AFA" w:rsidRPr="00B567D5" w:rsidDel="0023406E">
        <w:t>cost</w:t>
      </w:r>
      <w:r w:rsidR="006F5261" w:rsidDel="0023406E">
        <w:t xml:space="preserve"> </w:t>
      </w:r>
      <w:r w:rsidR="00384AFA" w:rsidRPr="00B567D5" w:rsidDel="0023406E">
        <w:t>of</w:t>
      </w:r>
      <w:r w:rsidR="006F5261" w:rsidDel="0023406E">
        <w:t xml:space="preserve"> </w:t>
      </w:r>
      <w:r w:rsidR="00384AFA" w:rsidRPr="00B567D5" w:rsidDel="0023406E">
        <w:t>living</w:t>
      </w:r>
      <w:proofErr w:type="gramEnd"/>
      <w:r w:rsidRPr="00B567D5">
        <w:t xml:space="preserve"> relief will continue for Queensland households into the next financial year with the rebate increased from $550 to $1,000 from 1 July 2024. This will nearly halve the average household power bill in Queensland for 2024</w:t>
      </w:r>
      <w:r w:rsidR="00525BEF">
        <w:t>–</w:t>
      </w:r>
      <w:r w:rsidRPr="00B567D5">
        <w:t>25 further helping Queensland families make ends meet.</w:t>
      </w:r>
    </w:p>
    <w:p w14:paraId="48A9F042" w14:textId="77777777" w:rsidR="0081663C" w:rsidRPr="00477EDF" w:rsidRDefault="0081663C" w:rsidP="00720594">
      <w:pPr>
        <w:pStyle w:val="DECHeading3"/>
        <w:shd w:val="clear" w:color="auto" w:fill="F2F2F2"/>
      </w:pPr>
      <w:bookmarkStart w:id="281" w:name="_Toc174605655"/>
      <w:bookmarkStart w:id="282" w:name="_Toc176424793"/>
      <w:bookmarkStart w:id="283" w:name="_Toc176424952"/>
      <w:r w:rsidRPr="6990DEFA">
        <w:lastRenderedPageBreak/>
        <w:t>Social licence – QFF landholder toolkit and phone line</w:t>
      </w:r>
      <w:bookmarkEnd w:id="281"/>
      <w:bookmarkEnd w:id="282"/>
      <w:bookmarkEnd w:id="283"/>
    </w:p>
    <w:p w14:paraId="3A72F23D" w14:textId="77777777" w:rsidR="0081663C" w:rsidRPr="00477EDF" w:rsidRDefault="0081663C" w:rsidP="00720594">
      <w:pPr>
        <w:shd w:val="clear" w:color="auto" w:fill="F2F2F2"/>
      </w:pPr>
      <w:r w:rsidRPr="00477EDF">
        <w:t xml:space="preserve">We consulted extensively with local communities across the state in the lead up to the release of the </w:t>
      </w:r>
      <w:r w:rsidRPr="00A57E40">
        <w:rPr>
          <w:i/>
          <w:iCs/>
        </w:rPr>
        <w:t>Queensland Energy and Jobs Plan</w:t>
      </w:r>
      <w:r w:rsidRPr="00477EDF">
        <w:t xml:space="preserve"> in 2022. </w:t>
      </w:r>
    </w:p>
    <w:p w14:paraId="66C3D4F7" w14:textId="77777777" w:rsidR="0081663C" w:rsidRPr="00477EDF" w:rsidRDefault="0081663C" w:rsidP="00720594">
      <w:pPr>
        <w:shd w:val="clear" w:color="auto" w:fill="F2F2F2"/>
      </w:pPr>
      <w:r w:rsidRPr="00477EDF">
        <w:t xml:space="preserve">Through this process it became clear that building social licence was critical in strengthening community involvement and support, which is crucial throughout Queensland’s energy transformation, along with understanding the cumulative impacts, communicating </w:t>
      </w:r>
      <w:proofErr w:type="gramStart"/>
      <w:r w:rsidRPr="00477EDF">
        <w:t>benefits</w:t>
      </w:r>
      <w:proofErr w:type="gramEnd"/>
      <w:r w:rsidRPr="00477EDF">
        <w:t xml:space="preserve"> and ensuring positive coexistence. </w:t>
      </w:r>
    </w:p>
    <w:p w14:paraId="01CDFA86" w14:textId="77777777" w:rsidR="0081663C" w:rsidRPr="00477EDF" w:rsidRDefault="0081663C" w:rsidP="00720594">
      <w:pPr>
        <w:shd w:val="clear" w:color="auto" w:fill="F2F2F2"/>
      </w:pPr>
      <w:r w:rsidRPr="00477EDF">
        <w:t xml:space="preserve">In support of this approach, in 2023 we worked closely with the Queensland Farmers Federation (QFF) to ensure regional Queensland landholders had the resources they need to take full advantage of the renewables transition. </w:t>
      </w:r>
    </w:p>
    <w:p w14:paraId="5610A4A5" w14:textId="77777777" w:rsidR="0081663C" w:rsidRPr="00477EDF" w:rsidRDefault="0081663C" w:rsidP="00720594">
      <w:pPr>
        <w:shd w:val="clear" w:color="auto" w:fill="F2F2F2"/>
      </w:pPr>
      <w:r w:rsidRPr="00477EDF">
        <w:t xml:space="preserve">This partnership resulted in the release of the Queensland Renewable Energy Landholder Toolkit, created to support landholders considering hosting a renewable energy project on their property. </w:t>
      </w:r>
    </w:p>
    <w:p w14:paraId="57893019" w14:textId="77777777" w:rsidR="0081663C" w:rsidRPr="00477EDF" w:rsidRDefault="0081663C" w:rsidP="00A0693E">
      <w:pPr>
        <w:shd w:val="clear" w:color="auto" w:fill="F2F2F2"/>
      </w:pPr>
      <w:r w:rsidRPr="00477EDF">
        <w:t xml:space="preserve">The toolkit is a free and easy-to-understand guide for landholders to assist in their decision-making process and help them negotiate with renewable energy companies to fully harvest the once-in-a-lifetime benefits of Queensland’s transformation into a renewable energy powerhouse. </w:t>
      </w:r>
    </w:p>
    <w:p w14:paraId="45071DFA" w14:textId="77777777" w:rsidR="0081663C" w:rsidRPr="00477EDF" w:rsidRDefault="0081663C" w:rsidP="00A0693E">
      <w:pPr>
        <w:shd w:val="clear" w:color="auto" w:fill="F2F2F2"/>
      </w:pPr>
      <w:r w:rsidRPr="00477EDF">
        <w:t xml:space="preserve">We continued our work with the QFF to create the Energy Information Service for Landholders as a further resource and welcome extension to the toolkit.  </w:t>
      </w:r>
    </w:p>
    <w:p w14:paraId="3D15D311" w14:textId="77777777" w:rsidR="0081663C" w:rsidRPr="00477EDF" w:rsidRDefault="0081663C" w:rsidP="00A0693E">
      <w:pPr>
        <w:shd w:val="clear" w:color="auto" w:fill="F2F2F2"/>
      </w:pPr>
      <w:r w:rsidRPr="00477EDF">
        <w:t xml:space="preserve">This free phone service for farmers and landholders in Queensland provides information and guidance on a range of energy matters including on-farm energy infrastructure, tariffs, and other energy related enquiries. </w:t>
      </w:r>
    </w:p>
    <w:p w14:paraId="09D6DB21" w14:textId="7CA7C1B9" w:rsidR="0081663C" w:rsidRPr="003258FC" w:rsidRDefault="0081663C" w:rsidP="00A0693E">
      <w:pPr>
        <w:shd w:val="clear" w:color="auto" w:fill="F2F2F2"/>
      </w:pPr>
      <w:r w:rsidRPr="00477EDF">
        <w:t xml:space="preserve">In progressing actions under the </w:t>
      </w:r>
      <w:r w:rsidR="00C738B3" w:rsidRPr="00537247">
        <w:rPr>
          <w:i/>
        </w:rPr>
        <w:t xml:space="preserve">Queensland Energy and Jobs Plan </w:t>
      </w:r>
      <w:r w:rsidRPr="00537247">
        <w:rPr>
          <w:i/>
        </w:rPr>
        <w:t>Community Partnerships and Enabling Frameworks</w:t>
      </w:r>
      <w:r w:rsidRPr="00477EDF">
        <w:t>, we continue to play a vital role in delivering initiatives to support social licence for the energy transformation.</w:t>
      </w:r>
    </w:p>
    <w:p w14:paraId="49E830B9" w14:textId="494FEFD8" w:rsidR="00021D4E" w:rsidRPr="0014007B" w:rsidRDefault="005E319F" w:rsidP="005B3E0F">
      <w:pPr>
        <w:pStyle w:val="DECHeading3"/>
      </w:pPr>
      <w:bookmarkStart w:id="284" w:name="_Toc172806401"/>
      <w:bookmarkStart w:id="285" w:name="_Toc172806687"/>
      <w:bookmarkStart w:id="286" w:name="_Toc172808513"/>
      <w:bookmarkStart w:id="287" w:name="_Toc174605656"/>
      <w:bookmarkStart w:id="288" w:name="_Toc176424794"/>
      <w:bookmarkStart w:id="289" w:name="_Toc176424953"/>
      <w:r w:rsidRPr="0014007B">
        <w:t>Collaborating to deliver</w:t>
      </w:r>
      <w:r w:rsidR="00E96D9E" w:rsidRPr="0014007B">
        <w:t xml:space="preserve"> the </w:t>
      </w:r>
      <w:r w:rsidR="00E96D9E" w:rsidRPr="00583C75">
        <w:rPr>
          <w:i/>
        </w:rPr>
        <w:t>Queensland Energy and Jobs Plan</w:t>
      </w:r>
      <w:bookmarkEnd w:id="284"/>
      <w:bookmarkEnd w:id="285"/>
      <w:bookmarkEnd w:id="286"/>
      <w:bookmarkEnd w:id="287"/>
      <w:bookmarkEnd w:id="288"/>
      <w:bookmarkEnd w:id="289"/>
    </w:p>
    <w:p w14:paraId="71482CFE" w14:textId="1A25BBCD" w:rsidR="00285F63" w:rsidRPr="00AB5792" w:rsidRDefault="00285F63" w:rsidP="00654F2F">
      <w:pPr>
        <w:pStyle w:val="DECHeading4"/>
        <w:rPr>
          <w:color w:val="auto"/>
        </w:rPr>
      </w:pPr>
      <w:bookmarkStart w:id="290" w:name="_Toc172808514"/>
      <w:bookmarkStart w:id="291" w:name="_Toc174605657"/>
      <w:bookmarkStart w:id="292" w:name="_Toc176424795"/>
      <w:bookmarkStart w:id="293" w:name="_Toc176424954"/>
      <w:r w:rsidRPr="00D50310">
        <w:t>In 202</w:t>
      </w:r>
      <w:r w:rsidRPr="006E3D0E">
        <w:rPr>
          <w:color w:val="auto"/>
        </w:rPr>
        <w:t>3–24</w:t>
      </w:r>
      <w:r w:rsidR="00D27F61">
        <w:rPr>
          <w:color w:val="auto"/>
        </w:rPr>
        <w:t>,</w:t>
      </w:r>
      <w:r w:rsidRPr="006E3D0E">
        <w:rPr>
          <w:color w:val="auto"/>
        </w:rPr>
        <w:t xml:space="preserve"> we collaborated to deliver the </w:t>
      </w:r>
      <w:r w:rsidRPr="00832D80">
        <w:rPr>
          <w:i/>
          <w:color w:val="auto"/>
        </w:rPr>
        <w:t>Queensland Energy and Jobs Plan</w:t>
      </w:r>
      <w:r w:rsidRPr="006E3D0E">
        <w:rPr>
          <w:color w:val="auto"/>
        </w:rPr>
        <w:t xml:space="preserve"> </w:t>
      </w:r>
      <w:r w:rsidR="00564453" w:rsidRPr="001B4CC5">
        <w:rPr>
          <w:color w:val="auto"/>
        </w:rPr>
        <w:t>through</w:t>
      </w:r>
      <w:r w:rsidRPr="001B4CC5">
        <w:rPr>
          <w:color w:val="auto"/>
        </w:rPr>
        <w:t>:</w:t>
      </w:r>
      <w:bookmarkEnd w:id="290"/>
      <w:bookmarkEnd w:id="291"/>
      <w:bookmarkEnd w:id="292"/>
      <w:bookmarkEnd w:id="293"/>
      <w:r w:rsidRPr="001B4CC5">
        <w:rPr>
          <w:color w:val="auto"/>
        </w:rPr>
        <w:t xml:space="preserve"> </w:t>
      </w:r>
    </w:p>
    <w:p w14:paraId="0BD056EE" w14:textId="446D89CD" w:rsidR="00285F63" w:rsidRPr="001E3A8D" w:rsidRDefault="009F6352" w:rsidP="00113DF0">
      <w:pPr>
        <w:pStyle w:val="ListParagraph"/>
        <w:numPr>
          <w:ilvl w:val="0"/>
          <w:numId w:val="13"/>
        </w:numPr>
        <w:rPr>
          <w:lang w:eastAsia="en-AU"/>
        </w:rPr>
      </w:pPr>
      <w:r>
        <w:rPr>
          <w:lang w:eastAsia="en-AU"/>
        </w:rPr>
        <w:t>T</w:t>
      </w:r>
      <w:r w:rsidR="00564453">
        <w:rPr>
          <w:lang w:eastAsia="en-AU"/>
        </w:rPr>
        <w:t>he delivery of the</w:t>
      </w:r>
      <w:r w:rsidR="00285F63" w:rsidRPr="001E3A8D">
        <w:rPr>
          <w:lang w:eastAsia="en-AU"/>
        </w:rPr>
        <w:t xml:space="preserve"> </w:t>
      </w:r>
      <w:hyperlink r:id="rId59" w:tgtFrame="_blank" w:tooltip="Energy (Renewable Transformation and Jobs) Act 2024" w:history="1">
        <w:r w:rsidR="00D315ED" w:rsidRPr="00583C75">
          <w:rPr>
            <w:i/>
            <w:iCs/>
            <w:lang w:eastAsia="en-AU"/>
          </w:rPr>
          <w:t>Energy (Renewable Transformation and Jobs) Act 2024</w:t>
        </w:r>
      </w:hyperlink>
      <w:r w:rsidR="00285F63" w:rsidRPr="0014007B">
        <w:rPr>
          <w:lang w:eastAsia="en-AU"/>
        </w:rPr>
        <w:t xml:space="preserve"> </w:t>
      </w:r>
      <w:r w:rsidR="00285F63" w:rsidRPr="001E3A8D">
        <w:rPr>
          <w:lang w:eastAsia="en-AU"/>
        </w:rPr>
        <w:t xml:space="preserve">to enshrine key commitments from the </w:t>
      </w:r>
      <w:r w:rsidR="00C01E7F" w:rsidRPr="00650EFA">
        <w:rPr>
          <w:i/>
          <w:lang w:eastAsia="en-AU"/>
        </w:rPr>
        <w:t>Queensland Energy and Jobs Plan</w:t>
      </w:r>
      <w:r w:rsidR="00C01E7F" w:rsidRPr="0014007B">
        <w:rPr>
          <w:lang w:eastAsia="en-AU"/>
        </w:rPr>
        <w:t xml:space="preserve"> </w:t>
      </w:r>
      <w:r w:rsidR="00285F63" w:rsidRPr="001E3A8D">
        <w:rPr>
          <w:lang w:eastAsia="en-AU"/>
        </w:rPr>
        <w:t>in law, creat</w:t>
      </w:r>
      <w:r w:rsidR="00285F63">
        <w:rPr>
          <w:lang w:eastAsia="en-AU"/>
        </w:rPr>
        <w:t>ing</w:t>
      </w:r>
      <w:r w:rsidR="00285F63" w:rsidRPr="001E3A8D">
        <w:rPr>
          <w:lang w:eastAsia="en-AU"/>
        </w:rPr>
        <w:t xml:space="preserve"> the infrastructure frameworks needed to build the Queensland </w:t>
      </w:r>
      <w:proofErr w:type="spellStart"/>
      <w:r w:rsidR="00285F63" w:rsidRPr="001E3A8D">
        <w:rPr>
          <w:lang w:eastAsia="en-AU"/>
        </w:rPr>
        <w:t>SuperGrid</w:t>
      </w:r>
      <w:proofErr w:type="spellEnd"/>
      <w:r w:rsidR="00285F63" w:rsidRPr="001E3A8D">
        <w:rPr>
          <w:lang w:eastAsia="en-AU"/>
        </w:rPr>
        <w:t xml:space="preserve"> and establish the governance and advice functions required for a smooth, coordinated energy transformation. </w:t>
      </w:r>
    </w:p>
    <w:p w14:paraId="52A3B017" w14:textId="09F999F4" w:rsidR="00285F63" w:rsidRPr="001E3A8D" w:rsidRDefault="009F6352" w:rsidP="00113DF0">
      <w:pPr>
        <w:pStyle w:val="ListParagraph"/>
        <w:numPr>
          <w:ilvl w:val="0"/>
          <w:numId w:val="13"/>
        </w:numPr>
        <w:rPr>
          <w:lang w:eastAsia="en-AU"/>
        </w:rPr>
      </w:pPr>
      <w:r>
        <w:rPr>
          <w:lang w:eastAsia="en-AU"/>
        </w:rPr>
        <w:t>T</w:t>
      </w:r>
      <w:r w:rsidR="00285F63" w:rsidRPr="001E3A8D">
        <w:rPr>
          <w:lang w:eastAsia="en-AU"/>
        </w:rPr>
        <w:t>he 2023</w:t>
      </w:r>
      <w:r w:rsidR="00AA0D5B">
        <w:rPr>
          <w:lang w:eastAsia="en-AU"/>
        </w:rPr>
        <w:t>–</w:t>
      </w:r>
      <w:r w:rsidR="00285F63" w:rsidRPr="001E3A8D">
        <w:rPr>
          <w:lang w:eastAsia="en-AU"/>
        </w:rPr>
        <w:t>24 Budget approv</w:t>
      </w:r>
      <w:r w:rsidR="00B67419">
        <w:rPr>
          <w:lang w:eastAsia="en-AU"/>
        </w:rPr>
        <w:t>al of</w:t>
      </w:r>
      <w:r w:rsidR="00285F63" w:rsidRPr="001E3A8D">
        <w:rPr>
          <w:lang w:eastAsia="en-AU"/>
        </w:rPr>
        <w:t xml:space="preserve"> $5.465 billion capital investment for Queensland energy entities, </w:t>
      </w:r>
      <w:r w:rsidR="006145D7">
        <w:rPr>
          <w:lang w:eastAsia="en-AU"/>
        </w:rPr>
        <w:t>which supports</w:t>
      </w:r>
      <w:r w:rsidR="00285F63" w:rsidRPr="001E3A8D">
        <w:rPr>
          <w:lang w:eastAsia="en-AU"/>
        </w:rPr>
        <w:t xml:space="preserve"> existing assets and new wind, solar, storage and transmission projects including stage 1 of Stanwell’s </w:t>
      </w:r>
      <w:proofErr w:type="spellStart"/>
      <w:r w:rsidR="00285F63" w:rsidRPr="001E3A8D">
        <w:rPr>
          <w:lang w:eastAsia="en-AU"/>
        </w:rPr>
        <w:t>Wambo</w:t>
      </w:r>
      <w:proofErr w:type="spellEnd"/>
      <w:r w:rsidR="00285F63" w:rsidRPr="001E3A8D">
        <w:rPr>
          <w:lang w:eastAsia="en-AU"/>
        </w:rPr>
        <w:t xml:space="preserve"> Wind Farm and </w:t>
      </w:r>
      <w:proofErr w:type="spellStart"/>
      <w:r w:rsidR="00285F63" w:rsidRPr="001E3A8D">
        <w:rPr>
          <w:lang w:eastAsia="en-AU"/>
        </w:rPr>
        <w:t>CleanCo’s</w:t>
      </w:r>
      <w:proofErr w:type="spellEnd"/>
      <w:r w:rsidR="00285F63" w:rsidRPr="001E3A8D">
        <w:rPr>
          <w:lang w:eastAsia="en-AU"/>
        </w:rPr>
        <w:t xml:space="preserve"> Swanbank Battery Energy Storage System</w:t>
      </w:r>
      <w:r w:rsidR="00DB6B6C">
        <w:rPr>
          <w:lang w:eastAsia="en-AU"/>
        </w:rPr>
        <w:t>.</w:t>
      </w:r>
      <w:r w:rsidR="00285F63" w:rsidRPr="001E3A8D">
        <w:rPr>
          <w:lang w:eastAsia="en-AU"/>
        </w:rPr>
        <w:t xml:space="preserve"> </w:t>
      </w:r>
    </w:p>
    <w:p w14:paraId="6A7770E6" w14:textId="2F624109" w:rsidR="00285F63" w:rsidRPr="001E3A8D" w:rsidRDefault="009F6352" w:rsidP="00113DF0">
      <w:pPr>
        <w:pStyle w:val="ListParagraph"/>
        <w:numPr>
          <w:ilvl w:val="0"/>
          <w:numId w:val="13"/>
        </w:numPr>
        <w:rPr>
          <w:lang w:eastAsia="en-AU"/>
        </w:rPr>
      </w:pPr>
      <w:r>
        <w:rPr>
          <w:lang w:eastAsia="en-AU"/>
        </w:rPr>
        <w:t>R</w:t>
      </w:r>
      <w:r w:rsidR="00285F63" w:rsidRPr="001E3A8D">
        <w:rPr>
          <w:lang w:eastAsia="en-AU"/>
        </w:rPr>
        <w:t>eleasing the Queensland Renewable Energy Zones Roadmap to outline a framework that will strategically connect around 22 gigawatts of new grid-scale renewable energy in 12 potential locations across Queensland.</w:t>
      </w:r>
    </w:p>
    <w:p w14:paraId="364736B1" w14:textId="7C5633E6" w:rsidR="00206E6C" w:rsidRPr="001E3A8D" w:rsidRDefault="00206E6C" w:rsidP="00206E6C">
      <w:pPr>
        <w:pStyle w:val="ListParagraph"/>
        <w:numPr>
          <w:ilvl w:val="0"/>
          <w:numId w:val="13"/>
        </w:numPr>
        <w:spacing w:after="120"/>
      </w:pPr>
      <w:r>
        <w:t>U</w:t>
      </w:r>
      <w:r w:rsidRPr="001E3A8D">
        <w:t xml:space="preserve">ndertaking </w:t>
      </w:r>
      <w:r w:rsidR="00E51E5A">
        <w:t>Renewable Energy Zones (</w:t>
      </w:r>
      <w:r w:rsidRPr="001E3A8D">
        <w:t>REZ</w:t>
      </w:r>
      <w:r w:rsidR="00E51E5A">
        <w:t>)</w:t>
      </w:r>
      <w:r w:rsidRPr="001E3A8D">
        <w:t xml:space="preserve"> Readiness Assessments in close collaboration with local communities in Central Queensland to identify strategies for maximising local opportunities associated with REZs, as well as ways to manage potential local impacts.</w:t>
      </w:r>
    </w:p>
    <w:p w14:paraId="6509E377" w14:textId="77777777" w:rsidR="00206E6C" w:rsidRPr="001E3A8D" w:rsidRDefault="00206E6C" w:rsidP="00206E6C">
      <w:pPr>
        <w:pStyle w:val="ListParagraph"/>
        <w:numPr>
          <w:ilvl w:val="0"/>
          <w:numId w:val="13"/>
        </w:numPr>
        <w:rPr>
          <w:lang w:eastAsia="en-AU"/>
        </w:rPr>
      </w:pPr>
      <w:r>
        <w:rPr>
          <w:lang w:eastAsia="en-AU"/>
        </w:rPr>
        <w:t>A</w:t>
      </w:r>
      <w:r w:rsidRPr="001E3A8D">
        <w:rPr>
          <w:lang w:eastAsia="en-AU"/>
        </w:rPr>
        <w:t>llocating $20 million from the Regional Economic Futures Fund to support the outcomes of the first REZ Readiness Assessments which will be identified and prioritised based on local priorities.</w:t>
      </w:r>
    </w:p>
    <w:p w14:paraId="180448E4" w14:textId="77777777" w:rsidR="00206E6C" w:rsidRPr="001360E3" w:rsidRDefault="00206E6C" w:rsidP="00206E6C">
      <w:pPr>
        <w:pStyle w:val="ListParagraph"/>
        <w:numPr>
          <w:ilvl w:val="0"/>
          <w:numId w:val="13"/>
        </w:numPr>
        <w:rPr>
          <w:lang w:eastAsia="en-AU"/>
        </w:rPr>
      </w:pPr>
      <w:r>
        <w:rPr>
          <w:lang w:eastAsia="en-AU"/>
        </w:rPr>
        <w:t xml:space="preserve">Partnering with industry, councils, and peak bodies as part of the Local Energy Partnerships (LEP) framework to ensure local voices, local choices and local benefits are a foundational component of the energy transformation. The LEP empowers </w:t>
      </w:r>
      <w:r w:rsidRPr="001E3A8D">
        <w:rPr>
          <w:lang w:eastAsia="en-AU"/>
        </w:rPr>
        <w:t xml:space="preserve">regional Queensland to </w:t>
      </w:r>
      <w:r>
        <w:rPr>
          <w:lang w:eastAsia="en-AU"/>
        </w:rPr>
        <w:t xml:space="preserve">help </w:t>
      </w:r>
      <w:r w:rsidRPr="001E3A8D">
        <w:rPr>
          <w:lang w:eastAsia="en-AU"/>
        </w:rPr>
        <w:t>shape the energy transformation</w:t>
      </w:r>
      <w:r>
        <w:rPr>
          <w:lang w:eastAsia="en-AU"/>
        </w:rPr>
        <w:t>,</w:t>
      </w:r>
      <w:r w:rsidRPr="001E3A8D">
        <w:rPr>
          <w:lang w:eastAsia="en-AU"/>
        </w:rPr>
        <w:t xml:space="preserve"> and for their local communities and businesses to benefit from energy developments.</w:t>
      </w:r>
    </w:p>
    <w:p w14:paraId="776D1F40" w14:textId="77777777" w:rsidR="00206E6C" w:rsidRDefault="00206E6C" w:rsidP="00206E6C">
      <w:pPr>
        <w:pStyle w:val="ListParagraph"/>
        <w:numPr>
          <w:ilvl w:val="0"/>
          <w:numId w:val="13"/>
        </w:numPr>
        <w:rPr>
          <w:lang w:eastAsia="en-AU"/>
        </w:rPr>
      </w:pPr>
      <w:r>
        <w:rPr>
          <w:lang w:eastAsia="en-AU"/>
        </w:rPr>
        <w:lastRenderedPageBreak/>
        <w:t>Working together with the Smart Energy Council, the Clean Energy Council, and the Queensland Renewable Energy Council as part of the LEP framework. Our $3 million Energy Industry Partnerships have been set up to guide better practice in the renewable energy sector, deliver industry training on social licence, set-up a large-scale solar panel recycling pilot and hold regional careers fairs to showcase clean energy job opportunities.</w:t>
      </w:r>
    </w:p>
    <w:p w14:paraId="3054E4F2" w14:textId="77777777" w:rsidR="00206E6C" w:rsidRDefault="00206E6C" w:rsidP="00206E6C">
      <w:pPr>
        <w:pStyle w:val="ListParagraph"/>
        <w:numPr>
          <w:ilvl w:val="0"/>
          <w:numId w:val="13"/>
        </w:numPr>
        <w:rPr>
          <w:lang w:eastAsia="en-AU"/>
        </w:rPr>
      </w:pPr>
      <w:r>
        <w:rPr>
          <w:lang w:eastAsia="en-AU"/>
        </w:rPr>
        <w:t xml:space="preserve">Partnering with the QFF to establish the energy information service for landholders, providing farmers with tailored energy-related information and helping them to make better-informed business decisions. </w:t>
      </w:r>
    </w:p>
    <w:p w14:paraId="7CCC7E83" w14:textId="77777777" w:rsidR="00206E6C" w:rsidRPr="006D6488" w:rsidRDefault="00206E6C" w:rsidP="00206E6C">
      <w:pPr>
        <w:pStyle w:val="ListParagraph"/>
        <w:numPr>
          <w:ilvl w:val="0"/>
          <w:numId w:val="13"/>
        </w:numPr>
        <w:rPr>
          <w:lang w:eastAsia="en-AU"/>
        </w:rPr>
      </w:pPr>
      <w:r>
        <w:rPr>
          <w:lang w:eastAsia="en-AU"/>
        </w:rPr>
        <w:t>Helping local governments get the most out of renewable energy projects in their regions with a $1.2 million grant to the Local Government Association of Queensland. The project seeks to build councils’ capacity in engaging with their communities on energy matters and equip them with the required resources to manage the increase in renewable energy development applications.</w:t>
      </w:r>
    </w:p>
    <w:p w14:paraId="6278B3CE" w14:textId="55D14256" w:rsidR="00285F63" w:rsidRPr="001E3A8D" w:rsidRDefault="009F6352" w:rsidP="00113DF0">
      <w:pPr>
        <w:pStyle w:val="ListParagraph"/>
        <w:numPr>
          <w:ilvl w:val="0"/>
          <w:numId w:val="13"/>
        </w:numPr>
        <w:rPr>
          <w:szCs w:val="20"/>
        </w:rPr>
      </w:pPr>
      <w:r>
        <w:rPr>
          <w:lang w:eastAsia="en-AU"/>
        </w:rPr>
        <w:t>T</w:t>
      </w:r>
      <w:r w:rsidR="00285F63" w:rsidRPr="0014007B">
        <w:rPr>
          <w:lang w:eastAsia="en-AU"/>
        </w:rPr>
        <w:t>he 2023</w:t>
      </w:r>
      <w:r w:rsidR="00FF18EB">
        <w:rPr>
          <w:lang w:eastAsia="en-AU"/>
        </w:rPr>
        <w:t>–</w:t>
      </w:r>
      <w:r w:rsidR="00285F63" w:rsidRPr="0014007B">
        <w:rPr>
          <w:lang w:eastAsia="en-AU"/>
        </w:rPr>
        <w:t>24 Budget approv</w:t>
      </w:r>
      <w:r w:rsidR="004E5A3E" w:rsidRPr="0014007B">
        <w:rPr>
          <w:lang w:eastAsia="en-AU"/>
        </w:rPr>
        <w:t>al of</w:t>
      </w:r>
      <w:r w:rsidR="00285F63" w:rsidRPr="0014007B">
        <w:rPr>
          <w:lang w:eastAsia="en-AU"/>
        </w:rPr>
        <w:t xml:space="preserve"> up to $6 billion in equity funding over the </w:t>
      </w:r>
      <w:proofErr w:type="spellStart"/>
      <w:r w:rsidR="00285F63" w:rsidRPr="0014007B">
        <w:rPr>
          <w:lang w:eastAsia="en-AU"/>
        </w:rPr>
        <w:t>Borumba</w:t>
      </w:r>
      <w:proofErr w:type="spellEnd"/>
      <w:r w:rsidR="00285F63" w:rsidRPr="0014007B">
        <w:rPr>
          <w:lang w:eastAsia="en-AU"/>
        </w:rPr>
        <w:t xml:space="preserve"> PHES project’s construction phase, subject to environmental approvals. The </w:t>
      </w:r>
      <w:proofErr w:type="spellStart"/>
      <w:r w:rsidR="00285F63" w:rsidRPr="0014007B">
        <w:rPr>
          <w:lang w:eastAsia="en-AU"/>
        </w:rPr>
        <w:t>Borumba</w:t>
      </w:r>
      <w:proofErr w:type="spellEnd"/>
      <w:r w:rsidR="00285F63" w:rsidRPr="001E3A8D">
        <w:rPr>
          <w:szCs w:val="20"/>
        </w:rPr>
        <w:t xml:space="preserve"> PHES project is estimated to cost $14.2 billion. The project is currently undergoing early works while Queensland Hydro seeks necessary regulatory approvals.</w:t>
      </w:r>
    </w:p>
    <w:p w14:paraId="4B96E3A4" w14:textId="741D304B" w:rsidR="00285F63" w:rsidRPr="00E4666F" w:rsidRDefault="009F6352" w:rsidP="00113DF0">
      <w:pPr>
        <w:pStyle w:val="ListParagraph"/>
        <w:numPr>
          <w:ilvl w:val="0"/>
          <w:numId w:val="13"/>
        </w:numPr>
        <w:rPr>
          <w:lang w:eastAsia="en-AU"/>
        </w:rPr>
      </w:pPr>
      <w:r>
        <w:rPr>
          <w:lang w:eastAsia="en-AU"/>
        </w:rPr>
        <w:t>T</w:t>
      </w:r>
      <w:r w:rsidR="008E28C3" w:rsidRPr="00E4666F">
        <w:rPr>
          <w:lang w:eastAsia="en-AU"/>
        </w:rPr>
        <w:t>he release of</w:t>
      </w:r>
      <w:r w:rsidR="00285F63" w:rsidRPr="00E4666F">
        <w:rPr>
          <w:lang w:eastAsia="en-AU"/>
        </w:rPr>
        <w:t xml:space="preserve"> a detailed Hydro Studies report, outlining the government’s investigations into energy storage. The report explained why pumped hydro is needed in Queensland’s future energy system and outlines the investigations and studies that led to </w:t>
      </w:r>
      <w:proofErr w:type="spellStart"/>
      <w:r w:rsidR="00285F63" w:rsidRPr="00E4666F">
        <w:rPr>
          <w:lang w:eastAsia="en-AU"/>
        </w:rPr>
        <w:t>Borumba</w:t>
      </w:r>
      <w:proofErr w:type="spellEnd"/>
      <w:r w:rsidR="00285F63" w:rsidRPr="00E4666F">
        <w:rPr>
          <w:lang w:eastAsia="en-AU"/>
        </w:rPr>
        <w:t xml:space="preserve"> and Pioneer-Burdekin sites being selected as a potential for pumped hydro.</w:t>
      </w:r>
    </w:p>
    <w:p w14:paraId="6467927E" w14:textId="4EAA27FA" w:rsidR="00F416D2" w:rsidRPr="00206E6C" w:rsidRDefault="009F6352" w:rsidP="00113DF0">
      <w:pPr>
        <w:pStyle w:val="ListParagraph"/>
        <w:numPr>
          <w:ilvl w:val="0"/>
          <w:numId w:val="13"/>
        </w:numPr>
      </w:pPr>
      <w:r>
        <w:rPr>
          <w:lang w:eastAsia="en-AU"/>
        </w:rPr>
        <w:t>W</w:t>
      </w:r>
      <w:r w:rsidR="00285F63" w:rsidRPr="00E4666F">
        <w:rPr>
          <w:lang w:eastAsia="en-AU"/>
        </w:rPr>
        <w:t xml:space="preserve">orking with </w:t>
      </w:r>
      <w:r w:rsidR="00E0108C">
        <w:rPr>
          <w:lang w:eastAsia="en-AU"/>
        </w:rPr>
        <w:t xml:space="preserve">the </w:t>
      </w:r>
      <w:r w:rsidR="00854691">
        <w:rPr>
          <w:lang w:eastAsia="en-AU"/>
        </w:rPr>
        <w:t>Australian</w:t>
      </w:r>
      <w:r w:rsidR="00E0108C">
        <w:rPr>
          <w:lang w:eastAsia="en-AU"/>
        </w:rPr>
        <w:t xml:space="preserve"> and</w:t>
      </w:r>
      <w:r w:rsidR="00285F63" w:rsidRPr="00E4666F">
        <w:rPr>
          <w:lang w:eastAsia="en-AU"/>
        </w:rPr>
        <w:t xml:space="preserve"> state and territory governments to shape the national energy transformation agenda</w:t>
      </w:r>
      <w:r w:rsidR="00ED3AB8">
        <w:rPr>
          <w:lang w:eastAsia="en-AU"/>
        </w:rPr>
        <w:t xml:space="preserve">, </w:t>
      </w:r>
      <w:r w:rsidR="00285F63" w:rsidRPr="00E4666F">
        <w:rPr>
          <w:lang w:eastAsia="en-AU"/>
        </w:rPr>
        <w:t>ensure Queensland’s</w:t>
      </w:r>
      <w:r w:rsidR="00285F63" w:rsidRPr="001E3A8D">
        <w:rPr>
          <w:szCs w:val="20"/>
        </w:rPr>
        <w:t xml:space="preserve"> interests are proactively represented and the benefits to Queenslanders are maximised</w:t>
      </w:r>
      <w:r w:rsidR="00771DE4">
        <w:rPr>
          <w:szCs w:val="20"/>
        </w:rPr>
        <w:t>.</w:t>
      </w:r>
    </w:p>
    <w:p w14:paraId="6A9BC3A3" w14:textId="77777777" w:rsidR="00206E6C" w:rsidRDefault="00206E6C" w:rsidP="00206E6C">
      <w:pPr>
        <w:pStyle w:val="DECHeading3"/>
      </w:pPr>
      <w:bookmarkStart w:id="294" w:name="_Toc174605658"/>
      <w:bookmarkStart w:id="295" w:name="_Toc176424796"/>
      <w:bookmarkStart w:id="296" w:name="_Toc176424955"/>
      <w:r>
        <w:t xml:space="preserve">Delivering programs to improve access to affordable </w:t>
      </w:r>
      <w:proofErr w:type="gramStart"/>
      <w:r>
        <w:t>energy</w:t>
      </w:r>
      <w:bookmarkEnd w:id="294"/>
      <w:bookmarkEnd w:id="295"/>
      <w:bookmarkEnd w:id="296"/>
      <w:proofErr w:type="gramEnd"/>
      <w:r>
        <w:t xml:space="preserve"> </w:t>
      </w:r>
    </w:p>
    <w:p w14:paraId="74AD314F" w14:textId="717BDC88" w:rsidR="00206E6C" w:rsidRPr="008B6DB9" w:rsidRDefault="00206E6C" w:rsidP="00206E6C">
      <w:pPr>
        <w:pStyle w:val="DECHeading4"/>
        <w:rPr>
          <w:color w:val="auto"/>
        </w:rPr>
      </w:pPr>
      <w:bookmarkStart w:id="297" w:name="_Toc174605659"/>
      <w:bookmarkStart w:id="298" w:name="_Toc176424797"/>
      <w:bookmarkStart w:id="299" w:name="_Toc176424956"/>
      <w:r w:rsidRPr="00D50310">
        <w:t>In 2023–24</w:t>
      </w:r>
      <w:r w:rsidR="00D27F61">
        <w:t>,</w:t>
      </w:r>
      <w:r w:rsidRPr="00D50310">
        <w:t xml:space="preserve"> we continued delivering programs and</w:t>
      </w:r>
      <w:r w:rsidRPr="00AB5792">
        <w:rPr>
          <w:color w:val="auto"/>
        </w:rPr>
        <w:t xml:space="preserve"> services for Queenslanders by</w:t>
      </w:r>
      <w:r w:rsidRPr="00E06723">
        <w:rPr>
          <w:color w:val="auto"/>
        </w:rPr>
        <w:t>:</w:t>
      </w:r>
      <w:bookmarkEnd w:id="297"/>
      <w:bookmarkEnd w:id="298"/>
      <w:bookmarkEnd w:id="299"/>
    </w:p>
    <w:p w14:paraId="5CA205B1" w14:textId="77777777" w:rsidR="00206E6C" w:rsidRPr="001E3A8D" w:rsidRDefault="00206E6C" w:rsidP="00206E6C">
      <w:pPr>
        <w:pStyle w:val="ListParagraph"/>
        <w:rPr>
          <w:lang w:eastAsia="en-AU"/>
        </w:rPr>
      </w:pPr>
      <w:r>
        <w:rPr>
          <w:lang w:eastAsia="en-AU"/>
        </w:rPr>
        <w:t>F</w:t>
      </w:r>
      <w:r w:rsidRPr="001E3A8D">
        <w:rPr>
          <w:lang w:eastAsia="en-AU"/>
        </w:rPr>
        <w:t xml:space="preserve">acilitating a </w:t>
      </w:r>
      <w:proofErr w:type="gramStart"/>
      <w:r>
        <w:rPr>
          <w:lang w:eastAsia="en-AU"/>
        </w:rPr>
        <w:t>c</w:t>
      </w:r>
      <w:r w:rsidRPr="001E3A8D">
        <w:rPr>
          <w:lang w:eastAsia="en-AU"/>
        </w:rPr>
        <w:t>ost</w:t>
      </w:r>
      <w:r>
        <w:rPr>
          <w:lang w:eastAsia="en-AU"/>
        </w:rPr>
        <w:t xml:space="preserve"> </w:t>
      </w:r>
      <w:r w:rsidRPr="001E3A8D">
        <w:rPr>
          <w:lang w:eastAsia="en-AU"/>
        </w:rPr>
        <w:t>of</w:t>
      </w:r>
      <w:r>
        <w:rPr>
          <w:lang w:eastAsia="en-AU"/>
        </w:rPr>
        <w:t xml:space="preserve"> l</w:t>
      </w:r>
      <w:r w:rsidRPr="001E3A8D">
        <w:rPr>
          <w:lang w:eastAsia="en-AU"/>
        </w:rPr>
        <w:t>iving</w:t>
      </w:r>
      <w:proofErr w:type="gramEnd"/>
      <w:r w:rsidRPr="001E3A8D">
        <w:rPr>
          <w:lang w:eastAsia="en-AU"/>
        </w:rPr>
        <w:t xml:space="preserve"> </w:t>
      </w:r>
      <w:r>
        <w:rPr>
          <w:lang w:eastAsia="en-AU"/>
        </w:rPr>
        <w:t>rebate in partnership with the Australian government</w:t>
      </w:r>
      <w:r w:rsidRPr="001E3A8D">
        <w:rPr>
          <w:lang w:eastAsia="en-AU"/>
        </w:rPr>
        <w:t xml:space="preserve"> </w:t>
      </w:r>
      <w:r>
        <w:rPr>
          <w:lang w:eastAsia="en-AU"/>
        </w:rPr>
        <w:t>to deliver a $700 electricity bill relief to around 620,000 vulnerable households, $550 to the remaining 1.6 million households, as well as a $650 energy rebate to up to 205,000 small businesses.</w:t>
      </w:r>
    </w:p>
    <w:p w14:paraId="1C3F1368" w14:textId="5D9894B5" w:rsidR="00206E6C" w:rsidRPr="001E3A8D" w:rsidRDefault="00206E6C" w:rsidP="00206E6C">
      <w:pPr>
        <w:pStyle w:val="ListParagraph"/>
        <w:rPr>
          <w:lang w:eastAsia="en-AU"/>
        </w:rPr>
      </w:pPr>
      <w:r>
        <w:rPr>
          <w:lang w:eastAsia="en-AU"/>
        </w:rPr>
        <w:t>D</w:t>
      </w:r>
      <w:r w:rsidRPr="001E3A8D">
        <w:rPr>
          <w:lang w:eastAsia="en-AU"/>
        </w:rPr>
        <w:t>elivering the $</w:t>
      </w:r>
      <w:r w:rsidR="00F9411E">
        <w:rPr>
          <w:lang w:eastAsia="en-AU"/>
        </w:rPr>
        <w:t>625</w:t>
      </w:r>
      <w:r w:rsidRPr="001E3A8D">
        <w:rPr>
          <w:lang w:eastAsia="en-AU"/>
        </w:rPr>
        <w:t xml:space="preserve"> million Community Service Obligation to support equitable electricity prices for regional Queensland </w:t>
      </w:r>
      <w:r w:rsidRPr="0061506E">
        <w:rPr>
          <w:lang w:eastAsia="en-AU"/>
        </w:rPr>
        <w:t xml:space="preserve">customers and support GOCs delivery. </w:t>
      </w:r>
    </w:p>
    <w:p w14:paraId="33498F86" w14:textId="77777777" w:rsidR="00206E6C" w:rsidRPr="0014007B" w:rsidRDefault="00206E6C" w:rsidP="00206E6C">
      <w:pPr>
        <w:pStyle w:val="ListParagraph"/>
        <w:rPr>
          <w:lang w:eastAsia="en-AU"/>
        </w:rPr>
      </w:pPr>
      <w:r>
        <w:rPr>
          <w:lang w:eastAsia="en-AU"/>
        </w:rPr>
        <w:t>D</w:t>
      </w:r>
      <w:r w:rsidRPr="0014007B">
        <w:rPr>
          <w:lang w:eastAsia="en-AU"/>
        </w:rPr>
        <w:t xml:space="preserve">elivering and implementing key </w:t>
      </w:r>
      <w:r w:rsidRPr="00650EFA">
        <w:rPr>
          <w:i/>
          <w:lang w:eastAsia="en-AU"/>
        </w:rPr>
        <w:t>Queensland Energy and Jobs Plan</w:t>
      </w:r>
      <w:r w:rsidRPr="0014007B">
        <w:rPr>
          <w:lang w:eastAsia="en-AU"/>
        </w:rPr>
        <w:t xml:space="preserve"> household and business energy programs to enable Queenslanders to better understand, use and engage with the energy transition and address cost of living pressures. </w:t>
      </w:r>
    </w:p>
    <w:p w14:paraId="2813C9D8" w14:textId="77777777" w:rsidR="00206E6C" w:rsidRPr="0014007B" w:rsidRDefault="00206E6C" w:rsidP="00206E6C">
      <w:pPr>
        <w:pStyle w:val="ListParagraph"/>
        <w:rPr>
          <w:lang w:eastAsia="en-AU"/>
        </w:rPr>
      </w:pPr>
      <w:r>
        <w:rPr>
          <w:lang w:eastAsia="en-AU"/>
        </w:rPr>
        <w:t>D</w:t>
      </w:r>
      <w:r w:rsidRPr="0014007B">
        <w:rPr>
          <w:lang w:eastAsia="en-AU"/>
        </w:rPr>
        <w:t>elivering the now finalised $44 million Climate Smart Energy Savers (CSES) program which provided rebates to over 72,700 Queensland households to purchase and install four star or greater energy efficient household appliances. The average rebate received for CSES was $440 off new appliances with Queensland households expected to save approximately $103 each year in electricity bills.</w:t>
      </w:r>
    </w:p>
    <w:p w14:paraId="1A3325DC" w14:textId="77777777" w:rsidR="00206E6C" w:rsidRPr="0014007B" w:rsidRDefault="00206E6C" w:rsidP="00206E6C">
      <w:pPr>
        <w:pStyle w:val="ListParagraph"/>
        <w:rPr>
          <w:lang w:eastAsia="en-AU"/>
        </w:rPr>
      </w:pPr>
      <w:r>
        <w:rPr>
          <w:lang w:eastAsia="en-AU"/>
        </w:rPr>
        <w:t>C</w:t>
      </w:r>
      <w:r w:rsidRPr="0014007B">
        <w:rPr>
          <w:lang w:eastAsia="en-AU"/>
        </w:rPr>
        <w:t xml:space="preserve">ontinuing to deliver the $16 million Battery Booster program, which offers rebates of up to $4,000 to about 3,000 eligible Queensland households to install a solar battery system to existing rooftop solar PV. </w:t>
      </w:r>
    </w:p>
    <w:p w14:paraId="374019DA" w14:textId="77777777" w:rsidR="00206E6C" w:rsidRPr="0014007B" w:rsidRDefault="00206E6C" w:rsidP="00206E6C">
      <w:pPr>
        <w:pStyle w:val="ListParagraph"/>
        <w:rPr>
          <w:lang w:eastAsia="en-AU"/>
        </w:rPr>
      </w:pPr>
      <w:r>
        <w:rPr>
          <w:lang w:eastAsia="en-AU"/>
        </w:rPr>
        <w:t>I</w:t>
      </w:r>
      <w:r w:rsidRPr="0014007B">
        <w:rPr>
          <w:lang w:eastAsia="en-AU"/>
        </w:rPr>
        <w:t xml:space="preserve">mplementing the $10 million Enable Grants Program which will support non-government organisations (NGOs) to provide energy efficiency advice and activities that will help reduce energy usage and energy bills for Queenslanders experiencing vulnerability, including renters. </w:t>
      </w:r>
    </w:p>
    <w:p w14:paraId="312C8B20" w14:textId="77777777" w:rsidR="00206E6C" w:rsidRPr="0014007B" w:rsidRDefault="00206E6C" w:rsidP="00206E6C">
      <w:pPr>
        <w:pStyle w:val="ListParagraph"/>
        <w:rPr>
          <w:lang w:eastAsia="en-AU"/>
        </w:rPr>
      </w:pPr>
      <w:r>
        <w:rPr>
          <w:lang w:eastAsia="en-AU"/>
        </w:rPr>
        <w:t>I</w:t>
      </w:r>
      <w:r w:rsidRPr="0014007B">
        <w:rPr>
          <w:lang w:eastAsia="en-AU"/>
        </w:rPr>
        <w:t>mplementing the $35 million Queensland Business Energy Savings and Transformation (QBEST) program which is providing support to small and medium businesses to save money on their energy bills.</w:t>
      </w:r>
    </w:p>
    <w:p w14:paraId="14E216AE" w14:textId="77777777" w:rsidR="00206E6C" w:rsidRPr="0014007B" w:rsidRDefault="00206E6C" w:rsidP="00206E6C">
      <w:pPr>
        <w:pStyle w:val="ListParagraph"/>
        <w:rPr>
          <w:lang w:eastAsia="en-AU"/>
        </w:rPr>
      </w:pPr>
      <w:r>
        <w:rPr>
          <w:lang w:eastAsia="en-AU"/>
        </w:rPr>
        <w:lastRenderedPageBreak/>
        <w:t>R</w:t>
      </w:r>
      <w:r w:rsidRPr="0014007B">
        <w:rPr>
          <w:lang w:eastAsia="en-AU"/>
        </w:rPr>
        <w:t xml:space="preserve">olling out the QBEST Rebates program which is continuing </w:t>
      </w:r>
      <w:r>
        <w:rPr>
          <w:lang w:eastAsia="en-AU"/>
        </w:rPr>
        <w:t xml:space="preserve">to </w:t>
      </w:r>
      <w:r w:rsidRPr="0014007B">
        <w:rPr>
          <w:lang w:eastAsia="en-AU"/>
        </w:rPr>
        <w:t>support the installation of energy efficient equipment through a 50</w:t>
      </w:r>
      <w:r>
        <w:rPr>
          <w:lang w:eastAsia="en-AU"/>
        </w:rPr>
        <w:t xml:space="preserve"> per cent</w:t>
      </w:r>
      <w:r w:rsidRPr="0014007B">
        <w:rPr>
          <w:lang w:eastAsia="en-AU"/>
        </w:rPr>
        <w:t xml:space="preserve"> rebate for the purchase and installation of energy efficiency equipment, with a maximum rebate available of $12,500. </w:t>
      </w:r>
    </w:p>
    <w:p w14:paraId="408CD2B3" w14:textId="77777777" w:rsidR="00206E6C" w:rsidRPr="0014007B" w:rsidRDefault="00206E6C" w:rsidP="00206E6C">
      <w:pPr>
        <w:pStyle w:val="ListParagraph"/>
        <w:rPr>
          <w:lang w:eastAsia="en-AU"/>
        </w:rPr>
      </w:pPr>
      <w:r>
        <w:rPr>
          <w:lang w:eastAsia="en-AU"/>
        </w:rPr>
        <w:t>E</w:t>
      </w:r>
      <w:r w:rsidRPr="0014007B">
        <w:rPr>
          <w:lang w:eastAsia="en-AU"/>
        </w:rPr>
        <w:t>ngaging with the QFF to deliver energy audits and develop the recently released Queensland Ag Energy Hub website which hosts energy efficient information and supporting resources through the QBEST Ag program.</w:t>
      </w:r>
    </w:p>
    <w:p w14:paraId="02CD1DBA" w14:textId="6852CC96" w:rsidR="00206E6C" w:rsidRDefault="00206E6C" w:rsidP="00644E42">
      <w:pPr>
        <w:pStyle w:val="ListParagraph"/>
      </w:pPr>
      <w:r>
        <w:rPr>
          <w:rFonts w:eastAsia="Times New Roman"/>
          <w:color w:val="000000"/>
          <w:lang w:eastAsia="en-AU"/>
        </w:rPr>
        <w:t>Continuing</w:t>
      </w:r>
      <w:r w:rsidRPr="001E3A8D">
        <w:rPr>
          <w:rFonts w:eastAsia="Times New Roman"/>
          <w:color w:val="000000"/>
          <w:lang w:eastAsia="en-AU"/>
        </w:rPr>
        <w:t xml:space="preserve"> to deliver the $10 million </w:t>
      </w:r>
      <w:r w:rsidRPr="001E3A8D">
        <w:rPr>
          <w:rFonts w:eastAsia="Times New Roman"/>
          <w:lang w:eastAsia="en-AU"/>
        </w:rPr>
        <w:t>Queensland Microgrid Pilot Fund to improve the network resilience of remote communities to extreme weather events, through supporting the development and delivery of microgrids across Queensland. </w:t>
      </w:r>
    </w:p>
    <w:p w14:paraId="3A568096" w14:textId="248EAE10" w:rsidR="00B76D95" w:rsidRPr="008651F2" w:rsidRDefault="00A7407E" w:rsidP="005B3E0F">
      <w:pPr>
        <w:pStyle w:val="DECHeading3"/>
        <w:rPr>
          <w:sz w:val="21"/>
        </w:rPr>
      </w:pPr>
      <w:bookmarkStart w:id="300" w:name="_Toc172806403"/>
      <w:bookmarkStart w:id="301" w:name="_Toc172806689"/>
      <w:bookmarkStart w:id="302" w:name="_Toc172808517"/>
      <w:bookmarkStart w:id="303" w:name="_Toc174605660"/>
      <w:bookmarkStart w:id="304" w:name="_Toc176424798"/>
      <w:bookmarkStart w:id="305" w:name="_Toc176424957"/>
      <w:r w:rsidRPr="00C53625">
        <w:t>S</w:t>
      </w:r>
      <w:r w:rsidR="00B76D95" w:rsidRPr="00C53625">
        <w:t>upport economic diversification</w:t>
      </w:r>
      <w:r w:rsidR="00BE65C7" w:rsidRPr="00C53625">
        <w:t xml:space="preserve"> in North-West Queensland</w:t>
      </w:r>
      <w:bookmarkEnd w:id="300"/>
      <w:bookmarkEnd w:id="301"/>
      <w:bookmarkEnd w:id="302"/>
      <w:bookmarkEnd w:id="303"/>
      <w:bookmarkEnd w:id="304"/>
      <w:bookmarkEnd w:id="305"/>
    </w:p>
    <w:p w14:paraId="0A71A122" w14:textId="5B1B5AE2" w:rsidR="008D3CEE" w:rsidRPr="00A862F2" w:rsidRDefault="008D3CEE" w:rsidP="00654F2F">
      <w:pPr>
        <w:pStyle w:val="DECHeading4"/>
        <w:rPr>
          <w:color w:val="auto"/>
        </w:rPr>
      </w:pPr>
      <w:bookmarkStart w:id="306" w:name="_Toc172808518"/>
      <w:bookmarkStart w:id="307" w:name="_Toc174605661"/>
      <w:bookmarkStart w:id="308" w:name="_Toc176424799"/>
      <w:bookmarkStart w:id="309" w:name="_Toc176424958"/>
      <w:r w:rsidRPr="00D50310">
        <w:t>During 2023</w:t>
      </w:r>
      <w:r w:rsidR="00BC113F">
        <w:t>–</w:t>
      </w:r>
      <w:r w:rsidRPr="00D50310">
        <w:t>24</w:t>
      </w:r>
      <w:r w:rsidR="00D27F61">
        <w:t>,</w:t>
      </w:r>
      <w:r w:rsidRPr="00D50310">
        <w:t xml:space="preserve"> we continued to deliver </w:t>
      </w:r>
      <w:r w:rsidR="00A15B5A">
        <w:rPr>
          <w:color w:val="auto"/>
        </w:rPr>
        <w:t xml:space="preserve">support </w:t>
      </w:r>
      <w:r w:rsidR="009E3B5E">
        <w:rPr>
          <w:color w:val="auto"/>
        </w:rPr>
        <w:t>North-West Queensland</w:t>
      </w:r>
      <w:r w:rsidR="00207C86" w:rsidRPr="00A862F2">
        <w:rPr>
          <w:color w:val="auto"/>
        </w:rPr>
        <w:t xml:space="preserve"> by:</w:t>
      </w:r>
      <w:bookmarkEnd w:id="306"/>
      <w:bookmarkEnd w:id="307"/>
      <w:bookmarkEnd w:id="308"/>
      <w:bookmarkEnd w:id="309"/>
    </w:p>
    <w:p w14:paraId="2A32E307" w14:textId="54AFF823" w:rsidR="00833FAD" w:rsidRPr="0014007B" w:rsidRDefault="009F6352" w:rsidP="00113DF0">
      <w:pPr>
        <w:pStyle w:val="ListParagraph"/>
        <w:numPr>
          <w:ilvl w:val="0"/>
          <w:numId w:val="13"/>
        </w:numPr>
        <w:rPr>
          <w:lang w:eastAsia="en-AU"/>
        </w:rPr>
      </w:pPr>
      <w:r>
        <w:rPr>
          <w:rFonts w:eastAsia="Calibri" w:cs="Calibri"/>
          <w:color w:val="000000" w:themeColor="text1"/>
          <w:szCs w:val="20"/>
        </w:rPr>
        <w:t>W</w:t>
      </w:r>
      <w:r w:rsidR="00833FAD" w:rsidRPr="00AB5792">
        <w:rPr>
          <w:rFonts w:eastAsia="Calibri" w:cs="Calibri"/>
          <w:color w:val="000000" w:themeColor="text1"/>
          <w:szCs w:val="20"/>
        </w:rPr>
        <w:t>orking with Queensland Treasury to provide Powerlink with a $1.3 billion Delivery Launch Package</w:t>
      </w:r>
      <w:r w:rsidR="00145046">
        <w:rPr>
          <w:rFonts w:eastAsia="Calibri" w:cs="Calibri"/>
          <w:color w:val="000000" w:themeColor="text1"/>
          <w:szCs w:val="20"/>
        </w:rPr>
        <w:t>,</w:t>
      </w:r>
      <w:r w:rsidR="00833FAD" w:rsidRPr="00AB5792">
        <w:rPr>
          <w:rFonts w:eastAsia="Calibri" w:cs="Calibri"/>
          <w:color w:val="000000" w:themeColor="text1"/>
          <w:szCs w:val="20"/>
        </w:rPr>
        <w:t xml:space="preserve"> </w:t>
      </w:r>
      <w:r w:rsidR="00833FAD" w:rsidRPr="0014007B">
        <w:rPr>
          <w:lang w:eastAsia="en-AU"/>
        </w:rPr>
        <w:t>announced in October 2023</w:t>
      </w:r>
      <w:r w:rsidR="00145046">
        <w:rPr>
          <w:lang w:eastAsia="en-AU"/>
        </w:rPr>
        <w:t>,</w:t>
      </w:r>
      <w:r w:rsidR="00833FAD" w:rsidRPr="0014007B">
        <w:rPr>
          <w:lang w:eastAsia="en-AU"/>
        </w:rPr>
        <w:t xml:space="preserve"> to support the progression of early works activities for the </w:t>
      </w:r>
      <w:proofErr w:type="spellStart"/>
      <w:r w:rsidR="00833FAD" w:rsidRPr="0014007B">
        <w:rPr>
          <w:lang w:eastAsia="en-AU"/>
        </w:rPr>
        <w:t>CopperString</w:t>
      </w:r>
      <w:proofErr w:type="spellEnd"/>
      <w:r w:rsidR="00833FAD" w:rsidRPr="0014007B">
        <w:rPr>
          <w:lang w:eastAsia="en-AU"/>
        </w:rPr>
        <w:t xml:space="preserve"> 2032 </w:t>
      </w:r>
      <w:r w:rsidR="00171032">
        <w:rPr>
          <w:lang w:eastAsia="en-AU"/>
        </w:rPr>
        <w:t>p</w:t>
      </w:r>
      <w:r w:rsidR="00833FAD" w:rsidRPr="0014007B">
        <w:rPr>
          <w:lang w:eastAsia="en-AU"/>
        </w:rPr>
        <w:t>roject. The $1.3 billion Delivery Launch Package has enabled Powerlink to begin detailed design, engineering, and environmental assessments, procure long lead items, and advance site development works including workers camps and access works.</w:t>
      </w:r>
    </w:p>
    <w:p w14:paraId="7313BB56" w14:textId="3C954FD0" w:rsidR="00833FAD" w:rsidRPr="0014007B" w:rsidRDefault="009F6352" w:rsidP="00113DF0">
      <w:pPr>
        <w:pStyle w:val="ListParagraph"/>
        <w:numPr>
          <w:ilvl w:val="0"/>
          <w:numId w:val="13"/>
        </w:numPr>
        <w:rPr>
          <w:lang w:eastAsia="en-AU"/>
        </w:rPr>
      </w:pPr>
      <w:r>
        <w:rPr>
          <w:lang w:eastAsia="en-AU"/>
        </w:rPr>
        <w:t>D</w:t>
      </w:r>
      <w:r w:rsidR="00833FAD" w:rsidRPr="0014007B">
        <w:rPr>
          <w:lang w:eastAsia="en-AU"/>
        </w:rPr>
        <w:t xml:space="preserve">eveloping a </w:t>
      </w:r>
      <w:r w:rsidR="00743E5E" w:rsidRPr="0014007B">
        <w:rPr>
          <w:lang w:eastAsia="en-AU"/>
        </w:rPr>
        <w:t xml:space="preserve">National Electricity Market </w:t>
      </w:r>
      <w:r w:rsidR="00743E5E">
        <w:rPr>
          <w:lang w:eastAsia="en-AU"/>
        </w:rPr>
        <w:t>(</w:t>
      </w:r>
      <w:r w:rsidR="00833FAD" w:rsidRPr="0014007B">
        <w:rPr>
          <w:lang w:eastAsia="en-AU"/>
        </w:rPr>
        <w:t>NEM</w:t>
      </w:r>
      <w:r w:rsidR="00743E5E">
        <w:rPr>
          <w:lang w:eastAsia="en-AU"/>
        </w:rPr>
        <w:t>)</w:t>
      </w:r>
      <w:r w:rsidR="00833FAD" w:rsidRPr="0014007B">
        <w:rPr>
          <w:lang w:eastAsia="en-AU"/>
        </w:rPr>
        <w:t xml:space="preserve"> Entry Plan which includes an independent regulatory framework to enable the connection of </w:t>
      </w:r>
      <w:proofErr w:type="spellStart"/>
      <w:r w:rsidR="00833FAD" w:rsidRPr="0014007B">
        <w:rPr>
          <w:lang w:eastAsia="en-AU"/>
        </w:rPr>
        <w:t>CopperString</w:t>
      </w:r>
      <w:proofErr w:type="spellEnd"/>
      <w:r w:rsidR="00833FAD" w:rsidRPr="0014007B">
        <w:rPr>
          <w:lang w:eastAsia="en-AU"/>
        </w:rPr>
        <w:t xml:space="preserve"> 2032 to the </w:t>
      </w:r>
      <w:r w:rsidR="00017195" w:rsidRPr="0014007B">
        <w:rPr>
          <w:lang w:eastAsia="en-AU"/>
        </w:rPr>
        <w:t xml:space="preserve">NEM </w:t>
      </w:r>
      <w:r w:rsidR="00833FAD" w:rsidRPr="0014007B">
        <w:rPr>
          <w:lang w:eastAsia="en-AU"/>
        </w:rPr>
        <w:t xml:space="preserve">and operate as a regulated asset under the National Electricity Rules. This plan will also facilitate the smooth transition of industry located in the </w:t>
      </w:r>
      <w:proofErr w:type="gramStart"/>
      <w:r w:rsidR="00833FAD" w:rsidRPr="0014007B">
        <w:rPr>
          <w:lang w:eastAsia="en-AU"/>
        </w:rPr>
        <w:t>North</w:t>
      </w:r>
      <w:r w:rsidR="00F55F94" w:rsidRPr="0014007B">
        <w:rPr>
          <w:lang w:eastAsia="en-AU"/>
        </w:rPr>
        <w:t xml:space="preserve"> </w:t>
      </w:r>
      <w:r w:rsidR="00833FAD" w:rsidRPr="0014007B">
        <w:rPr>
          <w:lang w:eastAsia="en-AU"/>
        </w:rPr>
        <w:t>West</w:t>
      </w:r>
      <w:proofErr w:type="gramEnd"/>
      <w:r w:rsidR="00833FAD" w:rsidRPr="0014007B">
        <w:rPr>
          <w:lang w:eastAsia="en-AU"/>
        </w:rPr>
        <w:t xml:space="preserve"> Minerals Province</w:t>
      </w:r>
      <w:r w:rsidR="00017195" w:rsidRPr="0014007B">
        <w:rPr>
          <w:lang w:eastAsia="en-AU"/>
        </w:rPr>
        <w:t xml:space="preserve"> (NWMP)</w:t>
      </w:r>
      <w:r w:rsidR="00833FAD" w:rsidRPr="0014007B">
        <w:rPr>
          <w:lang w:eastAsia="en-AU"/>
        </w:rPr>
        <w:t xml:space="preserve"> which </w:t>
      </w:r>
      <w:r w:rsidR="00356EFC" w:rsidRPr="0014007B">
        <w:rPr>
          <w:lang w:eastAsia="en-AU"/>
        </w:rPr>
        <w:t>is</w:t>
      </w:r>
      <w:r w:rsidR="00833FAD" w:rsidRPr="0014007B">
        <w:rPr>
          <w:lang w:eastAsia="en-AU"/>
        </w:rPr>
        <w:t xml:space="preserve"> currently on an isolated network operating under unique standards and protocols. </w:t>
      </w:r>
    </w:p>
    <w:p w14:paraId="5706BC31" w14:textId="22AB1C2B" w:rsidR="00833FAD" w:rsidRPr="0014007B" w:rsidRDefault="009F6352" w:rsidP="00113DF0">
      <w:pPr>
        <w:pStyle w:val="ListParagraph"/>
        <w:numPr>
          <w:ilvl w:val="0"/>
          <w:numId w:val="13"/>
        </w:numPr>
        <w:rPr>
          <w:lang w:eastAsia="en-AU"/>
        </w:rPr>
      </w:pPr>
      <w:r>
        <w:rPr>
          <w:lang w:eastAsia="en-AU"/>
        </w:rPr>
        <w:t>C</w:t>
      </w:r>
      <w:r w:rsidR="00833FAD" w:rsidRPr="0014007B">
        <w:rPr>
          <w:lang w:eastAsia="en-AU"/>
        </w:rPr>
        <w:t xml:space="preserve">ommencing work on commercial, </w:t>
      </w:r>
      <w:proofErr w:type="gramStart"/>
      <w:r w:rsidR="00833FAD" w:rsidRPr="0014007B">
        <w:rPr>
          <w:lang w:eastAsia="en-AU"/>
        </w:rPr>
        <w:t>regulatory</w:t>
      </w:r>
      <w:proofErr w:type="gramEnd"/>
      <w:r w:rsidR="00833FAD" w:rsidRPr="0014007B">
        <w:rPr>
          <w:lang w:eastAsia="en-AU"/>
        </w:rPr>
        <w:t xml:space="preserve"> and legislative settings that will be critical to ensure the</w:t>
      </w:r>
      <w:r w:rsidR="006D7494">
        <w:rPr>
          <w:lang w:eastAsia="en-AU"/>
        </w:rPr>
        <w:t xml:space="preserve"> NEM</w:t>
      </w:r>
      <w:r w:rsidR="00833FAD" w:rsidRPr="0014007B">
        <w:rPr>
          <w:lang w:eastAsia="en-AU"/>
        </w:rPr>
        <w:t xml:space="preserve"> entry of the region is supported during the transition. </w:t>
      </w:r>
    </w:p>
    <w:p w14:paraId="2AE09833" w14:textId="2F91183F" w:rsidR="004A2FAB" w:rsidRPr="007A1E0A" w:rsidRDefault="009F6352" w:rsidP="00113DF0">
      <w:pPr>
        <w:pStyle w:val="ListParagraph"/>
        <w:numPr>
          <w:ilvl w:val="0"/>
          <w:numId w:val="13"/>
        </w:numPr>
      </w:pPr>
      <w:r>
        <w:rPr>
          <w:lang w:eastAsia="en-AU"/>
        </w:rPr>
        <w:t>E</w:t>
      </w:r>
      <w:r w:rsidR="00017195" w:rsidRPr="0014007B">
        <w:rPr>
          <w:lang w:eastAsia="en-AU"/>
        </w:rPr>
        <w:t>ngaging</w:t>
      </w:r>
      <w:r w:rsidR="00833FAD" w:rsidRPr="0014007B">
        <w:rPr>
          <w:lang w:eastAsia="en-AU"/>
        </w:rPr>
        <w:t xml:space="preserve"> with key stakeholders</w:t>
      </w:r>
      <w:r w:rsidR="00E00D68">
        <w:rPr>
          <w:lang w:eastAsia="en-AU"/>
        </w:rPr>
        <w:t>,</w:t>
      </w:r>
      <w:r w:rsidR="00833FAD" w:rsidRPr="0014007B">
        <w:rPr>
          <w:lang w:eastAsia="en-AU"/>
        </w:rPr>
        <w:t xml:space="preserve"> including industry in the NWMP and market bodies</w:t>
      </w:r>
      <w:r w:rsidR="00F0308A">
        <w:rPr>
          <w:lang w:eastAsia="en-AU"/>
        </w:rPr>
        <w:t>,</w:t>
      </w:r>
      <w:r w:rsidR="00833FAD" w:rsidRPr="0014007B">
        <w:rPr>
          <w:lang w:eastAsia="en-AU"/>
        </w:rPr>
        <w:t xml:space="preserve"> and will continue to work alongside Powerlink</w:t>
      </w:r>
      <w:r w:rsidR="00833FAD" w:rsidRPr="00E4666F">
        <w:rPr>
          <w:rFonts w:eastAsia="Calibri" w:cs="Calibri"/>
          <w:color w:val="000000" w:themeColor="text1"/>
          <w:szCs w:val="20"/>
        </w:rPr>
        <w:t xml:space="preserve"> to engage on </w:t>
      </w:r>
      <w:proofErr w:type="spellStart"/>
      <w:r w:rsidR="00833FAD" w:rsidRPr="00E4666F">
        <w:rPr>
          <w:rFonts w:eastAsia="Calibri" w:cs="Calibri"/>
          <w:color w:val="000000" w:themeColor="text1"/>
          <w:szCs w:val="20"/>
        </w:rPr>
        <w:t>CopperString</w:t>
      </w:r>
      <w:proofErr w:type="spellEnd"/>
      <w:r w:rsidR="00833FAD" w:rsidRPr="00E4666F">
        <w:rPr>
          <w:rFonts w:eastAsia="Calibri" w:cs="Calibri"/>
          <w:color w:val="000000" w:themeColor="text1"/>
          <w:szCs w:val="20"/>
        </w:rPr>
        <w:t xml:space="preserve"> and NEM entry.  </w:t>
      </w:r>
    </w:p>
    <w:p w14:paraId="45758848" w14:textId="77777777" w:rsidR="00D12B2B" w:rsidRDefault="00D12B2B">
      <w:pPr>
        <w:spacing w:before="0" w:after="160" w:line="259" w:lineRule="auto"/>
        <w:rPr>
          <w:rFonts w:ascii="Arial Nova" w:eastAsiaTheme="majorEastAsia" w:hAnsi="Arial Nova" w:cstheme="majorBidi"/>
          <w:color w:val="000000" w:themeColor="text1"/>
          <w:sz w:val="28"/>
        </w:rPr>
      </w:pPr>
      <w:bookmarkStart w:id="310" w:name="_Toc172794876"/>
      <w:bookmarkStart w:id="311" w:name="_Toc172806404"/>
      <w:bookmarkStart w:id="312" w:name="_Toc172806690"/>
      <w:bookmarkStart w:id="313" w:name="_Toc172808519"/>
      <w:r>
        <w:br w:type="page"/>
      </w:r>
    </w:p>
    <w:p w14:paraId="5BFB0698" w14:textId="1267CCF1" w:rsidR="004C611B" w:rsidRPr="003D59F3" w:rsidRDefault="006338CF" w:rsidP="00A10970">
      <w:pPr>
        <w:pStyle w:val="DECHeading2"/>
      </w:pPr>
      <w:bookmarkStart w:id="314" w:name="_Toc138317840"/>
      <w:bookmarkStart w:id="315" w:name="_Toc174605662"/>
      <w:bookmarkStart w:id="316" w:name="_Toc176424800"/>
      <w:bookmarkStart w:id="317" w:name="_Toc176424959"/>
      <w:r w:rsidRPr="008F0D63">
        <w:lastRenderedPageBreak/>
        <w:t xml:space="preserve">Our </w:t>
      </w:r>
      <w:r w:rsidR="0098610C" w:rsidRPr="008F0D63">
        <w:t>a</w:t>
      </w:r>
      <w:r w:rsidRPr="008F0D63">
        <w:t xml:space="preserve">chievements – </w:t>
      </w:r>
      <w:r w:rsidR="00C53625" w:rsidRPr="008F0D63">
        <w:t>Hydrogen and Future Fuels</w:t>
      </w:r>
      <w:bookmarkEnd w:id="310"/>
      <w:bookmarkEnd w:id="311"/>
      <w:bookmarkEnd w:id="312"/>
      <w:bookmarkEnd w:id="313"/>
      <w:bookmarkEnd w:id="314"/>
      <w:bookmarkEnd w:id="315"/>
      <w:bookmarkEnd w:id="316"/>
      <w:bookmarkEnd w:id="317"/>
    </w:p>
    <w:p w14:paraId="5137461C" w14:textId="77777777" w:rsidR="00A840B7" w:rsidRDefault="00A840B7" w:rsidP="008718A3">
      <w:pPr>
        <w:pStyle w:val="DECHeading3"/>
        <w:shd w:val="clear" w:color="auto" w:fill="F2F2F2"/>
      </w:pPr>
      <w:bookmarkStart w:id="318" w:name="_Hydrogen_leader"/>
      <w:bookmarkStart w:id="319" w:name="_Toc172806405"/>
      <w:bookmarkStart w:id="320" w:name="_Toc172806691"/>
      <w:bookmarkStart w:id="321" w:name="_Toc172808520"/>
      <w:bookmarkStart w:id="322" w:name="_Toc174605663"/>
      <w:bookmarkStart w:id="323" w:name="_Toc176424801"/>
      <w:bookmarkStart w:id="324" w:name="_Toc176424960"/>
      <w:bookmarkEnd w:id="318"/>
      <w:r w:rsidRPr="68DFF60E">
        <w:t xml:space="preserve">New legislation transports </w:t>
      </w:r>
      <w:proofErr w:type="gramStart"/>
      <w:r w:rsidRPr="68DFF60E">
        <w:t>hydrogen</w:t>
      </w:r>
      <w:bookmarkEnd w:id="319"/>
      <w:bookmarkEnd w:id="320"/>
      <w:bookmarkEnd w:id="321"/>
      <w:bookmarkEnd w:id="322"/>
      <w:bookmarkEnd w:id="323"/>
      <w:bookmarkEnd w:id="324"/>
      <w:proofErr w:type="gramEnd"/>
    </w:p>
    <w:p w14:paraId="450C3769" w14:textId="6F2AF1C2" w:rsidR="00A840B7" w:rsidRPr="00A840B7" w:rsidRDefault="00A840B7" w:rsidP="008718A3">
      <w:pPr>
        <w:shd w:val="clear" w:color="auto" w:fill="F2F2F2"/>
      </w:pPr>
      <w:r w:rsidRPr="00A840B7">
        <w:t xml:space="preserve">Queensland is fast becoming a world leader in renewable hydrogen, </w:t>
      </w:r>
      <w:r w:rsidR="000A39D7">
        <w:t>and t</w:t>
      </w:r>
      <w:r w:rsidR="00147004">
        <w:t xml:space="preserve">his emergent </w:t>
      </w:r>
      <w:r w:rsidRPr="00A840B7">
        <w:t xml:space="preserve">industry </w:t>
      </w:r>
      <w:r w:rsidR="00147004">
        <w:t xml:space="preserve">has the </w:t>
      </w:r>
      <w:r w:rsidR="00886DB3">
        <w:t>potential</w:t>
      </w:r>
      <w:r w:rsidR="00886DB3" w:rsidRPr="00A840B7">
        <w:t xml:space="preserve"> </w:t>
      </w:r>
      <w:r w:rsidRPr="00A840B7">
        <w:t xml:space="preserve">to become a $33 billion giant by 2040. </w:t>
      </w:r>
    </w:p>
    <w:p w14:paraId="742A64A4" w14:textId="6AF81DD7" w:rsidR="00A840B7" w:rsidRPr="00A840B7" w:rsidRDefault="00A840B7" w:rsidP="008718A3">
      <w:pPr>
        <w:shd w:val="clear" w:color="auto" w:fill="F2F2F2"/>
      </w:pPr>
      <w:r w:rsidRPr="00A840B7">
        <w:t xml:space="preserve">To propel the industry, while protecting our natural assets, key actions of the </w:t>
      </w:r>
      <w:r w:rsidRPr="00890E45">
        <w:rPr>
          <w:i/>
          <w:iCs/>
        </w:rPr>
        <w:t>Queensland Energy and Jobs Plan</w:t>
      </w:r>
      <w:r w:rsidRPr="00A840B7">
        <w:t xml:space="preserve"> and the </w:t>
      </w:r>
      <w:r w:rsidRPr="00201E0F">
        <w:rPr>
          <w:i/>
          <w:iCs/>
        </w:rPr>
        <w:t xml:space="preserve">Queensland </w:t>
      </w:r>
      <w:r w:rsidR="00B46F76">
        <w:rPr>
          <w:i/>
          <w:iCs/>
        </w:rPr>
        <w:t>R</w:t>
      </w:r>
      <w:r w:rsidRPr="00201E0F">
        <w:rPr>
          <w:i/>
          <w:iCs/>
        </w:rPr>
        <w:t xml:space="preserve">esources </w:t>
      </w:r>
      <w:r w:rsidR="00B46F76">
        <w:rPr>
          <w:i/>
          <w:iCs/>
        </w:rPr>
        <w:t>I</w:t>
      </w:r>
      <w:r w:rsidRPr="00201E0F">
        <w:rPr>
          <w:i/>
          <w:iCs/>
        </w:rPr>
        <w:t xml:space="preserve">ndustry </w:t>
      </w:r>
      <w:r w:rsidR="00B46F76">
        <w:rPr>
          <w:i/>
          <w:iCs/>
        </w:rPr>
        <w:t>D</w:t>
      </w:r>
      <w:r w:rsidRPr="00201E0F">
        <w:rPr>
          <w:i/>
          <w:iCs/>
        </w:rPr>
        <w:t xml:space="preserve">evelopment </w:t>
      </w:r>
      <w:r w:rsidR="00B46F76">
        <w:rPr>
          <w:i/>
          <w:iCs/>
        </w:rPr>
        <w:t>P</w:t>
      </w:r>
      <w:r w:rsidRPr="00201E0F">
        <w:rPr>
          <w:i/>
          <w:iCs/>
        </w:rPr>
        <w:t>lan</w:t>
      </w:r>
      <w:r w:rsidR="00D0091E">
        <w:rPr>
          <w:i/>
          <w:iCs/>
        </w:rPr>
        <w:t xml:space="preserve"> </w:t>
      </w:r>
      <w:r w:rsidR="0056658C">
        <w:t>were delivered in 2023</w:t>
      </w:r>
      <w:r w:rsidR="0062626D">
        <w:t>–</w:t>
      </w:r>
      <w:r w:rsidR="0056658C">
        <w:t>24</w:t>
      </w:r>
      <w:r w:rsidR="0056658C" w:rsidRPr="00A840B7">
        <w:t xml:space="preserve"> </w:t>
      </w:r>
      <w:r w:rsidRPr="00A840B7">
        <w:t xml:space="preserve">with the commencement of the </w:t>
      </w:r>
      <w:r w:rsidRPr="00784F05">
        <w:rPr>
          <w:i/>
          <w:iCs/>
        </w:rPr>
        <w:t xml:space="preserve">Gas Supply and Other Legislation (Hydrogen Industry Development) Amendment Act 2023 (the Act) </w:t>
      </w:r>
      <w:r w:rsidRPr="00A840B7">
        <w:t>in April 2024.</w:t>
      </w:r>
    </w:p>
    <w:p w14:paraId="2946DACA" w14:textId="164004CC" w:rsidR="00A840B7" w:rsidRPr="00A840B7" w:rsidRDefault="00A840B7" w:rsidP="008718A3">
      <w:pPr>
        <w:shd w:val="clear" w:color="auto" w:fill="F2F2F2"/>
      </w:pPr>
      <w:r w:rsidRPr="00A840B7">
        <w:t>The Act broadens Queensland’s existing pipeline framework to enable hydrogen and other renewable gases to be transported in pipelines.</w:t>
      </w:r>
    </w:p>
    <w:p w14:paraId="3D6B6F33" w14:textId="13A1C4C5" w:rsidR="00A840B7" w:rsidRPr="00A840B7" w:rsidRDefault="00A840B7" w:rsidP="008718A3">
      <w:pPr>
        <w:shd w:val="clear" w:color="auto" w:fill="F2F2F2"/>
      </w:pPr>
      <w:r w:rsidRPr="00A840B7">
        <w:t xml:space="preserve">While this legislation supports the unlocking of billions of dollars in renewable hydrogen investment and export opportunities, it also works to protect our environment by putting in place rules to ensure </w:t>
      </w:r>
      <w:r w:rsidR="00796348">
        <w:t>hydrogen</w:t>
      </w:r>
      <w:r w:rsidR="00EE6A39">
        <w:t xml:space="preserve"> industry activity is</w:t>
      </w:r>
      <w:r w:rsidR="00796348" w:rsidRPr="00A840B7">
        <w:t xml:space="preserve"> </w:t>
      </w:r>
      <w:r w:rsidRPr="00A840B7">
        <w:t>done safely and with minimal environmental impact. It mandates rigorous standards that ensure safety for all workers, as well as the surrounding communities.</w:t>
      </w:r>
    </w:p>
    <w:p w14:paraId="56884096" w14:textId="5305A6B9" w:rsidR="00A840B7" w:rsidRPr="00A840B7" w:rsidRDefault="00A840B7" w:rsidP="008718A3">
      <w:pPr>
        <w:shd w:val="clear" w:color="auto" w:fill="F2F2F2"/>
      </w:pPr>
      <w:r w:rsidRPr="00A840B7">
        <w:t>Commencement of the Act was a key milestone in the progression of legislative change to support the effective regulation of renewable hydrogen development and use in Queensland.</w:t>
      </w:r>
    </w:p>
    <w:p w14:paraId="0BEA1756" w14:textId="6AF0F80F" w:rsidR="0028592E" w:rsidRDefault="00A840B7" w:rsidP="008718A3">
      <w:pPr>
        <w:shd w:val="clear" w:color="auto" w:fill="F2F2F2"/>
      </w:pPr>
      <w:r w:rsidRPr="00A840B7">
        <w:t>As Queensland continues to attract significant global investment</w:t>
      </w:r>
      <w:r w:rsidR="002C4889">
        <w:t>,</w:t>
      </w:r>
      <w:r w:rsidRPr="00A840B7">
        <w:t xml:space="preserve"> this new legislation ensures we have the right policies in place to further develop our hydrogen industry.</w:t>
      </w:r>
    </w:p>
    <w:p w14:paraId="30E6386D" w14:textId="012E2A5B" w:rsidR="00E96D9E" w:rsidRPr="008651F2" w:rsidRDefault="00E96D9E" w:rsidP="00A77AC6">
      <w:pPr>
        <w:pStyle w:val="DECHeading3"/>
        <w:rPr>
          <w:bCs/>
          <w:iCs/>
          <w:sz w:val="21"/>
        </w:rPr>
      </w:pPr>
      <w:bookmarkStart w:id="325" w:name="_Toc172806407"/>
      <w:bookmarkStart w:id="326" w:name="_Toc172806693"/>
      <w:bookmarkStart w:id="327" w:name="_Toc172808522"/>
      <w:bookmarkStart w:id="328" w:name="_Toc174605664"/>
      <w:bookmarkStart w:id="329" w:name="_Toc176424802"/>
      <w:bookmarkStart w:id="330" w:name="_Toc176424961"/>
      <w:r w:rsidRPr="00C53625">
        <w:t xml:space="preserve">Building towards net-zero emissions future, </w:t>
      </w:r>
      <w:proofErr w:type="gramStart"/>
      <w:r w:rsidRPr="00C53625">
        <w:t>economy</w:t>
      </w:r>
      <w:proofErr w:type="gramEnd"/>
      <w:r w:rsidRPr="00C53625">
        <w:t xml:space="preserve"> and jobs</w:t>
      </w:r>
      <w:bookmarkEnd w:id="325"/>
      <w:bookmarkEnd w:id="326"/>
      <w:bookmarkEnd w:id="327"/>
      <w:bookmarkEnd w:id="328"/>
      <w:bookmarkEnd w:id="329"/>
      <w:bookmarkEnd w:id="330"/>
    </w:p>
    <w:p w14:paraId="4823FEEE" w14:textId="13B09422" w:rsidR="00207C86" w:rsidRPr="00D55F89" w:rsidRDefault="00207C86" w:rsidP="00436CFF">
      <w:pPr>
        <w:pStyle w:val="DECHeading4"/>
        <w:rPr>
          <w:color w:val="auto"/>
        </w:rPr>
      </w:pPr>
      <w:bookmarkStart w:id="331" w:name="_Toc172808523"/>
      <w:bookmarkStart w:id="332" w:name="_Toc174605665"/>
      <w:bookmarkStart w:id="333" w:name="_Toc176424803"/>
      <w:bookmarkStart w:id="334" w:name="_Toc176424962"/>
      <w:r w:rsidRPr="00D50310">
        <w:t>During 2023</w:t>
      </w:r>
      <w:r w:rsidR="00E14215">
        <w:t>–</w:t>
      </w:r>
      <w:r w:rsidRPr="00D50310">
        <w:t>24</w:t>
      </w:r>
      <w:r w:rsidR="00D27F61">
        <w:t>,</w:t>
      </w:r>
      <w:r w:rsidRPr="00D50310">
        <w:t xml:space="preserve"> we continued </w:t>
      </w:r>
      <w:r w:rsidRPr="00D55F89">
        <w:rPr>
          <w:color w:val="auto"/>
        </w:rPr>
        <w:t xml:space="preserve">to </w:t>
      </w:r>
      <w:r w:rsidR="004079E7" w:rsidRPr="00D55F89">
        <w:rPr>
          <w:color w:val="auto"/>
        </w:rPr>
        <w:t>secure</w:t>
      </w:r>
      <w:r w:rsidRPr="00D55F89">
        <w:rPr>
          <w:color w:val="auto"/>
        </w:rPr>
        <w:t xml:space="preserve"> a net-zero emissions future</w:t>
      </w:r>
      <w:r w:rsidR="00276DA4" w:rsidRPr="00D55F89">
        <w:rPr>
          <w:color w:val="auto"/>
        </w:rPr>
        <w:t xml:space="preserve">, </w:t>
      </w:r>
      <w:proofErr w:type="gramStart"/>
      <w:r w:rsidR="00276DA4" w:rsidRPr="00D55F89">
        <w:rPr>
          <w:color w:val="auto"/>
        </w:rPr>
        <w:t>economy</w:t>
      </w:r>
      <w:proofErr w:type="gramEnd"/>
      <w:r w:rsidR="00276DA4" w:rsidRPr="00D55F89">
        <w:rPr>
          <w:color w:val="auto"/>
        </w:rPr>
        <w:t xml:space="preserve"> and jobs by:</w:t>
      </w:r>
      <w:bookmarkEnd w:id="331"/>
      <w:bookmarkEnd w:id="332"/>
      <w:bookmarkEnd w:id="333"/>
      <w:bookmarkEnd w:id="334"/>
    </w:p>
    <w:p w14:paraId="2986A18C" w14:textId="77777777" w:rsidR="00206E6C" w:rsidRPr="00E96D9E" w:rsidRDefault="00206E6C" w:rsidP="00206E6C">
      <w:pPr>
        <w:pStyle w:val="ListParagraph"/>
        <w:numPr>
          <w:ilvl w:val="0"/>
          <w:numId w:val="13"/>
        </w:numPr>
        <w:rPr>
          <w:lang w:eastAsia="en-AU"/>
        </w:rPr>
      </w:pPr>
      <w:bookmarkStart w:id="335" w:name="_Hlk170482263"/>
      <w:r>
        <w:rPr>
          <w:lang w:eastAsia="en-AU"/>
        </w:rPr>
        <w:t>C</w:t>
      </w:r>
      <w:r w:rsidRPr="00D25D89">
        <w:rPr>
          <w:lang w:eastAsia="en-AU"/>
        </w:rPr>
        <w:t>ontinuing to work with government agencies and GOCs to support the accelerated growth of Queensland’s renewable hydrogen industry with over 60 hydrogen project proposals in consideration in Queensland</w:t>
      </w:r>
      <w:r>
        <w:rPr>
          <w:lang w:eastAsia="en-AU"/>
        </w:rPr>
        <w:t>.</w:t>
      </w:r>
    </w:p>
    <w:p w14:paraId="2AF5E867" w14:textId="7E410095" w:rsidR="00CE6F55" w:rsidRPr="00D25D89" w:rsidRDefault="00BC705B" w:rsidP="00113DF0">
      <w:pPr>
        <w:pStyle w:val="ListParagraph"/>
        <w:numPr>
          <w:ilvl w:val="0"/>
          <w:numId w:val="13"/>
        </w:numPr>
        <w:rPr>
          <w:lang w:eastAsia="en-AU"/>
        </w:rPr>
      </w:pPr>
      <w:r>
        <w:t>D</w:t>
      </w:r>
      <w:r w:rsidRPr="00D55F89">
        <w:t xml:space="preserve">elivering </w:t>
      </w:r>
      <w:r w:rsidRPr="00D55F89">
        <w:rPr>
          <w:lang w:eastAsia="en-AU"/>
        </w:rPr>
        <w:t xml:space="preserve">the $15 million Supercharging Hydrogen Hubs program under the </w:t>
      </w:r>
      <w:r w:rsidRPr="00C054AC">
        <w:rPr>
          <w:i/>
          <w:lang w:eastAsia="en-AU"/>
        </w:rPr>
        <w:t>Queensland Energy and Jobs Plan</w:t>
      </w:r>
      <w:r w:rsidR="00231027" w:rsidRPr="00D55F89">
        <w:rPr>
          <w:lang w:eastAsia="en-AU"/>
        </w:rPr>
        <w:t xml:space="preserve"> to supercharge, coordinate </w:t>
      </w:r>
      <w:r w:rsidR="00231027" w:rsidRPr="00D25D89">
        <w:rPr>
          <w:lang w:eastAsia="en-AU"/>
        </w:rPr>
        <w:t>and further plan for renewable hydrogen hubs in key locations across the state</w:t>
      </w:r>
      <w:r w:rsidR="00CD6CD5" w:rsidRPr="00D25D89">
        <w:rPr>
          <w:lang w:eastAsia="en-AU"/>
        </w:rPr>
        <w:t>, including</w:t>
      </w:r>
      <w:r w:rsidR="00270499" w:rsidRPr="00D25D89">
        <w:rPr>
          <w:lang w:eastAsia="en-AU"/>
        </w:rPr>
        <w:t xml:space="preserve"> </w:t>
      </w:r>
      <w:r w:rsidR="00060B44" w:rsidRPr="00D25D89">
        <w:rPr>
          <w:lang w:eastAsia="en-AU"/>
        </w:rPr>
        <w:t xml:space="preserve">key technical studies to investigate and plan for energy supply, </w:t>
      </w:r>
      <w:proofErr w:type="gramStart"/>
      <w:r w:rsidR="00060B44" w:rsidRPr="00D25D89">
        <w:rPr>
          <w:lang w:eastAsia="en-AU"/>
        </w:rPr>
        <w:t>transmission</w:t>
      </w:r>
      <w:proofErr w:type="gramEnd"/>
      <w:r w:rsidR="00C36EE3" w:rsidRPr="00D25D89">
        <w:rPr>
          <w:lang w:eastAsia="en-AU"/>
        </w:rPr>
        <w:t xml:space="preserve"> and water. </w:t>
      </w:r>
    </w:p>
    <w:bookmarkEnd w:id="335"/>
    <w:p w14:paraId="66B0C131" w14:textId="3A099613" w:rsidR="00CE6F55" w:rsidRPr="00D25D89" w:rsidRDefault="00FF3693" w:rsidP="00113DF0">
      <w:pPr>
        <w:pStyle w:val="ListParagraph"/>
        <w:numPr>
          <w:ilvl w:val="0"/>
          <w:numId w:val="13"/>
        </w:numPr>
        <w:rPr>
          <w:lang w:eastAsia="en-AU"/>
        </w:rPr>
      </w:pPr>
      <w:r>
        <w:rPr>
          <w:lang w:eastAsia="en-AU"/>
        </w:rPr>
        <w:t>D</w:t>
      </w:r>
      <w:r w:rsidR="00680FFE" w:rsidRPr="00D25D89">
        <w:rPr>
          <w:lang w:eastAsia="en-AU"/>
        </w:rPr>
        <w:t xml:space="preserve">elivering the </w:t>
      </w:r>
      <w:r w:rsidR="006D64BD" w:rsidRPr="00D25D89">
        <w:rPr>
          <w:lang w:eastAsia="en-AU"/>
        </w:rPr>
        <w:t>$8.5 million Abbot Point Activation Initiative</w:t>
      </w:r>
      <w:r w:rsidR="00B04FC6" w:rsidRPr="00D25D89">
        <w:rPr>
          <w:lang w:eastAsia="en-AU"/>
        </w:rPr>
        <w:t xml:space="preserve"> </w:t>
      </w:r>
      <w:r w:rsidR="00CD2628" w:rsidRPr="00D25D89">
        <w:rPr>
          <w:lang w:eastAsia="en-AU"/>
        </w:rPr>
        <w:t>(part of the $15 million Supercharging Hydrogen Hubs fund)</w:t>
      </w:r>
      <w:r w:rsidR="00B04FC6" w:rsidRPr="00D25D89">
        <w:rPr>
          <w:lang w:eastAsia="en-AU"/>
        </w:rPr>
        <w:t xml:space="preserve"> </w:t>
      </w:r>
      <w:r w:rsidR="00094D44" w:rsidRPr="00D25D89">
        <w:rPr>
          <w:lang w:eastAsia="en-AU"/>
        </w:rPr>
        <w:t xml:space="preserve">in partnership with </w:t>
      </w:r>
      <w:r w:rsidR="00F8270F" w:rsidRPr="00D25D89">
        <w:rPr>
          <w:lang w:eastAsia="en-AU"/>
        </w:rPr>
        <w:t>Office of the Coordinator-General</w:t>
      </w:r>
      <w:r w:rsidR="00B266C3">
        <w:rPr>
          <w:lang w:eastAsia="en-AU"/>
        </w:rPr>
        <w:t xml:space="preserve">, </w:t>
      </w:r>
      <w:r w:rsidR="00E214A7" w:rsidRPr="00D25D89">
        <w:rPr>
          <w:lang w:eastAsia="en-AU"/>
        </w:rPr>
        <w:t>to</w:t>
      </w:r>
      <w:r w:rsidR="0048238B" w:rsidRPr="00D25D89">
        <w:rPr>
          <w:lang w:eastAsia="en-AU"/>
        </w:rPr>
        <w:t xml:space="preserve"> rapidly advanc</w:t>
      </w:r>
      <w:r w:rsidR="00A146A6">
        <w:rPr>
          <w:lang w:eastAsia="en-AU"/>
        </w:rPr>
        <w:t>e</w:t>
      </w:r>
      <w:r w:rsidR="0048238B" w:rsidRPr="00D25D89">
        <w:rPr>
          <w:lang w:eastAsia="en-AU"/>
        </w:rPr>
        <w:t xml:space="preserve"> the master planning, development and infrastructure arrangements </w:t>
      </w:r>
      <w:r w:rsidR="0013623A">
        <w:rPr>
          <w:lang w:eastAsia="en-AU"/>
        </w:rPr>
        <w:t xml:space="preserve">which will </w:t>
      </w:r>
      <w:r w:rsidR="0048238B" w:rsidRPr="00D25D89">
        <w:rPr>
          <w:lang w:eastAsia="en-AU"/>
        </w:rPr>
        <w:t>transform Abbot Point into a hydrogen export super hub</w:t>
      </w:r>
      <w:r w:rsidR="00BC5806">
        <w:rPr>
          <w:lang w:eastAsia="en-AU"/>
        </w:rPr>
        <w:t xml:space="preserve">. This </w:t>
      </w:r>
      <w:r w:rsidR="00487972" w:rsidRPr="00D25D89">
        <w:rPr>
          <w:lang w:eastAsia="en-AU"/>
        </w:rPr>
        <w:t>includ</w:t>
      </w:r>
      <w:r w:rsidR="00BC5806">
        <w:rPr>
          <w:lang w:eastAsia="en-AU"/>
        </w:rPr>
        <w:t>es</w:t>
      </w:r>
      <w:r w:rsidR="00BC2CD1" w:rsidRPr="00D25D89">
        <w:rPr>
          <w:lang w:eastAsia="en-AU"/>
        </w:rPr>
        <w:t xml:space="preserve"> </w:t>
      </w:r>
      <w:r w:rsidR="00CD2628" w:rsidRPr="00D25D89">
        <w:rPr>
          <w:lang w:eastAsia="en-AU"/>
        </w:rPr>
        <w:t xml:space="preserve">regional </w:t>
      </w:r>
      <w:r w:rsidR="00BC2CD1" w:rsidRPr="00D25D89">
        <w:rPr>
          <w:lang w:eastAsia="en-AU"/>
        </w:rPr>
        <w:t xml:space="preserve">planning for water, </w:t>
      </w:r>
      <w:proofErr w:type="gramStart"/>
      <w:r w:rsidR="00BC2CD1" w:rsidRPr="00D25D89">
        <w:rPr>
          <w:lang w:eastAsia="en-AU"/>
        </w:rPr>
        <w:t>energy</w:t>
      </w:r>
      <w:proofErr w:type="gramEnd"/>
      <w:r w:rsidR="00BC2CD1" w:rsidRPr="00D25D89">
        <w:rPr>
          <w:lang w:eastAsia="en-AU"/>
        </w:rPr>
        <w:t xml:space="preserve"> and transmission requirements</w:t>
      </w:r>
      <w:r w:rsidR="00326BE0" w:rsidRPr="00D25D89">
        <w:rPr>
          <w:lang w:eastAsia="en-AU"/>
        </w:rPr>
        <w:t xml:space="preserve">. </w:t>
      </w:r>
    </w:p>
    <w:p w14:paraId="6FB87A6C" w14:textId="747458B5" w:rsidR="006612D1" w:rsidRPr="00D25D89" w:rsidRDefault="00B252DC" w:rsidP="00113DF0">
      <w:pPr>
        <w:pStyle w:val="ListParagraph"/>
        <w:numPr>
          <w:ilvl w:val="0"/>
          <w:numId w:val="13"/>
        </w:numPr>
        <w:rPr>
          <w:lang w:eastAsia="en-AU"/>
        </w:rPr>
      </w:pPr>
      <w:r>
        <w:rPr>
          <w:lang w:eastAsia="en-AU"/>
        </w:rPr>
        <w:t>D</w:t>
      </w:r>
      <w:r w:rsidRPr="00D25D89">
        <w:rPr>
          <w:lang w:eastAsia="en-AU"/>
        </w:rPr>
        <w:t xml:space="preserve">elivering the $5 million Hydrogen Community Engagement and Awareness program under the </w:t>
      </w:r>
      <w:r w:rsidRPr="00F153AF">
        <w:rPr>
          <w:i/>
          <w:lang w:eastAsia="en-AU"/>
        </w:rPr>
        <w:t>Queensland Energy and Jobs Plan</w:t>
      </w:r>
      <w:r w:rsidRPr="00D25D89">
        <w:rPr>
          <w:lang w:eastAsia="en-AU"/>
        </w:rPr>
        <w:t>, including establishment of a Gladstone Community Information Centre</w:t>
      </w:r>
      <w:r w:rsidR="00D51398">
        <w:rPr>
          <w:lang w:eastAsia="en-AU"/>
        </w:rPr>
        <w:t>.</w:t>
      </w:r>
    </w:p>
    <w:p w14:paraId="7FB9D37B" w14:textId="26486A97" w:rsidR="00B76DEC" w:rsidRDefault="009F6352" w:rsidP="00113DF0">
      <w:pPr>
        <w:pStyle w:val="ListParagraph"/>
        <w:numPr>
          <w:ilvl w:val="0"/>
          <w:numId w:val="13"/>
        </w:numPr>
        <w:rPr>
          <w:lang w:eastAsia="en-AU"/>
        </w:rPr>
      </w:pPr>
      <w:r>
        <w:rPr>
          <w:lang w:eastAsia="en-AU"/>
        </w:rPr>
        <w:t>P</w:t>
      </w:r>
      <w:r w:rsidR="00720FA1" w:rsidRPr="00D25D89">
        <w:rPr>
          <w:lang w:eastAsia="en-AU"/>
        </w:rPr>
        <w:t xml:space="preserve">rogressing </w:t>
      </w:r>
      <w:r w:rsidR="000573C6" w:rsidRPr="00D25D89">
        <w:rPr>
          <w:lang w:eastAsia="en-AU"/>
        </w:rPr>
        <w:t xml:space="preserve">the </w:t>
      </w:r>
      <w:r w:rsidR="008733F4" w:rsidRPr="00D25D89">
        <w:rPr>
          <w:lang w:eastAsia="en-AU"/>
        </w:rPr>
        <w:t xml:space="preserve">update of a </w:t>
      </w:r>
      <w:r w:rsidR="009A60CC" w:rsidRPr="00D25D89">
        <w:rPr>
          <w:lang w:eastAsia="en-AU"/>
        </w:rPr>
        <w:t>Queensland Hydrogen Industry Strategy</w:t>
      </w:r>
      <w:r w:rsidR="00262ECC" w:rsidRPr="00D25D89">
        <w:rPr>
          <w:lang w:eastAsia="en-AU"/>
        </w:rPr>
        <w:t xml:space="preserve"> </w:t>
      </w:r>
      <w:r w:rsidR="00C7707C" w:rsidRPr="00D25D89">
        <w:rPr>
          <w:lang w:eastAsia="en-AU"/>
        </w:rPr>
        <w:t xml:space="preserve">refresh </w:t>
      </w:r>
      <w:r w:rsidR="00FE5914" w:rsidRPr="00D25D89">
        <w:rPr>
          <w:lang w:eastAsia="en-AU"/>
        </w:rPr>
        <w:t>in collaboration</w:t>
      </w:r>
      <w:r w:rsidR="00262ECC" w:rsidRPr="00D25D89">
        <w:rPr>
          <w:lang w:eastAsia="en-AU"/>
        </w:rPr>
        <w:t xml:space="preserve"> with the Department of State Development and Infrastructure</w:t>
      </w:r>
      <w:r w:rsidR="00CD33F5" w:rsidRPr="00D25D89">
        <w:rPr>
          <w:lang w:eastAsia="en-AU"/>
        </w:rPr>
        <w:t>.</w:t>
      </w:r>
      <w:r w:rsidR="00F305CB">
        <w:rPr>
          <w:lang w:eastAsia="en-AU"/>
        </w:rPr>
        <w:t xml:space="preserve"> </w:t>
      </w:r>
    </w:p>
    <w:p w14:paraId="1E5EADA5" w14:textId="27536051" w:rsidR="00F305CB" w:rsidRPr="00D25D89" w:rsidRDefault="000B53D1" w:rsidP="00113DF0">
      <w:pPr>
        <w:pStyle w:val="ListParagraph"/>
        <w:numPr>
          <w:ilvl w:val="0"/>
          <w:numId w:val="13"/>
        </w:numPr>
        <w:rPr>
          <w:lang w:eastAsia="en-AU"/>
        </w:rPr>
      </w:pPr>
      <w:r>
        <w:rPr>
          <w:lang w:eastAsia="en-AU"/>
        </w:rPr>
        <w:t xml:space="preserve">Collaborating with the </w:t>
      </w:r>
      <w:r w:rsidR="00F50808" w:rsidDel="00C27DD7">
        <w:rPr>
          <w:lang w:eastAsia="en-AU"/>
        </w:rPr>
        <w:t xml:space="preserve">Australian </w:t>
      </w:r>
      <w:r w:rsidR="003672B3">
        <w:rPr>
          <w:lang w:eastAsia="en-AU"/>
        </w:rPr>
        <w:t xml:space="preserve">and other state and territory governments on the new National Hydrogen Strategy to ensure </w:t>
      </w:r>
      <w:r w:rsidR="00CC2370">
        <w:rPr>
          <w:lang w:eastAsia="en-AU"/>
        </w:rPr>
        <w:t>it is developed in alignment with Queensland priorities for the hydrogen industry.</w:t>
      </w:r>
    </w:p>
    <w:p w14:paraId="183C3304" w14:textId="5F1B0A40" w:rsidR="00CD33F5" w:rsidRPr="00D25D89" w:rsidRDefault="009F6352" w:rsidP="00113DF0">
      <w:pPr>
        <w:pStyle w:val="ListParagraph"/>
        <w:numPr>
          <w:ilvl w:val="0"/>
          <w:numId w:val="13"/>
        </w:numPr>
        <w:rPr>
          <w:lang w:eastAsia="en-AU"/>
        </w:rPr>
      </w:pPr>
      <w:r>
        <w:rPr>
          <w:lang w:eastAsia="en-AU"/>
        </w:rPr>
        <w:t>S</w:t>
      </w:r>
      <w:r w:rsidR="00CD33F5" w:rsidRPr="00D25D89">
        <w:rPr>
          <w:lang w:eastAsia="en-AU"/>
        </w:rPr>
        <w:t xml:space="preserve">etting the policy environment to drive investment in hydrogen in Queensland regions and facilitate skills development in this emerging sector. </w:t>
      </w:r>
    </w:p>
    <w:p w14:paraId="59FBA069" w14:textId="467F7235" w:rsidR="009A1CE3" w:rsidRPr="00D25D89" w:rsidRDefault="009F6352" w:rsidP="00113DF0">
      <w:pPr>
        <w:pStyle w:val="ListParagraph"/>
        <w:numPr>
          <w:ilvl w:val="0"/>
          <w:numId w:val="13"/>
        </w:numPr>
        <w:rPr>
          <w:lang w:eastAsia="en-AU"/>
        </w:rPr>
      </w:pPr>
      <w:r>
        <w:rPr>
          <w:lang w:eastAsia="en-AU"/>
        </w:rPr>
        <w:t>P</w:t>
      </w:r>
      <w:r w:rsidR="00605504" w:rsidRPr="00D25D89">
        <w:rPr>
          <w:lang w:eastAsia="en-AU"/>
        </w:rPr>
        <w:t>rogress</w:t>
      </w:r>
      <w:r w:rsidR="00756C3A">
        <w:rPr>
          <w:lang w:eastAsia="en-AU"/>
        </w:rPr>
        <w:t>ing</w:t>
      </w:r>
      <w:r w:rsidR="00B85993" w:rsidRPr="00D25D89">
        <w:rPr>
          <w:lang w:eastAsia="en-AU"/>
        </w:rPr>
        <w:t xml:space="preserve"> and </w:t>
      </w:r>
      <w:r w:rsidR="00756C3A" w:rsidRPr="00D25D89">
        <w:rPr>
          <w:lang w:eastAsia="en-AU"/>
        </w:rPr>
        <w:t>commenc</w:t>
      </w:r>
      <w:r w:rsidR="00756C3A">
        <w:rPr>
          <w:lang w:eastAsia="en-AU"/>
        </w:rPr>
        <w:t>ing</w:t>
      </w:r>
      <w:r w:rsidR="009A1CE3" w:rsidRPr="00D25D89" w:rsidDel="00E62D15">
        <w:rPr>
          <w:lang w:eastAsia="en-AU"/>
        </w:rPr>
        <w:t xml:space="preserve"> </w:t>
      </w:r>
      <w:r w:rsidR="009A1CE3" w:rsidRPr="00D25D89">
        <w:rPr>
          <w:lang w:eastAsia="en-AU"/>
        </w:rPr>
        <w:t xml:space="preserve">the </w:t>
      </w:r>
      <w:r w:rsidR="009A1CE3" w:rsidRPr="005E15A2">
        <w:rPr>
          <w:i/>
          <w:lang w:eastAsia="en-AU"/>
        </w:rPr>
        <w:t>Gas Supply and Other Legislation (Hydrogen Industry Development) Amendment Act 2023</w:t>
      </w:r>
      <w:r w:rsidR="009A1CE3" w:rsidRPr="00D25D89">
        <w:rPr>
          <w:lang w:eastAsia="en-AU"/>
        </w:rPr>
        <w:t xml:space="preserve"> to support the </w:t>
      </w:r>
      <w:r w:rsidR="00FA2C7E" w:rsidRPr="00D25D89">
        <w:rPr>
          <w:lang w:eastAsia="en-AU"/>
        </w:rPr>
        <w:t>growth</w:t>
      </w:r>
      <w:r w:rsidR="009A1CE3" w:rsidRPr="00D25D89">
        <w:rPr>
          <w:lang w:eastAsia="en-AU"/>
        </w:rPr>
        <w:t xml:space="preserve"> of </w:t>
      </w:r>
      <w:r w:rsidR="000F2DFB" w:rsidRPr="00D25D89">
        <w:rPr>
          <w:lang w:eastAsia="en-AU"/>
        </w:rPr>
        <w:t xml:space="preserve">the </w:t>
      </w:r>
      <w:r w:rsidR="009A1CE3" w:rsidRPr="00D25D89">
        <w:rPr>
          <w:lang w:eastAsia="en-AU"/>
        </w:rPr>
        <w:t xml:space="preserve">hydrogen </w:t>
      </w:r>
      <w:r w:rsidR="000F2DFB" w:rsidRPr="00D25D89">
        <w:rPr>
          <w:lang w:eastAsia="en-AU"/>
        </w:rPr>
        <w:t xml:space="preserve">industry </w:t>
      </w:r>
      <w:r w:rsidR="009A1CE3" w:rsidRPr="00D25D89">
        <w:rPr>
          <w:lang w:eastAsia="en-AU"/>
        </w:rPr>
        <w:t>throughout Queensland</w:t>
      </w:r>
      <w:r w:rsidR="00D51398">
        <w:rPr>
          <w:lang w:eastAsia="en-AU"/>
        </w:rPr>
        <w:t>.</w:t>
      </w:r>
    </w:p>
    <w:p w14:paraId="4AE4210F" w14:textId="6884600F" w:rsidR="004C79ED" w:rsidRPr="00D25D89" w:rsidRDefault="009F6352" w:rsidP="00113DF0">
      <w:pPr>
        <w:pStyle w:val="ListParagraph"/>
        <w:numPr>
          <w:ilvl w:val="0"/>
          <w:numId w:val="13"/>
        </w:numPr>
        <w:rPr>
          <w:lang w:eastAsia="en-AU"/>
        </w:rPr>
      </w:pPr>
      <w:r>
        <w:rPr>
          <w:lang w:eastAsia="en-AU"/>
        </w:rPr>
        <w:lastRenderedPageBreak/>
        <w:t>D</w:t>
      </w:r>
      <w:r w:rsidR="005F63BA" w:rsidRPr="00D25D89">
        <w:rPr>
          <w:lang w:eastAsia="en-AU"/>
        </w:rPr>
        <w:t>eliver</w:t>
      </w:r>
      <w:r w:rsidR="00756C3A">
        <w:rPr>
          <w:lang w:eastAsia="en-AU"/>
        </w:rPr>
        <w:t>ing</w:t>
      </w:r>
      <w:r w:rsidR="00277D80" w:rsidRPr="00D25D89">
        <w:rPr>
          <w:lang w:eastAsia="en-AU"/>
        </w:rPr>
        <w:t xml:space="preserve"> a </w:t>
      </w:r>
      <w:r w:rsidR="00BA38DB" w:rsidRPr="00D25D89">
        <w:rPr>
          <w:lang w:eastAsia="en-AU"/>
        </w:rPr>
        <w:t>whole-of-government</w:t>
      </w:r>
      <w:r w:rsidR="000D5204" w:rsidRPr="00D25D89">
        <w:rPr>
          <w:lang w:eastAsia="en-AU"/>
        </w:rPr>
        <w:t xml:space="preserve"> </w:t>
      </w:r>
      <w:r w:rsidR="00860852" w:rsidRPr="00D25D89">
        <w:rPr>
          <w:lang w:eastAsia="en-AU"/>
        </w:rPr>
        <w:t>regulatory review</w:t>
      </w:r>
      <w:r w:rsidR="0035289A" w:rsidRPr="00D25D89">
        <w:rPr>
          <w:lang w:eastAsia="en-AU"/>
        </w:rPr>
        <w:t>,</w:t>
      </w:r>
      <w:r w:rsidR="00860852" w:rsidRPr="00D25D89">
        <w:rPr>
          <w:lang w:eastAsia="en-AU"/>
        </w:rPr>
        <w:t xml:space="preserve"> </w:t>
      </w:r>
      <w:r w:rsidR="006B2A5F" w:rsidRPr="00D25D89">
        <w:rPr>
          <w:lang w:eastAsia="en-AU"/>
        </w:rPr>
        <w:t xml:space="preserve">followed by </w:t>
      </w:r>
      <w:r w:rsidR="00BF38C6" w:rsidRPr="00D25D89">
        <w:rPr>
          <w:lang w:eastAsia="en-AU"/>
        </w:rPr>
        <w:t xml:space="preserve">public consultation </w:t>
      </w:r>
      <w:r w:rsidR="00BA38DB" w:rsidRPr="00D25D89">
        <w:rPr>
          <w:lang w:eastAsia="en-AU"/>
        </w:rPr>
        <w:t>from</w:t>
      </w:r>
      <w:r w:rsidR="00BF38C6" w:rsidRPr="00D25D89">
        <w:rPr>
          <w:lang w:eastAsia="en-AU"/>
        </w:rPr>
        <w:t xml:space="preserve"> </w:t>
      </w:r>
      <w:r w:rsidR="00BA38DB" w:rsidRPr="00D25D89">
        <w:rPr>
          <w:lang w:eastAsia="en-AU"/>
        </w:rPr>
        <w:t xml:space="preserve">30 </w:t>
      </w:r>
      <w:r w:rsidR="00227709" w:rsidRPr="00D25D89">
        <w:rPr>
          <w:lang w:eastAsia="en-AU"/>
        </w:rPr>
        <w:t>January</w:t>
      </w:r>
      <w:r w:rsidR="00634DC5">
        <w:rPr>
          <w:lang w:eastAsia="en-AU"/>
        </w:rPr>
        <w:t xml:space="preserve"> </w:t>
      </w:r>
      <w:r w:rsidR="006F1953">
        <w:rPr>
          <w:lang w:eastAsia="en-AU"/>
        </w:rPr>
        <w:t>–</w:t>
      </w:r>
      <w:r w:rsidR="00BA38DB" w:rsidRPr="00D25D89">
        <w:rPr>
          <w:lang w:eastAsia="en-AU"/>
        </w:rPr>
        <w:t xml:space="preserve"> 1</w:t>
      </w:r>
      <w:r w:rsidR="00850C2C">
        <w:rPr>
          <w:lang w:eastAsia="en-AU"/>
        </w:rPr>
        <w:t> </w:t>
      </w:r>
      <w:r w:rsidR="00227709" w:rsidRPr="00D25D89">
        <w:rPr>
          <w:lang w:eastAsia="en-AU"/>
        </w:rPr>
        <w:t>March</w:t>
      </w:r>
      <w:r w:rsidR="00BF38C6" w:rsidRPr="00D25D89">
        <w:rPr>
          <w:lang w:eastAsia="en-AU"/>
        </w:rPr>
        <w:t xml:space="preserve"> 2024,</w:t>
      </w:r>
      <w:r w:rsidR="00D143E3" w:rsidRPr="00D25D89">
        <w:rPr>
          <w:lang w:eastAsia="en-AU"/>
        </w:rPr>
        <w:t xml:space="preserve"> to </w:t>
      </w:r>
      <w:r w:rsidR="00F95438" w:rsidRPr="00D25D89">
        <w:rPr>
          <w:lang w:eastAsia="en-AU"/>
        </w:rPr>
        <w:t>obtain feedback on regulatory options</w:t>
      </w:r>
      <w:r w:rsidR="00F95438">
        <w:rPr>
          <w:lang w:eastAsia="en-AU"/>
        </w:rPr>
        <w:t xml:space="preserve"> </w:t>
      </w:r>
      <w:r w:rsidR="00DB0E12">
        <w:rPr>
          <w:lang w:eastAsia="en-AU"/>
        </w:rPr>
        <w:t xml:space="preserve">and </w:t>
      </w:r>
      <w:r w:rsidR="003239CD">
        <w:rPr>
          <w:lang w:eastAsia="en-AU"/>
        </w:rPr>
        <w:t>an effective regulatory framework</w:t>
      </w:r>
      <w:r w:rsidR="00F95438" w:rsidRPr="00D25D89">
        <w:rPr>
          <w:lang w:eastAsia="en-AU"/>
        </w:rPr>
        <w:t xml:space="preserve"> to support the hydrogen industry to develop safely and efficiently.</w:t>
      </w:r>
    </w:p>
    <w:p w14:paraId="7792FDF4" w14:textId="2F7533C3" w:rsidR="00CD260A" w:rsidRPr="00D25D89" w:rsidRDefault="009F6352" w:rsidP="00113DF0">
      <w:pPr>
        <w:pStyle w:val="ListParagraph"/>
        <w:numPr>
          <w:ilvl w:val="0"/>
          <w:numId w:val="13"/>
        </w:numPr>
        <w:rPr>
          <w:lang w:eastAsia="en-AU"/>
        </w:rPr>
      </w:pPr>
      <w:r>
        <w:rPr>
          <w:lang w:eastAsia="en-AU"/>
        </w:rPr>
        <w:t>S</w:t>
      </w:r>
      <w:r w:rsidR="002720FE" w:rsidRPr="00D25D89">
        <w:rPr>
          <w:lang w:eastAsia="en-AU"/>
        </w:rPr>
        <w:t>howcasing</w:t>
      </w:r>
      <w:r w:rsidR="00CD260A" w:rsidRPr="00D25D89">
        <w:rPr>
          <w:lang w:eastAsia="en-AU"/>
        </w:rPr>
        <w:t xml:space="preserve"> Queensland</w:t>
      </w:r>
      <w:r w:rsidR="00092B82" w:rsidRPr="00D25D89">
        <w:rPr>
          <w:lang w:eastAsia="en-AU"/>
        </w:rPr>
        <w:t>’s green hydrogen</w:t>
      </w:r>
      <w:r w:rsidR="004F08F0" w:rsidRPr="00D25D89">
        <w:rPr>
          <w:lang w:eastAsia="en-AU"/>
        </w:rPr>
        <w:t xml:space="preserve"> </w:t>
      </w:r>
      <w:r w:rsidR="00593A1C" w:rsidRPr="00D25D89">
        <w:rPr>
          <w:lang w:eastAsia="en-AU"/>
        </w:rPr>
        <w:t>potential</w:t>
      </w:r>
      <w:r w:rsidR="004F08F0" w:rsidRPr="00D25D89">
        <w:rPr>
          <w:lang w:eastAsia="en-AU"/>
        </w:rPr>
        <w:t xml:space="preserve"> internationally </w:t>
      </w:r>
      <w:r w:rsidR="00593A1C" w:rsidRPr="00D25D89">
        <w:rPr>
          <w:lang w:eastAsia="en-AU"/>
        </w:rPr>
        <w:t>with</w:t>
      </w:r>
      <w:r w:rsidR="00CD260A" w:rsidRPr="00D25D89">
        <w:rPr>
          <w:lang w:eastAsia="en-AU"/>
        </w:rPr>
        <w:t xml:space="preserve"> </w:t>
      </w:r>
      <w:r w:rsidR="00593A1C" w:rsidRPr="00D25D89">
        <w:rPr>
          <w:lang w:eastAsia="en-AU"/>
        </w:rPr>
        <w:t>an</w:t>
      </w:r>
      <w:r w:rsidR="00CD260A" w:rsidRPr="00D25D89">
        <w:rPr>
          <w:lang w:eastAsia="en-AU"/>
        </w:rPr>
        <w:t xml:space="preserve"> Australian-Germany Energy Partnership delegation through Germany, attend</w:t>
      </w:r>
      <w:r w:rsidR="00593A1C" w:rsidRPr="00D25D89">
        <w:rPr>
          <w:lang w:eastAsia="en-AU"/>
        </w:rPr>
        <w:t>ance at</w:t>
      </w:r>
      <w:r w:rsidR="00CD260A" w:rsidRPr="00D25D89">
        <w:rPr>
          <w:lang w:eastAsia="en-AU"/>
        </w:rPr>
        <w:t xml:space="preserve"> the World Hydrogen Summit in Rotterdam, Netherlands,</w:t>
      </w:r>
      <w:r w:rsidR="00351F39" w:rsidRPr="00D25D89" w:rsidDel="00CD260A">
        <w:rPr>
          <w:lang w:eastAsia="en-AU"/>
        </w:rPr>
        <w:t xml:space="preserve"> </w:t>
      </w:r>
      <w:r w:rsidR="00CD260A" w:rsidRPr="00D25D89">
        <w:rPr>
          <w:lang w:eastAsia="en-AU"/>
        </w:rPr>
        <w:t xml:space="preserve">collaboration with the </w:t>
      </w:r>
      <w:proofErr w:type="spellStart"/>
      <w:r w:rsidR="1E0049D5" w:rsidRPr="00D25D89">
        <w:rPr>
          <w:lang w:eastAsia="en-AU"/>
        </w:rPr>
        <w:t>Mærsk</w:t>
      </w:r>
      <w:proofErr w:type="spellEnd"/>
      <w:r w:rsidR="1E0049D5" w:rsidRPr="00D25D89">
        <w:rPr>
          <w:lang w:eastAsia="en-AU"/>
        </w:rPr>
        <w:t xml:space="preserve"> </w:t>
      </w:r>
      <w:proofErr w:type="gramStart"/>
      <w:r w:rsidR="1E0049D5" w:rsidRPr="00D25D89">
        <w:rPr>
          <w:lang w:eastAsia="en-AU"/>
        </w:rPr>
        <w:t>Mc-Kinney</w:t>
      </w:r>
      <w:proofErr w:type="gramEnd"/>
      <w:r w:rsidR="1E0049D5" w:rsidRPr="00D25D89">
        <w:rPr>
          <w:lang w:eastAsia="en-AU"/>
        </w:rPr>
        <w:t xml:space="preserve"> </w:t>
      </w:r>
      <w:proofErr w:type="spellStart"/>
      <w:r w:rsidR="1E0049D5" w:rsidRPr="00D25D89">
        <w:rPr>
          <w:lang w:eastAsia="en-AU"/>
        </w:rPr>
        <w:t>Møller</w:t>
      </w:r>
      <w:proofErr w:type="spellEnd"/>
      <w:r w:rsidR="1E0049D5" w:rsidRPr="00D25D89">
        <w:rPr>
          <w:lang w:eastAsia="en-AU"/>
        </w:rPr>
        <w:t xml:space="preserve"> </w:t>
      </w:r>
      <w:r w:rsidR="00CD260A" w:rsidRPr="00D25D89">
        <w:rPr>
          <w:lang w:eastAsia="en-AU"/>
        </w:rPr>
        <w:t>Centre for Zero Carbon Shipping in Copenhagen, and meeting with potential investors and the Energy Markets Authority in Singapore</w:t>
      </w:r>
      <w:r w:rsidR="00351F39" w:rsidDel="00CD260A">
        <w:rPr>
          <w:lang w:eastAsia="en-AU"/>
        </w:rPr>
        <w:t>.</w:t>
      </w:r>
    </w:p>
    <w:p w14:paraId="46B70975" w14:textId="17C10020" w:rsidR="00E96D9E" w:rsidRDefault="0014007B" w:rsidP="00436CFF">
      <w:pPr>
        <w:pStyle w:val="DECHeading3"/>
      </w:pPr>
      <w:bookmarkStart w:id="336" w:name="_Toc172806408"/>
      <w:bookmarkStart w:id="337" w:name="_Toc172806694"/>
      <w:bookmarkStart w:id="338" w:name="_Toc172808524"/>
      <w:bookmarkStart w:id="339" w:name="_Toc174605666"/>
      <w:bookmarkStart w:id="340" w:name="_Toc176424804"/>
      <w:bookmarkStart w:id="341" w:name="_Toc176424963"/>
      <w:r w:rsidRPr="00C53625">
        <w:t>Investigating t</w:t>
      </w:r>
      <w:r w:rsidR="00E96D9E" w:rsidRPr="00C53625">
        <w:t xml:space="preserve">he </w:t>
      </w:r>
      <w:r w:rsidR="007735F4">
        <w:t>f</w:t>
      </w:r>
      <w:r w:rsidR="00E96D9E" w:rsidRPr="00C53625">
        <w:t xml:space="preserve">uture of </w:t>
      </w:r>
      <w:r w:rsidR="007735F4">
        <w:t>s</w:t>
      </w:r>
      <w:r w:rsidR="00E96D9E" w:rsidRPr="00C53625">
        <w:t xml:space="preserve">ustainable </w:t>
      </w:r>
      <w:r w:rsidR="007735F4">
        <w:t>f</w:t>
      </w:r>
      <w:r w:rsidR="00E96D9E" w:rsidRPr="00C53625">
        <w:t>uels</w:t>
      </w:r>
      <w:bookmarkEnd w:id="336"/>
      <w:bookmarkEnd w:id="337"/>
      <w:bookmarkEnd w:id="338"/>
      <w:bookmarkEnd w:id="339"/>
      <w:bookmarkEnd w:id="340"/>
      <w:bookmarkEnd w:id="341"/>
    </w:p>
    <w:p w14:paraId="254605C3" w14:textId="7A8329D5" w:rsidR="007A38C9" w:rsidRPr="00D55F89" w:rsidRDefault="007A38C9" w:rsidP="007A38C9">
      <w:pPr>
        <w:pStyle w:val="DECHeading4"/>
      </w:pPr>
      <w:bookmarkStart w:id="342" w:name="_Toc174605667"/>
      <w:bookmarkStart w:id="343" w:name="_Toc176424805"/>
      <w:bookmarkStart w:id="344" w:name="_Toc176424964"/>
      <w:r w:rsidRPr="00D50310">
        <w:t>During 2023</w:t>
      </w:r>
      <w:r w:rsidR="00932B5F">
        <w:t>–</w:t>
      </w:r>
      <w:r w:rsidRPr="00D50310">
        <w:t>24</w:t>
      </w:r>
      <w:r w:rsidR="00D27F61">
        <w:t>,</w:t>
      </w:r>
      <w:r w:rsidRPr="00D50310">
        <w:t xml:space="preserve"> we continued to </w:t>
      </w:r>
      <w:r w:rsidR="00EE0917">
        <w:t xml:space="preserve">investigate </w:t>
      </w:r>
      <w:r w:rsidR="00FF46D8">
        <w:t>the future of sustainable fuels</w:t>
      </w:r>
      <w:r w:rsidRPr="00D55F89">
        <w:t xml:space="preserve"> by:</w:t>
      </w:r>
      <w:bookmarkEnd w:id="342"/>
      <w:bookmarkEnd w:id="343"/>
      <w:bookmarkEnd w:id="344"/>
    </w:p>
    <w:p w14:paraId="367DA7D7" w14:textId="60623907" w:rsidR="00C63F85" w:rsidRPr="00C7346C" w:rsidRDefault="009F6352" w:rsidP="00C63F85">
      <w:pPr>
        <w:pStyle w:val="ListParagraph"/>
        <w:spacing w:after="120"/>
      </w:pPr>
      <w:r>
        <w:t>C</w:t>
      </w:r>
      <w:r w:rsidR="0012136F">
        <w:t xml:space="preserve">ontinuing </w:t>
      </w:r>
      <w:r w:rsidR="0012136F" w:rsidRPr="00C7346C">
        <w:t>consultation</w:t>
      </w:r>
      <w:r w:rsidR="00C63F85" w:rsidRPr="00C7346C">
        <w:t xml:space="preserve"> and industry engagement to </w:t>
      </w:r>
      <w:r w:rsidR="00E41E20" w:rsidRPr="00C7346C">
        <w:t xml:space="preserve">inform development of </w:t>
      </w:r>
      <w:r w:rsidR="00C63F85" w:rsidRPr="00C7346C">
        <w:t>a sustainable liquid fuels strategy for</w:t>
      </w:r>
      <w:r w:rsidR="00122B11" w:rsidRPr="00C7346C">
        <w:t xml:space="preserve"> later in</w:t>
      </w:r>
      <w:r w:rsidR="00C63F85" w:rsidRPr="00C7346C">
        <w:t xml:space="preserve"> 2024, including </w:t>
      </w:r>
      <w:r w:rsidR="00487E3E">
        <w:t>conducting</w:t>
      </w:r>
      <w:r w:rsidR="00C63F85" w:rsidDel="00C63F85">
        <w:t xml:space="preserve"> </w:t>
      </w:r>
      <w:r w:rsidR="00C63F85" w:rsidRPr="00C7346C">
        <w:t>an industry workshop in April 2024</w:t>
      </w:r>
      <w:r w:rsidR="00D51398">
        <w:t>.</w:t>
      </w:r>
    </w:p>
    <w:p w14:paraId="4947239E" w14:textId="5E3E2475" w:rsidR="006B5D5F" w:rsidRPr="00C7346C" w:rsidRDefault="009F6352" w:rsidP="00C63F85">
      <w:pPr>
        <w:pStyle w:val="ListParagraph"/>
        <w:spacing w:after="120"/>
      </w:pPr>
      <w:r>
        <w:t>M</w:t>
      </w:r>
      <w:r w:rsidR="00D51398">
        <w:t>aintaining</w:t>
      </w:r>
      <w:r w:rsidR="00BE26D8">
        <w:t xml:space="preserve"> </w:t>
      </w:r>
      <w:r w:rsidR="00985A19" w:rsidRPr="00C7346C">
        <w:t>Queensland</w:t>
      </w:r>
      <w:r w:rsidR="00901AB7" w:rsidRPr="00C7346C">
        <w:t>’s</w:t>
      </w:r>
      <w:r w:rsidR="00985A19" w:rsidRPr="00C7346C">
        <w:t xml:space="preserve"> fuel price reporting scheme</w:t>
      </w:r>
      <w:r w:rsidR="00901AB7" w:rsidRPr="00C7346C">
        <w:t xml:space="preserve"> as </w:t>
      </w:r>
      <w:r w:rsidR="000148A1" w:rsidRPr="00C7346C">
        <w:t xml:space="preserve">a </w:t>
      </w:r>
      <w:proofErr w:type="gramStart"/>
      <w:r w:rsidR="000148A1" w:rsidRPr="00C7346C">
        <w:t>cost</w:t>
      </w:r>
      <w:r w:rsidR="000148A1">
        <w:t xml:space="preserve"> </w:t>
      </w:r>
      <w:r w:rsidR="000148A1" w:rsidRPr="00C7346C">
        <w:t>of</w:t>
      </w:r>
      <w:r w:rsidR="000148A1">
        <w:t xml:space="preserve"> </w:t>
      </w:r>
      <w:r w:rsidR="000148A1" w:rsidRPr="00C7346C">
        <w:t>living</w:t>
      </w:r>
      <w:proofErr w:type="gramEnd"/>
      <w:r w:rsidR="000148A1" w:rsidRPr="00C7346C">
        <w:t xml:space="preserve"> measure </w:t>
      </w:r>
      <w:r w:rsidR="00072638" w:rsidRPr="00C7346C">
        <w:t>to</w:t>
      </w:r>
      <w:r w:rsidR="000148A1" w:rsidRPr="00C7346C">
        <w:t xml:space="preserve"> </w:t>
      </w:r>
      <w:r w:rsidR="00985A19" w:rsidRPr="00C7346C">
        <w:t xml:space="preserve">make </w:t>
      </w:r>
      <w:r w:rsidR="0023120A" w:rsidRPr="00C7346C">
        <w:t xml:space="preserve">it easy for motorists to shop around </w:t>
      </w:r>
      <w:r w:rsidR="000148A1" w:rsidRPr="00C7346C">
        <w:t xml:space="preserve">for </w:t>
      </w:r>
      <w:r w:rsidR="0023120A" w:rsidRPr="00C7346C">
        <w:t>the best</w:t>
      </w:r>
      <w:r w:rsidR="00BE6CA0">
        <w:t>-</w:t>
      </w:r>
      <w:r w:rsidR="0023120A" w:rsidRPr="00C7346C">
        <w:t>price</w:t>
      </w:r>
      <w:r w:rsidR="00E12299" w:rsidRPr="00C7346C">
        <w:t xml:space="preserve">d </w:t>
      </w:r>
      <w:r w:rsidR="005227C9" w:rsidRPr="00C7346C">
        <w:t xml:space="preserve">fuel around </w:t>
      </w:r>
      <w:r w:rsidR="00DF62A2" w:rsidRPr="00C7346C">
        <w:t xml:space="preserve">and save </w:t>
      </w:r>
      <w:r w:rsidR="005227C9" w:rsidRPr="00C7346C">
        <w:t xml:space="preserve">using </w:t>
      </w:r>
      <w:r w:rsidR="00DB63DA" w:rsidRPr="00C7346C">
        <w:t>fuel price apps</w:t>
      </w:r>
      <w:r w:rsidR="00D51398">
        <w:t>.</w:t>
      </w:r>
    </w:p>
    <w:p w14:paraId="3039A3E8" w14:textId="26D8DEDC" w:rsidR="00CC3DDA" w:rsidRPr="00C7346C" w:rsidRDefault="00BF33A0" w:rsidP="00C63F85">
      <w:pPr>
        <w:pStyle w:val="ListParagraph"/>
        <w:spacing w:after="120"/>
      </w:pPr>
      <w:r>
        <w:t>Continuing</w:t>
      </w:r>
      <w:r w:rsidR="00984AC8" w:rsidDel="00BF33A0">
        <w:t xml:space="preserve"> </w:t>
      </w:r>
      <w:r w:rsidR="00984AC8">
        <w:t xml:space="preserve">the </w:t>
      </w:r>
      <w:r w:rsidR="00CC3DDA" w:rsidRPr="00C7346C">
        <w:t xml:space="preserve">Queensland </w:t>
      </w:r>
      <w:r w:rsidR="008F7C6A" w:rsidRPr="00C7346C">
        <w:t>biofuels</w:t>
      </w:r>
      <w:r w:rsidR="00CC3DDA" w:rsidRPr="00C7346C">
        <w:t xml:space="preserve"> mandate</w:t>
      </w:r>
      <w:r w:rsidR="008F7C6A" w:rsidRPr="00C7346C">
        <w:t>s</w:t>
      </w:r>
      <w:r w:rsidR="00CC3DDA" w:rsidRPr="00C7346C">
        <w:t xml:space="preserve"> to drive the </w:t>
      </w:r>
      <w:r w:rsidR="00725927" w:rsidRPr="00C7346C">
        <w:t xml:space="preserve">increased availability of </w:t>
      </w:r>
      <w:r w:rsidR="00AD1294" w:rsidRPr="00C7346C">
        <w:t>ethanol blended</w:t>
      </w:r>
      <w:r w:rsidR="00725927" w:rsidRPr="00C7346C">
        <w:t xml:space="preserve"> petrol at service stations owned by retailers liable under the mandate, </w:t>
      </w:r>
      <w:r w:rsidR="00186A74" w:rsidRPr="00C7346C">
        <w:t xml:space="preserve">with </w:t>
      </w:r>
      <w:r w:rsidR="003B4A70" w:rsidRPr="00C7346C">
        <w:t xml:space="preserve">852 </w:t>
      </w:r>
      <w:r w:rsidR="00EC1656" w:rsidRPr="00C7346C">
        <w:t xml:space="preserve">of their </w:t>
      </w:r>
      <w:r w:rsidR="00953A54" w:rsidRPr="00C7346C">
        <w:t xml:space="preserve">service stations selling E10 </w:t>
      </w:r>
      <w:r w:rsidR="00EC1656" w:rsidRPr="00C7346C">
        <w:t>at the end of the March 2024</w:t>
      </w:r>
      <w:r w:rsidR="00BE7D18" w:rsidRPr="00C7346C">
        <w:t xml:space="preserve"> quarter</w:t>
      </w:r>
      <w:r w:rsidR="00EC1656" w:rsidRPr="00C7346C">
        <w:t xml:space="preserve">, </w:t>
      </w:r>
      <w:r w:rsidR="00725927" w:rsidRPr="00C7346C">
        <w:t>up from 839 at the end of 202</w:t>
      </w:r>
      <w:r w:rsidR="00791187" w:rsidRPr="00C7346C">
        <w:t>2</w:t>
      </w:r>
      <w:r w:rsidR="003079C8" w:rsidRPr="00C7346C">
        <w:t>–</w:t>
      </w:r>
      <w:r w:rsidR="00EC1656" w:rsidRPr="00C7346C">
        <w:t>23</w:t>
      </w:r>
      <w:r w:rsidR="00D51398">
        <w:t>.</w:t>
      </w:r>
    </w:p>
    <w:p w14:paraId="54E06E51" w14:textId="406606E7" w:rsidR="00230684" w:rsidRPr="00CA12BD" w:rsidRDefault="00117A43" w:rsidP="00436CFF">
      <w:pPr>
        <w:pStyle w:val="DECHeading3"/>
      </w:pPr>
      <w:bookmarkStart w:id="345" w:name="_Objective_two"/>
      <w:bookmarkStart w:id="346" w:name="_Toc111189224"/>
      <w:bookmarkStart w:id="347" w:name="_Toc138317846"/>
      <w:bookmarkStart w:id="348" w:name="_Toc172794877"/>
      <w:bookmarkStart w:id="349" w:name="_Toc172806410"/>
      <w:bookmarkStart w:id="350" w:name="_Toc172806696"/>
      <w:bookmarkStart w:id="351" w:name="_Toc172808526"/>
      <w:bookmarkStart w:id="352" w:name="_Toc174605668"/>
      <w:bookmarkStart w:id="353" w:name="_Toc176424806"/>
      <w:bookmarkStart w:id="354" w:name="_Toc176424965"/>
      <w:bookmarkEnd w:id="345"/>
      <w:r w:rsidRPr="007C77E7">
        <w:t>Looking</w:t>
      </w:r>
      <w:r w:rsidRPr="00297F21">
        <w:t xml:space="preserve"> forward </w:t>
      </w:r>
      <w:r w:rsidR="00503606">
        <w:t xml:space="preserve">to </w:t>
      </w:r>
      <w:r w:rsidR="0087524A">
        <w:t>202</w:t>
      </w:r>
      <w:r w:rsidR="008B072E">
        <w:t>4</w:t>
      </w:r>
      <w:r w:rsidR="0087524A">
        <w:t>–2</w:t>
      </w:r>
      <w:bookmarkEnd w:id="346"/>
      <w:bookmarkEnd w:id="347"/>
      <w:r w:rsidR="008B072E">
        <w:t>5</w:t>
      </w:r>
      <w:bookmarkEnd w:id="348"/>
      <w:bookmarkEnd w:id="349"/>
      <w:bookmarkEnd w:id="350"/>
      <w:bookmarkEnd w:id="351"/>
      <w:bookmarkEnd w:id="352"/>
      <w:bookmarkEnd w:id="353"/>
      <w:bookmarkEnd w:id="354"/>
    </w:p>
    <w:p w14:paraId="4C6CC760" w14:textId="4367AB4F" w:rsidR="005C7109" w:rsidRDefault="005C7109" w:rsidP="009F2845">
      <w:pPr>
        <w:pStyle w:val="DECHeading4"/>
      </w:pPr>
      <w:bookmarkStart w:id="355" w:name="_Toc172808527"/>
      <w:bookmarkStart w:id="356" w:name="_Toc174605669"/>
      <w:bookmarkStart w:id="357" w:name="_Toc176424807"/>
      <w:bookmarkStart w:id="358" w:name="_Toc176424966"/>
      <w:r w:rsidRPr="00297F21">
        <w:t xml:space="preserve">In </w:t>
      </w:r>
      <w:r w:rsidR="0087524A">
        <w:t>202</w:t>
      </w:r>
      <w:r w:rsidR="008B072E">
        <w:t>4</w:t>
      </w:r>
      <w:r w:rsidR="0087524A">
        <w:t>–2</w:t>
      </w:r>
      <w:r w:rsidR="008B072E">
        <w:t>5</w:t>
      </w:r>
      <w:r w:rsidRPr="00297F21">
        <w:t>, we will continue to work to realise and support government priorities by:</w:t>
      </w:r>
      <w:bookmarkEnd w:id="355"/>
      <w:bookmarkEnd w:id="356"/>
      <w:bookmarkEnd w:id="357"/>
      <w:bookmarkEnd w:id="358"/>
      <w:r w:rsidRPr="00297F21">
        <w:t xml:space="preserve"> </w:t>
      </w:r>
    </w:p>
    <w:p w14:paraId="47E54BA7" w14:textId="75E1B6C7" w:rsidR="002764BD" w:rsidRPr="002764BD" w:rsidRDefault="009F6352" w:rsidP="00C661E0">
      <w:pPr>
        <w:pStyle w:val="ListParagraph"/>
        <w:shd w:val="clear" w:color="auto" w:fill="F2F2F2" w:themeFill="background1" w:themeFillShade="F2"/>
        <w:spacing w:after="120"/>
        <w:ind w:left="357" w:hanging="357"/>
      </w:pPr>
      <w:r>
        <w:t>D</w:t>
      </w:r>
      <w:r w:rsidR="003463B4" w:rsidRPr="002764BD">
        <w:t>riv</w:t>
      </w:r>
      <w:r w:rsidR="002764BD">
        <w:t>ing</w:t>
      </w:r>
      <w:r w:rsidR="003463B4" w:rsidRPr="002764BD">
        <w:t xml:space="preserve"> energy affordability outcomes, including delivery of rebates, </w:t>
      </w:r>
      <w:proofErr w:type="gramStart"/>
      <w:r w:rsidR="003463B4" w:rsidRPr="002764BD">
        <w:t>programs</w:t>
      </w:r>
      <w:proofErr w:type="gramEnd"/>
      <w:r w:rsidR="003463B4" w:rsidRPr="002764BD">
        <w:t xml:space="preserve"> and administration of the Community Service Obligation to ensure that</w:t>
      </w:r>
      <w:r w:rsidR="00D2555C">
        <w:t>,</w:t>
      </w:r>
      <w:r w:rsidR="003463B4" w:rsidRPr="002764BD">
        <w:t xml:space="preserve"> on average, householder electricity costs in regional Queensland are less than the cost of supply</w:t>
      </w:r>
      <w:r w:rsidR="002764BD">
        <w:t>.</w:t>
      </w:r>
    </w:p>
    <w:p w14:paraId="68C39C6D" w14:textId="05057B5A" w:rsidR="002764BD" w:rsidRPr="002764BD" w:rsidRDefault="009F6352" w:rsidP="00C661E0">
      <w:pPr>
        <w:pStyle w:val="ListParagraph"/>
        <w:shd w:val="clear" w:color="auto" w:fill="F2F2F2" w:themeFill="background1" w:themeFillShade="F2"/>
        <w:spacing w:after="120"/>
        <w:ind w:left="357" w:hanging="357"/>
      </w:pPr>
      <w:r>
        <w:t>C</w:t>
      </w:r>
      <w:r w:rsidR="003463B4" w:rsidRPr="002764BD">
        <w:t>ontinu</w:t>
      </w:r>
      <w:r w:rsidR="002764BD">
        <w:t>ing</w:t>
      </w:r>
      <w:r w:rsidR="003463B4" w:rsidRPr="002764BD">
        <w:t xml:space="preserve"> to implement the </w:t>
      </w:r>
      <w:r w:rsidR="007B73D1" w:rsidRPr="00C054AC">
        <w:rPr>
          <w:i/>
          <w:lang w:eastAsia="en-AU"/>
        </w:rPr>
        <w:t>Queensland Energy and Jobs Plan</w:t>
      </w:r>
      <w:r w:rsidR="003463B4" w:rsidRPr="002764BD">
        <w:t xml:space="preserve">, including through the </w:t>
      </w:r>
      <w:r w:rsidR="00F94764">
        <w:t>delivery</w:t>
      </w:r>
      <w:r w:rsidR="003463B4" w:rsidRPr="002764BD">
        <w:t xml:space="preserve"> of </w:t>
      </w:r>
      <w:r w:rsidR="00F95900">
        <w:t>REZ</w:t>
      </w:r>
      <w:r w:rsidR="00895FF2">
        <w:t>s</w:t>
      </w:r>
      <w:r w:rsidR="00F315DD">
        <w:t xml:space="preserve"> </w:t>
      </w:r>
      <w:r w:rsidR="00F94764">
        <w:t>and REZ Readiness Assessments</w:t>
      </w:r>
      <w:r w:rsidR="003463B4" w:rsidRPr="002764BD">
        <w:t>, with a focus on community and stakeholder engagemen</w:t>
      </w:r>
      <w:r w:rsidR="002764BD" w:rsidRPr="002764BD">
        <w:t>t</w:t>
      </w:r>
      <w:r w:rsidR="002764BD">
        <w:t>.</w:t>
      </w:r>
    </w:p>
    <w:p w14:paraId="14BCC68C" w14:textId="3B0F0F44" w:rsidR="00206E6C" w:rsidRDefault="00206E6C" w:rsidP="00C661E0">
      <w:pPr>
        <w:pStyle w:val="ListParagraph"/>
        <w:shd w:val="clear" w:color="auto" w:fill="F2F2F2" w:themeFill="background1" w:themeFillShade="F2"/>
        <w:spacing w:after="120"/>
        <w:ind w:left="357" w:hanging="357"/>
      </w:pPr>
      <w:r>
        <w:t>I</w:t>
      </w:r>
      <w:r w:rsidRPr="002764BD">
        <w:t>mplement</w:t>
      </w:r>
      <w:r>
        <w:t xml:space="preserve">ing </w:t>
      </w:r>
      <w:r w:rsidRPr="002764BD">
        <w:t xml:space="preserve">the </w:t>
      </w:r>
      <w:r w:rsidRPr="005A3253">
        <w:rPr>
          <w:i/>
        </w:rPr>
        <w:t>Energy (Renewable Transformation and Jobs) Act 2024</w:t>
      </w:r>
      <w:r w:rsidRPr="009C0C40">
        <w:rPr>
          <w:iCs/>
        </w:rPr>
        <w:t>,</w:t>
      </w:r>
      <w:r w:rsidRPr="002764BD">
        <w:t xml:space="preserve"> including establishing the Queensland Energy System Advisory Board, and establish</w:t>
      </w:r>
      <w:r>
        <w:t>ing</w:t>
      </w:r>
      <w:r w:rsidRPr="002764BD">
        <w:t xml:space="preserve"> the Job Security Guarantee Fund, which will ensure affected energy workers have secure choices, </w:t>
      </w:r>
      <w:proofErr w:type="gramStart"/>
      <w:r w:rsidRPr="002764BD">
        <w:t>pathways</w:t>
      </w:r>
      <w:proofErr w:type="gramEnd"/>
      <w:r w:rsidRPr="002764BD">
        <w:t xml:space="preserve"> and opportunities</w:t>
      </w:r>
      <w:r>
        <w:t>.</w:t>
      </w:r>
    </w:p>
    <w:p w14:paraId="4E64D745" w14:textId="61592C9B" w:rsidR="00206E6C" w:rsidRPr="002764BD" w:rsidRDefault="00206E6C" w:rsidP="00C661E0">
      <w:pPr>
        <w:pStyle w:val="ListParagraph"/>
        <w:shd w:val="clear" w:color="auto" w:fill="F2F2F2" w:themeFill="background1" w:themeFillShade="F2"/>
        <w:spacing w:after="120"/>
        <w:ind w:left="357" w:hanging="357"/>
      </w:pPr>
      <w:r>
        <w:t>D</w:t>
      </w:r>
      <w:r w:rsidRPr="002764BD">
        <w:t>eliverin</w:t>
      </w:r>
      <w:r>
        <w:t>g</w:t>
      </w:r>
      <w:r w:rsidRPr="002764BD">
        <w:t xml:space="preserve"> the </w:t>
      </w:r>
      <w:r>
        <w:t xml:space="preserve">next </w:t>
      </w:r>
      <w:r w:rsidRPr="002764BD">
        <w:t>Infrastructure Blueprint</w:t>
      </w:r>
      <w:r>
        <w:t xml:space="preserve"> to guide the development of the energy system and set out the optimal infrastructure pathway to achieve the renewable energy targets</w:t>
      </w:r>
      <w:r w:rsidR="00D019A7">
        <w:t>.</w:t>
      </w:r>
      <w:r>
        <w:t xml:space="preserve"> </w:t>
      </w:r>
    </w:p>
    <w:p w14:paraId="540734C7" w14:textId="77777777" w:rsidR="00206E6C" w:rsidRPr="002764BD" w:rsidRDefault="00206E6C" w:rsidP="00C661E0">
      <w:pPr>
        <w:pStyle w:val="ListParagraph"/>
        <w:shd w:val="clear" w:color="auto" w:fill="F2F2F2" w:themeFill="background1" w:themeFillShade="F2"/>
        <w:spacing w:after="120"/>
        <w:ind w:left="357" w:hanging="357"/>
      </w:pPr>
      <w:r>
        <w:t xml:space="preserve">Delivering upon partnership agreements under the LEP, supporting industry, </w:t>
      </w:r>
      <w:proofErr w:type="gramStart"/>
      <w:r>
        <w:t>councils</w:t>
      </w:r>
      <w:proofErr w:type="gramEnd"/>
      <w:r>
        <w:t xml:space="preserve"> and peak bodies through the energy transformation to help ensure people who live and work in regional Queensland benefit from the energy transformation. </w:t>
      </w:r>
    </w:p>
    <w:p w14:paraId="07BA740C" w14:textId="5F2ABC7D" w:rsidR="00206E6C" w:rsidRPr="002764BD" w:rsidRDefault="00206E6C" w:rsidP="00C661E0">
      <w:pPr>
        <w:pStyle w:val="ListParagraph"/>
        <w:shd w:val="clear" w:color="auto" w:fill="F2F2F2" w:themeFill="background1" w:themeFillShade="F2"/>
        <w:spacing w:after="120"/>
        <w:ind w:left="357" w:hanging="357"/>
      </w:pPr>
      <w:r>
        <w:t xml:space="preserve">Continuing to deliver on the </w:t>
      </w:r>
      <w:r w:rsidR="00BE76E5" w:rsidRPr="00C054AC">
        <w:rPr>
          <w:i/>
          <w:lang w:eastAsia="en-AU"/>
        </w:rPr>
        <w:t>Queensland Energy and Jobs Plan</w:t>
      </w:r>
      <w:r>
        <w:t xml:space="preserve"> household and business energy programs.</w:t>
      </w:r>
    </w:p>
    <w:p w14:paraId="76101B36" w14:textId="03772D0C" w:rsidR="000C56D0" w:rsidRPr="002764BD" w:rsidRDefault="009F6352" w:rsidP="00C661E0">
      <w:pPr>
        <w:pStyle w:val="ListParagraph"/>
        <w:shd w:val="clear" w:color="auto" w:fill="F2F2F2" w:themeFill="background1" w:themeFillShade="F2"/>
        <w:spacing w:after="120"/>
        <w:ind w:left="357" w:hanging="357"/>
      </w:pPr>
      <w:r>
        <w:t>C</w:t>
      </w:r>
      <w:r w:rsidR="00A43D65">
        <w:t xml:space="preserve">ontinuing to support the delivery </w:t>
      </w:r>
      <w:r w:rsidR="00F315DD">
        <w:t xml:space="preserve">of </w:t>
      </w:r>
      <w:r w:rsidR="00A43D65">
        <w:t xml:space="preserve">the </w:t>
      </w:r>
      <w:proofErr w:type="spellStart"/>
      <w:r w:rsidR="00A43D65">
        <w:t>Borumba</w:t>
      </w:r>
      <w:proofErr w:type="spellEnd"/>
      <w:r w:rsidR="00A43D65">
        <w:t xml:space="preserve"> and Pioneer-Burdekin large scale pumped hydro energy storage projects in a manner that is sensitive to communities and the environment.  </w:t>
      </w:r>
    </w:p>
    <w:p w14:paraId="5391B787" w14:textId="6DA081F3" w:rsidR="002764BD" w:rsidRPr="002764BD" w:rsidRDefault="009F6352" w:rsidP="00C661E0">
      <w:pPr>
        <w:pStyle w:val="ListParagraph"/>
        <w:shd w:val="clear" w:color="auto" w:fill="F2F2F2" w:themeFill="background1" w:themeFillShade="F2"/>
        <w:spacing w:after="120"/>
        <w:ind w:left="357" w:hanging="357"/>
      </w:pPr>
      <w:r>
        <w:t>D</w:t>
      </w:r>
      <w:r w:rsidR="003463B4" w:rsidRPr="002764BD">
        <w:t>eliver</w:t>
      </w:r>
      <w:r w:rsidR="002764BD">
        <w:t>ing</w:t>
      </w:r>
      <w:r w:rsidR="003463B4">
        <w:t xml:space="preserve"> strategies to </w:t>
      </w:r>
      <w:r w:rsidR="0085474D">
        <w:t xml:space="preserve">secure </w:t>
      </w:r>
      <w:r w:rsidR="003463B4">
        <w:t xml:space="preserve">project investment and </w:t>
      </w:r>
      <w:r w:rsidR="0085474D">
        <w:t xml:space="preserve">for </w:t>
      </w:r>
      <w:r w:rsidR="003463B4">
        <w:t>Queensland’s renewable hydrogen industry to be internationally competitive</w:t>
      </w:r>
      <w:r w:rsidR="003463B4" w:rsidDel="003463B4">
        <w:t xml:space="preserve"> and </w:t>
      </w:r>
      <w:r w:rsidR="003463B4">
        <w:t>create new jobs in regional Queensland</w:t>
      </w:r>
      <w:r w:rsidR="002764BD">
        <w:t>.</w:t>
      </w:r>
    </w:p>
    <w:p w14:paraId="6D9CA3F6" w14:textId="770B6D03" w:rsidR="002764BD" w:rsidRPr="002764BD" w:rsidRDefault="009F6352" w:rsidP="00C661E0">
      <w:pPr>
        <w:pStyle w:val="ListParagraph"/>
        <w:shd w:val="clear" w:color="auto" w:fill="F2F2F2" w:themeFill="background1" w:themeFillShade="F2"/>
        <w:spacing w:after="120"/>
        <w:ind w:left="357" w:hanging="357"/>
      </w:pPr>
      <w:r>
        <w:t>D</w:t>
      </w:r>
      <w:r w:rsidR="002764BD" w:rsidRPr="002764BD">
        <w:t>eliver</w:t>
      </w:r>
      <w:r w:rsidR="002764BD">
        <w:t>ing</w:t>
      </w:r>
      <w:r w:rsidR="002764BD" w:rsidRPr="002764BD">
        <w:t xml:space="preserve"> a Sustainable Fuels Strategy and actions to seize opportunities of locally produced sustainable aviation fuels and renewable diesel to support Queensland’s decarbonisation </w:t>
      </w:r>
      <w:r w:rsidR="00A931F8" w:rsidRPr="002764BD">
        <w:t>targets and</w:t>
      </w:r>
      <w:r w:rsidR="002764BD" w:rsidRPr="002764BD">
        <w:t xml:space="preserve"> continue the implementation of Queensland’s biofuels mandates to encourage the sale of sustainable fuel alternatives</w:t>
      </w:r>
      <w:r w:rsidR="002764BD">
        <w:t>.</w:t>
      </w:r>
    </w:p>
    <w:p w14:paraId="0C53F630" w14:textId="77777777" w:rsidR="00206E6C" w:rsidRPr="002764BD" w:rsidRDefault="00206E6C" w:rsidP="001F1BA5">
      <w:pPr>
        <w:pStyle w:val="ListParagraph"/>
        <w:pageBreakBefore/>
        <w:widowControl w:val="0"/>
        <w:shd w:val="clear" w:color="auto" w:fill="F2F2F2" w:themeFill="background1" w:themeFillShade="F2"/>
        <w:spacing w:after="120"/>
        <w:ind w:left="357" w:hanging="357"/>
      </w:pPr>
      <w:r>
        <w:lastRenderedPageBreak/>
        <w:t>C</w:t>
      </w:r>
      <w:r w:rsidRPr="002764BD">
        <w:t>ontinu</w:t>
      </w:r>
      <w:r>
        <w:t xml:space="preserve">ing </w:t>
      </w:r>
      <w:r w:rsidRPr="002764BD">
        <w:t>delivery of the Supercharging Hydrogen Hubs Program including completion of technical studies and community engagement to assist in the development of key hubs for hydrogen</w:t>
      </w:r>
      <w:r>
        <w:t>.</w:t>
      </w:r>
    </w:p>
    <w:p w14:paraId="125ACA27" w14:textId="7D86E873" w:rsidR="00F52036" w:rsidRPr="00D8684E" w:rsidRDefault="00AE617B" w:rsidP="001F1BA5">
      <w:pPr>
        <w:pStyle w:val="ListParagraph"/>
        <w:shd w:val="clear" w:color="auto" w:fill="F2F2F2" w:themeFill="background1" w:themeFillShade="F2"/>
        <w:spacing w:before="0" w:after="160" w:line="259" w:lineRule="auto"/>
        <w:ind w:left="357" w:hanging="357"/>
        <w:rPr>
          <w:rFonts w:ascii="Arial Nova" w:eastAsia="Times New Roman" w:hAnsi="Arial Nova" w:cstheme="majorBidi"/>
          <w:color w:val="000000" w:themeColor="text1"/>
          <w:szCs w:val="20"/>
          <w:lang w:eastAsia="en-GB"/>
        </w:rPr>
      </w:pPr>
      <w:r w:rsidRPr="002375C9">
        <w:rPr>
          <w:szCs w:val="20"/>
        </w:rPr>
        <w:t>Continu</w:t>
      </w:r>
      <w:r w:rsidR="00274F73" w:rsidRPr="002375C9">
        <w:rPr>
          <w:szCs w:val="20"/>
        </w:rPr>
        <w:t>ing</w:t>
      </w:r>
      <w:r w:rsidRPr="002375C9">
        <w:rPr>
          <w:szCs w:val="20"/>
        </w:rPr>
        <w:t xml:space="preserve"> to provide consumer cost of living support </w:t>
      </w:r>
      <w:r w:rsidR="00300F5B" w:rsidRPr="002375C9">
        <w:rPr>
          <w:szCs w:val="20"/>
        </w:rPr>
        <w:t>through</w:t>
      </w:r>
      <w:r w:rsidRPr="002375C9">
        <w:rPr>
          <w:szCs w:val="20"/>
        </w:rPr>
        <w:t xml:space="preserve"> administering Fuel Price Reporting</w:t>
      </w:r>
      <w:r w:rsidR="00516685" w:rsidRPr="002375C9">
        <w:rPr>
          <w:szCs w:val="20"/>
        </w:rPr>
        <w:t>.</w:t>
      </w:r>
      <w:bookmarkStart w:id="359" w:name="_Objective_two_1"/>
      <w:bookmarkStart w:id="360" w:name="_Toc111189221"/>
      <w:bookmarkStart w:id="361" w:name="_Toc138317847"/>
      <w:bookmarkStart w:id="362" w:name="_Toc172794878"/>
      <w:bookmarkStart w:id="363" w:name="_Toc172806411"/>
      <w:bookmarkStart w:id="364" w:name="_Toc172808407"/>
      <w:bookmarkStart w:id="365" w:name="_Toc111189225"/>
      <w:bookmarkEnd w:id="359"/>
      <w:r w:rsidR="00F52036" w:rsidRPr="002375C9">
        <w:rPr>
          <w:szCs w:val="20"/>
        </w:rPr>
        <w:br w:type="page"/>
      </w:r>
    </w:p>
    <w:p w14:paraId="4D03194D" w14:textId="71101DF9" w:rsidR="00160FB1" w:rsidRPr="00260DA1" w:rsidRDefault="00160FB1" w:rsidP="009D4913">
      <w:pPr>
        <w:pStyle w:val="DECheading11"/>
      </w:pPr>
      <w:bookmarkStart w:id="366" w:name="_Toc176424967"/>
      <w:r w:rsidRPr="00260DA1">
        <w:lastRenderedPageBreak/>
        <w:t xml:space="preserve">Objective </w:t>
      </w:r>
      <w:bookmarkEnd w:id="360"/>
      <w:bookmarkEnd w:id="361"/>
      <w:r w:rsidR="00526883">
        <w:t>two</w:t>
      </w:r>
      <w:bookmarkEnd w:id="362"/>
      <w:bookmarkEnd w:id="363"/>
      <w:bookmarkEnd w:id="364"/>
      <w:bookmarkEnd w:id="366"/>
      <w:r w:rsidRPr="00260DA1">
        <w:t xml:space="preserve"> </w:t>
      </w:r>
    </w:p>
    <w:p w14:paraId="224DBF86" w14:textId="3DCDD24E" w:rsidR="003A60B2" w:rsidRDefault="003A60B2" w:rsidP="00436CFF">
      <w:pPr>
        <w:pStyle w:val="DECHeading2"/>
      </w:pPr>
      <w:bookmarkStart w:id="367" w:name="_Toc172794879"/>
      <w:bookmarkStart w:id="368" w:name="_Toc172806412"/>
      <w:bookmarkStart w:id="369" w:name="_Toc172806698"/>
      <w:bookmarkStart w:id="370" w:name="_Toc172808529"/>
      <w:bookmarkStart w:id="371" w:name="_Toc174605671"/>
      <w:bookmarkStart w:id="372" w:name="_Toc176424809"/>
      <w:bookmarkStart w:id="373" w:name="_Toc176424968"/>
      <w:r w:rsidRPr="003A60B2">
        <w:t xml:space="preserve">Deliver nation-leading government procurement that provides maximum value to </w:t>
      </w:r>
      <w:proofErr w:type="gramStart"/>
      <w:r w:rsidRPr="003A60B2">
        <w:t>Queenslanders</w:t>
      </w:r>
      <w:bookmarkEnd w:id="367"/>
      <w:bookmarkEnd w:id="368"/>
      <w:bookmarkEnd w:id="369"/>
      <w:bookmarkEnd w:id="370"/>
      <w:bookmarkEnd w:id="371"/>
      <w:bookmarkEnd w:id="372"/>
      <w:bookmarkEnd w:id="373"/>
      <w:proofErr w:type="gramEnd"/>
    </w:p>
    <w:p w14:paraId="7940F482" w14:textId="4271A7AE" w:rsidR="003A60B2" w:rsidRPr="003A60B2" w:rsidRDefault="003A60B2" w:rsidP="00037AFB">
      <w:pPr>
        <w:pStyle w:val="DECHeading3"/>
      </w:pPr>
      <w:bookmarkStart w:id="374" w:name="_Toc138317848"/>
      <w:bookmarkStart w:id="375" w:name="_Toc172794880"/>
      <w:bookmarkStart w:id="376" w:name="_Toc172806413"/>
      <w:bookmarkStart w:id="377" w:name="_Toc172806699"/>
      <w:bookmarkStart w:id="378" w:name="_Toc172808530"/>
      <w:bookmarkStart w:id="379" w:name="_Toc174605672"/>
      <w:bookmarkStart w:id="380" w:name="_Toc176424810"/>
      <w:bookmarkStart w:id="381" w:name="_Toc176424969"/>
      <w:r w:rsidRPr="005B3CD8">
        <w:t>Prioritis</w:t>
      </w:r>
      <w:r w:rsidR="00EE5301">
        <w:t>ing</w:t>
      </w:r>
      <w:r w:rsidRPr="005B3CD8">
        <w:t xml:space="preserve"> </w:t>
      </w:r>
      <w:r w:rsidR="00086669">
        <w:t>local</w:t>
      </w:r>
      <w:r w:rsidR="00086669" w:rsidRPr="005B3CD8">
        <w:t xml:space="preserve"> </w:t>
      </w:r>
      <w:r w:rsidRPr="005B3CD8">
        <w:t xml:space="preserve">businesses and jobs through leading-edge procurement practices that consider </w:t>
      </w:r>
      <w:r w:rsidR="00086669">
        <w:t xml:space="preserve">ethical, economic, social and </w:t>
      </w:r>
      <w:bookmarkEnd w:id="374"/>
      <w:r w:rsidRPr="005B3CD8">
        <w:t>environmenta</w:t>
      </w:r>
      <w:r w:rsidR="003D69A3">
        <w:t>l</w:t>
      </w:r>
      <w:r w:rsidR="00086669">
        <w:t xml:space="preserve"> </w:t>
      </w:r>
      <w:r w:rsidR="00CA3A21">
        <w:t>o</w:t>
      </w:r>
      <w:r w:rsidR="00086669">
        <w:t>utcomes</w:t>
      </w:r>
      <w:r w:rsidR="001C6771">
        <w:t xml:space="preserve"> and leverage </w:t>
      </w:r>
      <w:r w:rsidR="00FF32AB">
        <w:t>g</w:t>
      </w:r>
      <w:r w:rsidR="001C6771">
        <w:t xml:space="preserve">overnment’s buying </w:t>
      </w:r>
      <w:proofErr w:type="gramStart"/>
      <w:r w:rsidR="001C6771">
        <w:t>power</w:t>
      </w:r>
      <w:bookmarkEnd w:id="375"/>
      <w:bookmarkEnd w:id="376"/>
      <w:bookmarkEnd w:id="377"/>
      <w:bookmarkEnd w:id="378"/>
      <w:bookmarkEnd w:id="379"/>
      <w:bookmarkEnd w:id="380"/>
      <w:bookmarkEnd w:id="381"/>
      <w:proofErr w:type="gramEnd"/>
    </w:p>
    <w:p w14:paraId="00301224" w14:textId="03F299F0" w:rsidR="00FF24EC" w:rsidRPr="00B91BF3" w:rsidRDefault="00FF24EC" w:rsidP="00FF24EC">
      <w:pPr>
        <w:pStyle w:val="BodyText"/>
      </w:pPr>
      <w:r>
        <w:t xml:space="preserve">We deliver this strategic objective through our </w:t>
      </w:r>
      <w:r w:rsidR="0727F1CC">
        <w:t>whole-of-government procurement</w:t>
      </w:r>
      <w:r>
        <w:t xml:space="preserve"> function</w:t>
      </w:r>
      <w:r w:rsidR="00EB3D67">
        <w:t xml:space="preserve"> by:</w:t>
      </w:r>
    </w:p>
    <w:p w14:paraId="55DDA046" w14:textId="07A3CCFB" w:rsidR="000E3084" w:rsidRPr="003234F5" w:rsidRDefault="000E3084" w:rsidP="34A9D6F6">
      <w:pPr>
        <w:pStyle w:val="ListParagraph"/>
        <w:rPr>
          <w:lang w:eastAsia="en-AU"/>
        </w:rPr>
      </w:pPr>
      <w:r w:rsidRPr="34A9D6F6">
        <w:rPr>
          <w:lang w:eastAsia="en-AU"/>
        </w:rPr>
        <w:t>Deliver</w:t>
      </w:r>
      <w:r w:rsidR="003234F5" w:rsidRPr="34A9D6F6">
        <w:rPr>
          <w:lang w:eastAsia="en-AU"/>
        </w:rPr>
        <w:t>ing</w:t>
      </w:r>
      <w:r w:rsidRPr="34A9D6F6">
        <w:rPr>
          <w:lang w:eastAsia="en-AU"/>
        </w:rPr>
        <w:t xml:space="preserve"> the </w:t>
      </w:r>
      <w:r w:rsidR="327514C1" w:rsidRPr="7DA2E0BA">
        <w:rPr>
          <w:lang w:eastAsia="en-AU"/>
        </w:rPr>
        <w:t>Queensland</w:t>
      </w:r>
      <w:r w:rsidRPr="34A9D6F6">
        <w:rPr>
          <w:lang w:eastAsia="en-AU"/>
        </w:rPr>
        <w:t xml:space="preserve"> Procurement Strategy – Jobs, Economy, Legacy, Confidence</w:t>
      </w:r>
    </w:p>
    <w:p w14:paraId="75BB0943" w14:textId="5CC976F0" w:rsidR="006E342C" w:rsidRPr="003234F5" w:rsidRDefault="00E915FB" w:rsidP="00113DF0">
      <w:pPr>
        <w:pStyle w:val="ListParagraph"/>
        <w:numPr>
          <w:ilvl w:val="0"/>
          <w:numId w:val="13"/>
        </w:numPr>
        <w:rPr>
          <w:lang w:eastAsia="en-AU"/>
        </w:rPr>
      </w:pPr>
      <w:r>
        <w:rPr>
          <w:lang w:eastAsia="en-AU"/>
        </w:rPr>
        <w:t xml:space="preserve">Streamlining </w:t>
      </w:r>
      <w:r w:rsidR="004E3A1B">
        <w:rPr>
          <w:lang w:eastAsia="en-AU"/>
        </w:rPr>
        <w:t>procurement systems and processes</w:t>
      </w:r>
      <w:r w:rsidR="00982F7E">
        <w:rPr>
          <w:lang w:eastAsia="en-AU"/>
        </w:rPr>
        <w:t>, and better connecting suppliers with government buyers</w:t>
      </w:r>
    </w:p>
    <w:p w14:paraId="345DAD09" w14:textId="4A322D8E" w:rsidR="00EB7384" w:rsidRDefault="00206E6C" w:rsidP="34A9D6F6">
      <w:pPr>
        <w:pStyle w:val="ListParagraph"/>
        <w:rPr>
          <w:lang w:eastAsia="en-AU"/>
        </w:rPr>
      </w:pPr>
      <w:r>
        <w:rPr>
          <w:lang w:eastAsia="en-AU"/>
        </w:rPr>
        <w:t xml:space="preserve">Recognition and Reward of </w:t>
      </w:r>
      <w:r w:rsidR="00174858">
        <w:rPr>
          <w:lang w:eastAsia="en-AU"/>
        </w:rPr>
        <w:t xml:space="preserve">Supplier </w:t>
      </w:r>
      <w:r>
        <w:rPr>
          <w:lang w:eastAsia="en-AU"/>
        </w:rPr>
        <w:t>Excellen</w:t>
      </w:r>
      <w:r w:rsidR="0014759C">
        <w:rPr>
          <w:lang w:eastAsia="en-AU"/>
        </w:rPr>
        <w:t>ce</w:t>
      </w:r>
    </w:p>
    <w:p w14:paraId="17EE1813" w14:textId="641531FB" w:rsidR="006E342C" w:rsidRPr="006E342C" w:rsidRDefault="00D33EFC" w:rsidP="34A9D6F6">
      <w:pPr>
        <w:pStyle w:val="ListParagraph"/>
        <w:rPr>
          <w:lang w:eastAsia="en-AU"/>
        </w:rPr>
      </w:pPr>
      <w:r>
        <w:rPr>
          <w:lang w:eastAsia="en-AU"/>
        </w:rPr>
        <w:t>Implementing</w:t>
      </w:r>
      <w:r w:rsidR="00D03732" w:rsidDel="00206E6C">
        <w:rPr>
          <w:lang w:eastAsia="en-AU"/>
        </w:rPr>
        <w:t xml:space="preserve"> </w:t>
      </w:r>
      <w:r w:rsidR="00B20CC8" w:rsidRPr="34A9D6F6">
        <w:rPr>
          <w:lang w:eastAsia="en-AU"/>
        </w:rPr>
        <w:t>the Q2032 Procurement Strategy</w:t>
      </w:r>
      <w:r w:rsidR="009626F7" w:rsidRPr="34A9D6F6">
        <w:rPr>
          <w:lang w:eastAsia="en-AU"/>
        </w:rPr>
        <w:t xml:space="preserve"> to assist Queensland businesses to prosper through a more sustainable</w:t>
      </w:r>
      <w:r w:rsidR="64CC5CCF" w:rsidRPr="34A9D6F6">
        <w:rPr>
          <w:lang w:eastAsia="en-AU"/>
        </w:rPr>
        <w:t xml:space="preserve"> Brisbane</w:t>
      </w:r>
      <w:r w:rsidR="009626F7" w:rsidRPr="34A9D6F6">
        <w:rPr>
          <w:lang w:eastAsia="en-AU"/>
        </w:rPr>
        <w:t xml:space="preserve"> 2032 </w:t>
      </w:r>
      <w:r w:rsidR="1A4ECA6E" w:rsidRPr="34A9D6F6">
        <w:rPr>
          <w:lang w:eastAsia="en-AU"/>
        </w:rPr>
        <w:t xml:space="preserve">Olympic and Paralympic </w:t>
      </w:r>
      <w:r w:rsidR="009626F7" w:rsidRPr="34A9D6F6">
        <w:rPr>
          <w:lang w:eastAsia="en-AU"/>
        </w:rPr>
        <w:t>Games</w:t>
      </w:r>
      <w:r w:rsidR="00D37D74">
        <w:rPr>
          <w:lang w:eastAsia="en-AU"/>
        </w:rPr>
        <w:t>.</w:t>
      </w:r>
    </w:p>
    <w:p w14:paraId="304FFEA4" w14:textId="5A284C64" w:rsidR="00FF24EC" w:rsidRPr="00E6680C" w:rsidRDefault="000E3084" w:rsidP="000873C9">
      <w:pPr>
        <w:ind w:left="360"/>
      </w:pPr>
      <w:r>
        <w:t xml:space="preserve"> </w:t>
      </w:r>
    </w:p>
    <w:tbl>
      <w:tblPr>
        <w:tblStyle w:val="TableGrid"/>
        <w:tblW w:w="9626" w:type="dxa"/>
        <w:tblLook w:val="04A0" w:firstRow="1" w:lastRow="0" w:firstColumn="1" w:lastColumn="0" w:noHBand="0" w:noVBand="1"/>
      </w:tblPr>
      <w:tblGrid>
        <w:gridCol w:w="5587"/>
        <w:gridCol w:w="1809"/>
        <w:gridCol w:w="2230"/>
      </w:tblGrid>
      <w:tr w:rsidR="00FF24EC" w:rsidRPr="0080079E" w14:paraId="790FE1A0" w14:textId="77777777" w:rsidTr="000833B5">
        <w:tc>
          <w:tcPr>
            <w:tcW w:w="5587" w:type="dxa"/>
            <w:shd w:val="clear" w:color="auto" w:fill="7F7F7F" w:themeFill="text2" w:themeFillTint="80"/>
          </w:tcPr>
          <w:p w14:paraId="07E8AC61" w14:textId="0F92BBA7" w:rsidR="00FF24EC" w:rsidRPr="0080079E" w:rsidRDefault="00FF24EC" w:rsidP="00A77AC6">
            <w:pPr>
              <w:pStyle w:val="DECTableheader"/>
              <w:rPr>
                <w:lang w:eastAsia="en-AU"/>
              </w:rPr>
            </w:pPr>
            <w:bookmarkStart w:id="382" w:name="_Hlk78533400"/>
            <w:r w:rsidRPr="0080079E">
              <w:rPr>
                <w:lang w:eastAsia="en-AU"/>
              </w:rPr>
              <w:t xml:space="preserve">Strategic </w:t>
            </w:r>
            <w:r w:rsidR="00BC3441">
              <w:rPr>
                <w:lang w:eastAsia="en-AU"/>
              </w:rPr>
              <w:t>o</w:t>
            </w:r>
            <w:r w:rsidRPr="0080079E">
              <w:rPr>
                <w:lang w:eastAsia="en-AU"/>
              </w:rPr>
              <w:t xml:space="preserve">bjective </w:t>
            </w:r>
            <w:r w:rsidR="00BC3441">
              <w:rPr>
                <w:lang w:eastAsia="en-AU"/>
              </w:rPr>
              <w:t>p</w:t>
            </w:r>
            <w:r w:rsidRPr="0080079E">
              <w:rPr>
                <w:lang w:eastAsia="en-AU"/>
              </w:rPr>
              <w:t xml:space="preserve">erformance </w:t>
            </w:r>
            <w:r w:rsidR="00BC3441">
              <w:rPr>
                <w:lang w:eastAsia="en-AU"/>
              </w:rPr>
              <w:t>i</w:t>
            </w:r>
            <w:r w:rsidRPr="0080079E">
              <w:rPr>
                <w:lang w:eastAsia="en-AU"/>
              </w:rPr>
              <w:t>ndicator</w:t>
            </w:r>
            <w:bookmarkEnd w:id="382"/>
          </w:p>
        </w:tc>
        <w:tc>
          <w:tcPr>
            <w:tcW w:w="1809" w:type="dxa"/>
            <w:shd w:val="clear" w:color="auto" w:fill="7F7F7F" w:themeFill="text2" w:themeFillTint="80"/>
          </w:tcPr>
          <w:p w14:paraId="0429ADB4" w14:textId="38961BCD" w:rsidR="00FF24EC" w:rsidRPr="00A77AC6" w:rsidRDefault="00FF24EC" w:rsidP="000833B5">
            <w:pPr>
              <w:rPr>
                <w:rFonts w:ascii="Arial Nova" w:hAnsi="Arial Nova" w:cs="Arial"/>
                <w:color w:val="FFFFFF" w:themeColor="background1"/>
                <w:lang w:eastAsia="en-AU"/>
              </w:rPr>
            </w:pPr>
            <w:r w:rsidRPr="00A77AC6">
              <w:rPr>
                <w:rFonts w:ascii="Arial Nova" w:hAnsi="Arial Nova" w:cs="Arial"/>
                <w:color w:val="FFFFFF" w:themeColor="background1"/>
                <w:lang w:eastAsia="en-AU"/>
              </w:rPr>
              <w:t>202</w:t>
            </w:r>
            <w:r w:rsidR="00C30A19" w:rsidRPr="00A77AC6">
              <w:rPr>
                <w:rFonts w:ascii="Arial Nova" w:hAnsi="Arial Nova" w:cs="Arial"/>
                <w:color w:val="FFFFFF" w:themeColor="background1"/>
                <w:lang w:eastAsia="en-AU"/>
              </w:rPr>
              <w:t>3</w:t>
            </w:r>
            <w:r w:rsidRPr="00A77AC6">
              <w:rPr>
                <w:rFonts w:ascii="Arial Nova" w:hAnsi="Arial Nova" w:cs="Arial"/>
                <w:color w:val="FFFFFF" w:themeColor="background1"/>
                <w:lang w:eastAsia="en-AU"/>
              </w:rPr>
              <w:t>–2</w:t>
            </w:r>
            <w:r w:rsidR="00C30A19" w:rsidRPr="00A77AC6">
              <w:rPr>
                <w:rFonts w:ascii="Arial Nova" w:hAnsi="Arial Nova" w:cs="Arial"/>
                <w:color w:val="FFFFFF" w:themeColor="background1"/>
                <w:lang w:eastAsia="en-AU"/>
              </w:rPr>
              <w:t>4</w:t>
            </w:r>
            <w:r w:rsidRPr="00A77AC6">
              <w:rPr>
                <w:rFonts w:ascii="Arial Nova" w:hAnsi="Arial Nova" w:cs="Arial"/>
                <w:color w:val="FFFFFF" w:themeColor="background1"/>
                <w:lang w:eastAsia="en-AU"/>
              </w:rPr>
              <w:t xml:space="preserve"> </w:t>
            </w:r>
            <w:r w:rsidR="00BC3441">
              <w:rPr>
                <w:rFonts w:ascii="Arial Nova" w:hAnsi="Arial Nova" w:cs="Arial"/>
                <w:color w:val="FFFFFF" w:themeColor="background1"/>
                <w:lang w:eastAsia="en-AU"/>
              </w:rPr>
              <w:t>t</w:t>
            </w:r>
            <w:r w:rsidRPr="00A77AC6">
              <w:rPr>
                <w:rFonts w:ascii="Arial Nova" w:hAnsi="Arial Nova" w:cs="Arial"/>
                <w:color w:val="FFFFFF" w:themeColor="background1"/>
                <w:lang w:eastAsia="en-AU"/>
              </w:rPr>
              <w:t>arget</w:t>
            </w:r>
          </w:p>
        </w:tc>
        <w:tc>
          <w:tcPr>
            <w:tcW w:w="2230" w:type="dxa"/>
            <w:shd w:val="clear" w:color="auto" w:fill="7F7F7F" w:themeFill="text2" w:themeFillTint="80"/>
          </w:tcPr>
          <w:p w14:paraId="4DF9892A" w14:textId="59FBEDDE" w:rsidR="00FF24EC" w:rsidRPr="00A77AC6" w:rsidRDefault="00FF24EC" w:rsidP="000833B5">
            <w:pPr>
              <w:rPr>
                <w:rFonts w:ascii="Arial Nova" w:hAnsi="Arial Nova" w:cs="Arial"/>
                <w:color w:val="FFFFFF" w:themeColor="background1"/>
                <w:lang w:eastAsia="en-AU"/>
              </w:rPr>
            </w:pPr>
            <w:r w:rsidRPr="00A77AC6">
              <w:rPr>
                <w:rFonts w:ascii="Arial Nova" w:hAnsi="Arial Nova" w:cs="Arial"/>
                <w:color w:val="FFFFFF" w:themeColor="background1"/>
                <w:lang w:eastAsia="en-AU"/>
              </w:rPr>
              <w:t xml:space="preserve">Result </w:t>
            </w:r>
            <w:r w:rsidR="00C30A19" w:rsidRPr="00A77AC6">
              <w:rPr>
                <w:rFonts w:ascii="Arial Nova" w:hAnsi="Arial Nova" w:cs="Arial"/>
                <w:color w:val="FFFFFF" w:themeColor="background1"/>
                <w:lang w:eastAsia="en-AU"/>
              </w:rPr>
              <w:t>2023</w:t>
            </w:r>
            <w:r w:rsidR="00E96DB5">
              <w:rPr>
                <w:rFonts w:ascii="Arial Nova" w:hAnsi="Arial Nova" w:cs="Arial"/>
                <w:color w:val="FFFFFF" w:themeColor="background1"/>
                <w:lang w:eastAsia="en-AU"/>
              </w:rPr>
              <w:t>–</w:t>
            </w:r>
            <w:r w:rsidR="00C30A19" w:rsidRPr="00A77AC6">
              <w:rPr>
                <w:rFonts w:ascii="Arial Nova" w:hAnsi="Arial Nova" w:cs="Arial"/>
                <w:color w:val="FFFFFF" w:themeColor="background1"/>
                <w:lang w:eastAsia="en-AU"/>
              </w:rPr>
              <w:t>24</w:t>
            </w:r>
          </w:p>
        </w:tc>
      </w:tr>
      <w:tr w:rsidR="0069699F" w:rsidRPr="004739E3" w14:paraId="6ABCAA0D" w14:textId="77777777" w:rsidTr="00B66884">
        <w:tc>
          <w:tcPr>
            <w:tcW w:w="5587" w:type="dxa"/>
            <w:vAlign w:val="center"/>
          </w:tcPr>
          <w:p w14:paraId="136F3BD1" w14:textId="43A56010" w:rsidR="0069699F" w:rsidRPr="004739E3" w:rsidRDefault="00D84FCF" w:rsidP="0069699F">
            <w:pPr>
              <w:pStyle w:val="BodyText"/>
              <w:rPr>
                <w:lang w:eastAsia="en-AU"/>
              </w:rPr>
            </w:pPr>
            <w:r>
              <w:rPr>
                <w:lang w:eastAsia="en-AU"/>
              </w:rPr>
              <w:t>Overall</w:t>
            </w:r>
            <w:r w:rsidR="0069699F">
              <w:rPr>
                <w:lang w:eastAsia="en-AU"/>
              </w:rPr>
              <w:t xml:space="preserve"> customer satisfaction with </w:t>
            </w:r>
            <w:r w:rsidR="00264C3C">
              <w:rPr>
                <w:lang w:eastAsia="en-AU"/>
              </w:rPr>
              <w:t xml:space="preserve">Procurement </w:t>
            </w:r>
            <w:r w:rsidR="0069699F">
              <w:rPr>
                <w:lang w:eastAsia="en-AU"/>
              </w:rPr>
              <w:t>enabling activities</w:t>
            </w:r>
          </w:p>
        </w:tc>
        <w:tc>
          <w:tcPr>
            <w:tcW w:w="1809" w:type="dxa"/>
            <w:shd w:val="clear" w:color="auto" w:fill="FFFFFF" w:themeFill="background1"/>
          </w:tcPr>
          <w:p w14:paraId="2D568ACE" w14:textId="3FA8E99E" w:rsidR="0069699F" w:rsidRPr="00B66884" w:rsidRDefault="00993342" w:rsidP="0069699F">
            <w:pPr>
              <w:pStyle w:val="BodyText"/>
              <w:jc w:val="right"/>
            </w:pPr>
            <w:r>
              <w:t>9</w:t>
            </w:r>
            <w:r w:rsidR="00F11358">
              <w:t>0%</w:t>
            </w:r>
          </w:p>
        </w:tc>
        <w:tc>
          <w:tcPr>
            <w:tcW w:w="2230" w:type="dxa"/>
            <w:shd w:val="clear" w:color="auto" w:fill="auto"/>
          </w:tcPr>
          <w:p w14:paraId="6C17DE6B" w14:textId="2F6DC729" w:rsidR="0069699F" w:rsidRPr="00361308" w:rsidRDefault="00B66884" w:rsidP="0069699F">
            <w:pPr>
              <w:pStyle w:val="BodyText"/>
              <w:jc w:val="right"/>
            </w:pPr>
            <w:r w:rsidRPr="00B66884">
              <w:t>90.3%</w:t>
            </w:r>
          </w:p>
        </w:tc>
      </w:tr>
    </w:tbl>
    <w:p w14:paraId="7B26846C" w14:textId="77777777" w:rsidR="00D76401" w:rsidRDefault="00D76401" w:rsidP="003234F5">
      <w:pPr>
        <w:pStyle w:val="Heading2"/>
      </w:pPr>
    </w:p>
    <w:p w14:paraId="638092BE" w14:textId="77777777" w:rsidR="00396A81" w:rsidRDefault="00396A81">
      <w:pPr>
        <w:spacing w:before="0" w:after="160" w:line="259" w:lineRule="auto"/>
        <w:rPr>
          <w:rFonts w:eastAsiaTheme="majorEastAsia" w:cstheme="majorBidi"/>
          <w:color w:val="808080" w:themeColor="background1" w:themeShade="80"/>
          <w:sz w:val="36"/>
          <w:szCs w:val="36"/>
        </w:rPr>
      </w:pPr>
      <w:bookmarkStart w:id="383" w:name="_Toc111189219"/>
      <w:r w:rsidRPr="008A4211">
        <w:br w:type="page"/>
      </w:r>
    </w:p>
    <w:p w14:paraId="38791C77" w14:textId="49AE449F" w:rsidR="004A48EF" w:rsidRDefault="00FF24EC" w:rsidP="002B4629">
      <w:pPr>
        <w:pStyle w:val="DECHeading2"/>
      </w:pPr>
      <w:bookmarkStart w:id="384" w:name="_Toc138317849"/>
      <w:bookmarkStart w:id="385" w:name="_Toc172794881"/>
      <w:bookmarkStart w:id="386" w:name="_Toc172806414"/>
      <w:bookmarkStart w:id="387" w:name="_Toc172806700"/>
      <w:bookmarkStart w:id="388" w:name="_Toc172808531"/>
      <w:bookmarkStart w:id="389" w:name="_Toc174605673"/>
      <w:bookmarkStart w:id="390" w:name="_Toc176424811"/>
      <w:bookmarkStart w:id="391" w:name="_Toc176424970"/>
      <w:r w:rsidRPr="001F2A11">
        <w:lastRenderedPageBreak/>
        <w:t xml:space="preserve">Our </w:t>
      </w:r>
      <w:bookmarkEnd w:id="383"/>
      <w:r w:rsidR="0098610C">
        <w:t>a</w:t>
      </w:r>
      <w:r w:rsidRPr="001F2A11">
        <w:t>chievements</w:t>
      </w:r>
      <w:r w:rsidR="002706ED">
        <w:t xml:space="preserve"> – </w:t>
      </w:r>
      <w:r w:rsidR="002706ED" w:rsidRPr="003234F5">
        <w:t>Procurement</w:t>
      </w:r>
      <w:bookmarkEnd w:id="384"/>
      <w:bookmarkEnd w:id="385"/>
      <w:bookmarkEnd w:id="386"/>
      <w:bookmarkEnd w:id="387"/>
      <w:bookmarkEnd w:id="388"/>
      <w:bookmarkEnd w:id="389"/>
      <w:bookmarkEnd w:id="390"/>
      <w:bookmarkEnd w:id="391"/>
    </w:p>
    <w:p w14:paraId="42372F0D" w14:textId="7487559D" w:rsidR="004B0C87" w:rsidRDefault="004B0C87" w:rsidP="006B5214">
      <w:pPr>
        <w:pStyle w:val="DECHeading3"/>
        <w:shd w:val="clear" w:color="auto" w:fill="F2F2F2" w:themeFill="background1" w:themeFillShade="F2"/>
      </w:pPr>
      <w:bookmarkStart w:id="392" w:name="_Toc174605674"/>
      <w:bookmarkStart w:id="393" w:name="_Toc176424812"/>
      <w:bookmarkStart w:id="394" w:name="_Toc176424971"/>
      <w:r w:rsidRPr="00983EFF">
        <w:t>A future procurement system</w:t>
      </w:r>
      <w:r w:rsidR="00554884" w:rsidRPr="00983EFF">
        <w:t xml:space="preserve">: making </w:t>
      </w:r>
      <w:r w:rsidR="000C76DF" w:rsidRPr="00983EFF">
        <w:t xml:space="preserve">it easier for suppliers to do business with </w:t>
      </w:r>
      <w:proofErr w:type="gramStart"/>
      <w:r w:rsidR="000C76DF" w:rsidRPr="00983EFF">
        <w:t>government</w:t>
      </w:r>
      <w:bookmarkEnd w:id="392"/>
      <w:bookmarkEnd w:id="393"/>
      <w:bookmarkEnd w:id="394"/>
      <w:proofErr w:type="gramEnd"/>
    </w:p>
    <w:p w14:paraId="0CBB5897" w14:textId="4122AE2B" w:rsidR="000C76DF" w:rsidRDefault="5AD383F0" w:rsidP="006B5214">
      <w:pPr>
        <w:pStyle w:val="BodyText"/>
        <w:shd w:val="clear" w:color="auto" w:fill="F2F2F2" w:themeFill="background1" w:themeFillShade="F2"/>
      </w:pPr>
      <w:r>
        <w:t xml:space="preserve">The </w:t>
      </w:r>
      <w:r w:rsidR="6E822A81" w:rsidRPr="2DB8136D">
        <w:rPr>
          <w:i/>
          <w:iCs/>
        </w:rPr>
        <w:t>Future Procurement System</w:t>
      </w:r>
      <w:r w:rsidR="6E822A81">
        <w:t xml:space="preserve"> </w:t>
      </w:r>
      <w:r w:rsidR="2666AEF2">
        <w:t>P</w:t>
      </w:r>
      <w:r w:rsidR="6E822A81">
        <w:t>roject is delivering a</w:t>
      </w:r>
      <w:r w:rsidR="43DE2956">
        <w:t>n enhanced</w:t>
      </w:r>
      <w:r w:rsidR="6E822A81">
        <w:t xml:space="preserve"> solution </w:t>
      </w:r>
      <w:r w:rsidR="61D35F36">
        <w:t xml:space="preserve">for procurement and contract management that makes it easier for both suppliers and Queensland </w:t>
      </w:r>
      <w:r w:rsidR="007071DB">
        <w:t>G</w:t>
      </w:r>
      <w:r w:rsidR="61D35F36">
        <w:t xml:space="preserve">overnment buyers. </w:t>
      </w:r>
      <w:r w:rsidR="6DB3ABA1">
        <w:t xml:space="preserve">The previous solutions of </w:t>
      </w:r>
      <w:proofErr w:type="spellStart"/>
      <w:r w:rsidR="6DB3ABA1">
        <w:t>QContract</w:t>
      </w:r>
      <w:proofErr w:type="spellEnd"/>
      <w:r w:rsidR="6DB3ABA1">
        <w:t xml:space="preserve"> and </w:t>
      </w:r>
      <w:proofErr w:type="spellStart"/>
      <w:r w:rsidR="6DB3ABA1">
        <w:t>QTenders</w:t>
      </w:r>
      <w:proofErr w:type="spellEnd"/>
      <w:r w:rsidR="6DB3ABA1">
        <w:t xml:space="preserve"> were </w:t>
      </w:r>
      <w:r w:rsidR="2E0B9D2C">
        <w:t xml:space="preserve">due for replacement, and </w:t>
      </w:r>
      <w:r w:rsidR="5498792F">
        <w:t>through a full open market tender process</w:t>
      </w:r>
      <w:r w:rsidR="27761657">
        <w:t>,</w:t>
      </w:r>
      <w:r w:rsidR="67B4673C">
        <w:t xml:space="preserve"> Local Buy was </w:t>
      </w:r>
      <w:r w:rsidR="13E93CFF">
        <w:t>successful in being appointed as the supplier of the Future Procurement System</w:t>
      </w:r>
      <w:r w:rsidR="4028A054">
        <w:t>, powered by Vendor Panel</w:t>
      </w:r>
      <w:r w:rsidR="1AC60432">
        <w:t>.</w:t>
      </w:r>
    </w:p>
    <w:p w14:paraId="0D0B58EC" w14:textId="338B7703" w:rsidR="00323978" w:rsidRDefault="3B173001" w:rsidP="006B5214">
      <w:pPr>
        <w:pStyle w:val="BodyText"/>
        <w:shd w:val="clear" w:color="auto" w:fill="F2F2F2" w:themeFill="background1" w:themeFillShade="F2"/>
      </w:pPr>
      <w:r>
        <w:t>Th</w:t>
      </w:r>
      <w:r w:rsidR="1C0D27DF">
        <w:t>is</w:t>
      </w:r>
      <w:r>
        <w:t xml:space="preserve"> streamlined </w:t>
      </w:r>
      <w:r w:rsidR="16F49831">
        <w:t>procurement platform</w:t>
      </w:r>
      <w:r w:rsidR="16F49831" w:rsidRPr="006B15C5">
        <w:rPr>
          <w:rFonts w:eastAsia="Arial Nova Light" w:cs="Arial Nova Light"/>
          <w:szCs w:val="20"/>
        </w:rPr>
        <w:t xml:space="preserve"> makes it simpler and eas</w:t>
      </w:r>
      <w:r w:rsidR="16F49831">
        <w:t>ier for suppliers</w:t>
      </w:r>
      <w:r w:rsidR="6DCED4B0">
        <w:t xml:space="preserve">, </w:t>
      </w:r>
      <w:r w:rsidR="6EBACA71">
        <w:t xml:space="preserve">streamlining </w:t>
      </w:r>
      <w:r w:rsidR="6DCED4B0">
        <w:t>registration and</w:t>
      </w:r>
      <w:r w:rsidR="4723C3B7">
        <w:t xml:space="preserve"> </w:t>
      </w:r>
      <w:r w:rsidR="6DCED4B0">
        <w:t xml:space="preserve">information </w:t>
      </w:r>
      <w:r w:rsidR="3CBC8340">
        <w:t xml:space="preserve">access </w:t>
      </w:r>
      <w:r w:rsidR="6DCED4B0">
        <w:t xml:space="preserve">through </w:t>
      </w:r>
      <w:r w:rsidR="081CFE1B">
        <w:t xml:space="preserve">a single hub where suppliers can receive notification and information about </w:t>
      </w:r>
      <w:r w:rsidR="184FE6F5">
        <w:t xml:space="preserve">state and local </w:t>
      </w:r>
      <w:r w:rsidR="081CFE1B">
        <w:t>government tenders</w:t>
      </w:r>
      <w:r w:rsidR="4D2E70B1">
        <w:t xml:space="preserve">. </w:t>
      </w:r>
      <w:r w:rsidR="1A186E1C">
        <w:t xml:space="preserve">To enhance supplier visibility to potential customers, </w:t>
      </w:r>
      <w:r w:rsidR="0F6DF48A">
        <w:t>a</w:t>
      </w:r>
      <w:r w:rsidR="081CFE1B">
        <w:t xml:space="preserve"> supplier marketplace </w:t>
      </w:r>
      <w:r w:rsidR="60CD0ED4">
        <w:t xml:space="preserve">enables </w:t>
      </w:r>
      <w:r w:rsidR="081CFE1B">
        <w:t xml:space="preserve">buyers to search for suppliers based on products or services. This new system supports delivery of </w:t>
      </w:r>
      <w:r w:rsidR="081CFE1B" w:rsidRPr="006B15C5">
        <w:rPr>
          <w:i/>
          <w:iCs/>
        </w:rPr>
        <w:t>Buy Queensland 2023</w:t>
      </w:r>
      <w:r w:rsidR="081CFE1B">
        <w:t xml:space="preserve">. </w:t>
      </w:r>
    </w:p>
    <w:p w14:paraId="74826EEC" w14:textId="7139ED3C" w:rsidR="004B0C87" w:rsidRDefault="00747715" w:rsidP="00DB7212">
      <w:pPr>
        <w:pStyle w:val="BodyText"/>
        <w:shd w:val="clear" w:color="auto" w:fill="F2F2F2" w:themeFill="background1" w:themeFillShade="F2"/>
      </w:pPr>
      <w:r>
        <w:t>In 2023-24 a new platform was delivered and by end of June 2024, over 30,000 Queensland businesses were registered with supplier profiles in the new system</w:t>
      </w:r>
      <w:r w:rsidR="00D81112">
        <w:t xml:space="preserve"> and </w:t>
      </w:r>
      <w:r w:rsidR="002E1B8A">
        <w:t>nine</w:t>
      </w:r>
      <w:r w:rsidR="00D81112">
        <w:t xml:space="preserve"> government agencies were </w:t>
      </w:r>
      <w:r w:rsidR="003C258D">
        <w:t>already using the system, with other agencies undertaking readiness and training activities</w:t>
      </w:r>
      <w:r>
        <w:t>. All government agencies are on track to be onboarded by the end of 2024.</w:t>
      </w:r>
    </w:p>
    <w:p w14:paraId="50CC7D83" w14:textId="16DB4212" w:rsidR="00FD0C22" w:rsidRDefault="00FD0C22" w:rsidP="008718A3">
      <w:pPr>
        <w:pStyle w:val="DECHeading3"/>
        <w:shd w:val="clear" w:color="auto" w:fill="F2F2F2"/>
        <w:rPr>
          <w:rFonts w:ascii="Arial Nova Light" w:hAnsi="Arial Nova Light"/>
        </w:rPr>
      </w:pPr>
      <w:bookmarkStart w:id="395" w:name="_Toc174605675"/>
      <w:bookmarkStart w:id="396" w:name="_Toc176424813"/>
      <w:bookmarkStart w:id="397" w:name="_Toc176424972"/>
      <w:r>
        <w:t>QFleet hits 1</w:t>
      </w:r>
      <w:r w:rsidR="008207A1">
        <w:t>,</w:t>
      </w:r>
      <w:r>
        <w:t>000</w:t>
      </w:r>
      <w:r>
        <w:rPr>
          <w:vertAlign w:val="superscript"/>
        </w:rPr>
        <w:t>th</w:t>
      </w:r>
      <w:r>
        <w:t xml:space="preserve"> </w:t>
      </w:r>
      <w:bookmarkStart w:id="398" w:name="_Int_wNTOdnQn"/>
      <w:r>
        <w:t>E</w:t>
      </w:r>
      <w:r w:rsidR="007E2559">
        <w:t xml:space="preserve">lectric </w:t>
      </w:r>
      <w:r>
        <w:t>V</w:t>
      </w:r>
      <w:bookmarkEnd w:id="398"/>
      <w:r w:rsidR="007E2559">
        <w:t>ehicle</w:t>
      </w:r>
      <w:r>
        <w:t xml:space="preserve"> </w:t>
      </w:r>
      <w:proofErr w:type="gramStart"/>
      <w:r>
        <w:t>milestone</w:t>
      </w:r>
      <w:bookmarkEnd w:id="395"/>
      <w:bookmarkEnd w:id="396"/>
      <w:bookmarkEnd w:id="397"/>
      <w:proofErr w:type="gramEnd"/>
    </w:p>
    <w:p w14:paraId="732E6B33" w14:textId="59D44456" w:rsidR="00FD0C22" w:rsidRDefault="00FD0C22" w:rsidP="008718A3">
      <w:pPr>
        <w:pStyle w:val="BodyText"/>
        <w:shd w:val="clear" w:color="auto" w:fill="F2F2F2"/>
      </w:pPr>
      <w:r>
        <w:t xml:space="preserve">The Queensland </w:t>
      </w:r>
      <w:r w:rsidR="007071DB">
        <w:t>G</w:t>
      </w:r>
      <w:r>
        <w:t>overnment’s vehicle fleet manager, QFleet, is driving the transition to cleaner vehicles</w:t>
      </w:r>
      <w:r w:rsidR="008207A1">
        <w:t>,</w:t>
      </w:r>
      <w:r>
        <w:t xml:space="preserve"> reaching a significant milestone with the addition of its 1,000th electric vehicle (EV) in March 2024.</w:t>
      </w:r>
    </w:p>
    <w:p w14:paraId="0B1572D3" w14:textId="3B23437A" w:rsidR="00FD0C22" w:rsidRDefault="00FD0C22" w:rsidP="008718A3">
      <w:pPr>
        <w:pStyle w:val="BodyText"/>
        <w:shd w:val="clear" w:color="auto" w:fill="F2F2F2"/>
      </w:pPr>
      <w:proofErr w:type="spellStart"/>
      <w:r>
        <w:t>QFleet’s</w:t>
      </w:r>
      <w:proofErr w:type="spellEnd"/>
      <w:r>
        <w:t xml:space="preserve"> shift from internal combustion engines</w:t>
      </w:r>
      <w:r w:rsidR="00E90643">
        <w:t xml:space="preserve"> (ICE)</w:t>
      </w:r>
      <w:r>
        <w:t xml:space="preserve"> to </w:t>
      </w:r>
      <w:bookmarkStart w:id="399" w:name="_Int_szImpJtA"/>
      <w:r>
        <w:t>EVs</w:t>
      </w:r>
      <w:bookmarkEnd w:id="399"/>
      <w:r>
        <w:t xml:space="preserve"> has progressed well and remains on track, with Queensland earning recognition from the Electric Vehicle Council as having one of the best policy approaches to EVs in the nation.</w:t>
      </w:r>
    </w:p>
    <w:p w14:paraId="231649A8" w14:textId="0E50E187" w:rsidR="00FD0C22" w:rsidRDefault="00FD0C22" w:rsidP="008718A3">
      <w:pPr>
        <w:pStyle w:val="BodyText"/>
        <w:shd w:val="clear" w:color="auto" w:fill="F2F2F2"/>
      </w:pPr>
      <w:r>
        <w:t>QFleet has expanded its range of EVs available for lease by agencies to include options such as the full-battery Kia Niro, boasting a 450km range, that is being used by the Department of Industrial Relations to roll out a workplace safety program for electricians.</w:t>
      </w:r>
    </w:p>
    <w:p w14:paraId="11DCB77E" w14:textId="1BB9609E" w:rsidR="00FD0C22" w:rsidRDefault="00FD0C22" w:rsidP="008718A3">
      <w:pPr>
        <w:pStyle w:val="BodyText"/>
        <w:shd w:val="clear" w:color="auto" w:fill="F2F2F2"/>
      </w:pPr>
      <w:r>
        <w:t xml:space="preserve">QFleet </w:t>
      </w:r>
      <w:bookmarkStart w:id="400" w:name="_Int_PDgk1EKC"/>
      <w:r>
        <w:t>remains</w:t>
      </w:r>
      <w:bookmarkEnd w:id="400"/>
      <w:r>
        <w:t xml:space="preserve"> committed to the </w:t>
      </w:r>
      <w:r w:rsidRPr="00A90B3C">
        <w:rPr>
          <w:i/>
        </w:rPr>
        <w:t>Zero Emission Vehicle Strategy 2022</w:t>
      </w:r>
      <w:r w:rsidR="00662683" w:rsidRPr="00A90B3C">
        <w:rPr>
          <w:i/>
        </w:rPr>
        <w:t>–</w:t>
      </w:r>
      <w:r w:rsidRPr="00A90B3C">
        <w:rPr>
          <w:i/>
        </w:rPr>
        <w:t>2032</w:t>
      </w:r>
      <w:r w:rsidR="00A26D35">
        <w:t xml:space="preserve"> </w:t>
      </w:r>
      <w:r>
        <w:t xml:space="preserve">and </w:t>
      </w:r>
      <w:r w:rsidR="00A26D35" w:rsidRPr="00A90B3C">
        <w:rPr>
          <w:i/>
        </w:rPr>
        <w:t xml:space="preserve">Zero Emission Vehicle </w:t>
      </w:r>
      <w:r w:rsidRPr="00A90B3C">
        <w:rPr>
          <w:i/>
        </w:rPr>
        <w:t>Action Plan 2022</w:t>
      </w:r>
      <w:r w:rsidR="00662683" w:rsidRPr="00A90B3C">
        <w:rPr>
          <w:i/>
        </w:rPr>
        <w:t>–</w:t>
      </w:r>
      <w:r w:rsidRPr="00A90B3C">
        <w:rPr>
          <w:i/>
        </w:rPr>
        <w:t xml:space="preserve">2024, </w:t>
      </w:r>
      <w:r>
        <w:t>aiming to achieve 100 per cent zero exhaust emission vehicles in its eligible passenger vehicles by 2026.</w:t>
      </w:r>
    </w:p>
    <w:p w14:paraId="288FD35D" w14:textId="391C4E36" w:rsidR="00FD0C22" w:rsidRDefault="00FD0C22" w:rsidP="008718A3">
      <w:pPr>
        <w:pStyle w:val="BodyText"/>
        <w:shd w:val="clear" w:color="auto" w:fill="F2F2F2"/>
      </w:pPr>
      <w:r>
        <w:t>As of 30 June 2024, QFleet has transitioned 54 per cent of eligible vehicles.</w:t>
      </w:r>
    </w:p>
    <w:p w14:paraId="5EC90591" w14:textId="715F5598" w:rsidR="00FD0C22" w:rsidRDefault="00FD0C22" w:rsidP="008718A3">
      <w:pPr>
        <w:pStyle w:val="BodyText"/>
        <w:shd w:val="clear" w:color="auto" w:fill="F2F2F2"/>
      </w:pPr>
      <w:r>
        <w:t xml:space="preserve">These EVs are being used across the state, from Thursday Island to the Gold Coast, helping those in frontline roles deliver essential services, from social housing to healthcare and education, every day. </w:t>
      </w:r>
    </w:p>
    <w:p w14:paraId="0DBA9097" w14:textId="58911AEA" w:rsidR="00E71B72" w:rsidRDefault="00FD0C22" w:rsidP="008718A3">
      <w:pPr>
        <w:pStyle w:val="BodyText"/>
        <w:shd w:val="clear" w:color="auto" w:fill="F2F2F2"/>
      </w:pPr>
      <w:r>
        <w:t>Once these vehicles reach their end-of-lease, they will become available to purchase as second-hand vehicles through a public auction. To</w:t>
      </w:r>
      <w:r w:rsidR="00B963D8">
        <w:t xml:space="preserve"> </w:t>
      </w:r>
      <w:r>
        <w:t>date QFleet has sold 42 EVs through auction</w:t>
      </w:r>
      <w:r w:rsidR="00CC538E">
        <w:t>,</w:t>
      </w:r>
      <w:r>
        <w:t xml:space="preserve"> providing affordable used EV options to the community.</w:t>
      </w:r>
    </w:p>
    <w:p w14:paraId="537DCD09" w14:textId="48C06BEA" w:rsidR="00A67623" w:rsidRPr="008651F2" w:rsidRDefault="001E19A4" w:rsidP="002D6E57">
      <w:pPr>
        <w:pStyle w:val="DECHeading3"/>
      </w:pPr>
      <w:bookmarkStart w:id="401" w:name="_Toc172806416"/>
      <w:bookmarkStart w:id="402" w:name="_Toc172806702"/>
      <w:bookmarkStart w:id="403" w:name="_Toc172808533"/>
      <w:bookmarkStart w:id="404" w:name="_Toc174605676"/>
      <w:bookmarkStart w:id="405" w:name="_Toc176424814"/>
      <w:bookmarkStart w:id="406" w:name="_Toc176424973"/>
      <w:r>
        <w:lastRenderedPageBreak/>
        <w:t>Deliver</w:t>
      </w:r>
      <w:r w:rsidR="468A7087">
        <w:t>ing</w:t>
      </w:r>
      <w:r w:rsidRPr="00C53625">
        <w:t xml:space="preserve"> the</w:t>
      </w:r>
      <w:r w:rsidRPr="008651F2">
        <w:t xml:space="preserve"> Queensland </w:t>
      </w:r>
      <w:r w:rsidRPr="002D6E57">
        <w:t>Procurement</w:t>
      </w:r>
      <w:r w:rsidRPr="008651F2">
        <w:t xml:space="preserve"> Strategy – Jobs, Economy, Legacy, </w:t>
      </w:r>
      <w:proofErr w:type="gramStart"/>
      <w:r w:rsidRPr="008651F2">
        <w:t>Confidence</w:t>
      </w:r>
      <w:bookmarkEnd w:id="401"/>
      <w:bookmarkEnd w:id="402"/>
      <w:bookmarkEnd w:id="403"/>
      <w:proofErr w:type="gramEnd"/>
      <w:r w:rsidR="7FE9399F">
        <w:t xml:space="preserve"> and the Queensland Procurement Policy</w:t>
      </w:r>
      <w:bookmarkEnd w:id="404"/>
      <w:bookmarkEnd w:id="405"/>
      <w:bookmarkEnd w:id="406"/>
      <w:r w:rsidR="7FE9399F">
        <w:t xml:space="preserve"> </w:t>
      </w:r>
    </w:p>
    <w:p w14:paraId="220651D8" w14:textId="540AC470" w:rsidR="00FF24EC" w:rsidRPr="000E3C5C" w:rsidRDefault="00FF24EC" w:rsidP="00D93DFD">
      <w:pPr>
        <w:pStyle w:val="DECHeading4"/>
        <w:rPr>
          <w:color w:val="auto"/>
        </w:rPr>
      </w:pPr>
      <w:bookmarkStart w:id="407" w:name="_Toc172808534"/>
      <w:bookmarkStart w:id="408" w:name="_Toc174605677"/>
      <w:bookmarkStart w:id="409" w:name="_Toc176424815"/>
      <w:bookmarkStart w:id="410" w:name="_Toc176424974"/>
      <w:r w:rsidRPr="00A77AC6">
        <w:t>During 202</w:t>
      </w:r>
      <w:r w:rsidR="006A5999" w:rsidRPr="000E3C5C">
        <w:rPr>
          <w:color w:val="auto"/>
        </w:rPr>
        <w:t>3</w:t>
      </w:r>
      <w:r w:rsidRPr="000E3C5C">
        <w:rPr>
          <w:color w:val="auto"/>
        </w:rPr>
        <w:t>–2</w:t>
      </w:r>
      <w:r w:rsidR="006A5999" w:rsidRPr="000E3C5C">
        <w:rPr>
          <w:color w:val="auto"/>
        </w:rPr>
        <w:t>4</w:t>
      </w:r>
      <w:r w:rsidRPr="000E3C5C">
        <w:rPr>
          <w:color w:val="auto"/>
        </w:rPr>
        <w:t xml:space="preserve">, </w:t>
      </w:r>
      <w:r w:rsidR="00756658">
        <w:rPr>
          <w:color w:val="auto"/>
        </w:rPr>
        <w:t xml:space="preserve">we continued to deliver </w:t>
      </w:r>
      <w:r w:rsidR="591A9C2F" w:rsidRPr="000D0AB1">
        <w:rPr>
          <w:i/>
          <w:color w:val="auto"/>
        </w:rPr>
        <w:t>Buy Queensland</w:t>
      </w:r>
      <w:r w:rsidR="00756658">
        <w:rPr>
          <w:color w:val="auto"/>
        </w:rPr>
        <w:t xml:space="preserve"> by</w:t>
      </w:r>
      <w:r w:rsidRPr="000E3C5C">
        <w:rPr>
          <w:color w:val="auto"/>
        </w:rPr>
        <w:t>:</w:t>
      </w:r>
      <w:bookmarkEnd w:id="407"/>
      <w:bookmarkEnd w:id="408"/>
      <w:bookmarkEnd w:id="409"/>
      <w:bookmarkEnd w:id="410"/>
    </w:p>
    <w:p w14:paraId="7AB9720D" w14:textId="21B1C766" w:rsidR="004633C9" w:rsidRPr="003D59F3" w:rsidRDefault="1CC32A39" w:rsidP="001D7BC5">
      <w:pPr>
        <w:pStyle w:val="ListParagraph"/>
        <w:rPr>
          <w:szCs w:val="20"/>
        </w:rPr>
      </w:pPr>
      <w:r w:rsidRPr="00944C41">
        <w:rPr>
          <w:szCs w:val="20"/>
        </w:rPr>
        <w:t>C</w:t>
      </w:r>
      <w:r w:rsidR="00F43E4E" w:rsidRPr="00944C41">
        <w:rPr>
          <w:szCs w:val="20"/>
        </w:rPr>
        <w:t>o</w:t>
      </w:r>
      <w:r w:rsidR="71773EFF" w:rsidRPr="00944C41">
        <w:rPr>
          <w:szCs w:val="20"/>
        </w:rPr>
        <w:t>ntinu</w:t>
      </w:r>
      <w:r w:rsidR="004120C5" w:rsidRPr="00944C41">
        <w:rPr>
          <w:szCs w:val="20"/>
        </w:rPr>
        <w:t>ing</w:t>
      </w:r>
      <w:r w:rsidR="0025224C" w:rsidRPr="00944C41">
        <w:rPr>
          <w:szCs w:val="20"/>
        </w:rPr>
        <w:t xml:space="preserve"> the three-year implementation of </w:t>
      </w:r>
      <w:r w:rsidR="003F33DD" w:rsidRPr="000E1AAE">
        <w:rPr>
          <w:i/>
          <w:szCs w:val="20"/>
        </w:rPr>
        <w:t>Buy Queensland</w:t>
      </w:r>
      <w:r w:rsidR="003F33DD" w:rsidRPr="003D59F3">
        <w:rPr>
          <w:szCs w:val="20"/>
        </w:rPr>
        <w:t xml:space="preserve"> </w:t>
      </w:r>
      <w:r w:rsidR="003F33DD" w:rsidRPr="00A90B3C">
        <w:rPr>
          <w:i/>
          <w:szCs w:val="20"/>
        </w:rPr>
        <w:t>2023</w:t>
      </w:r>
      <w:r w:rsidR="003F33DD" w:rsidRPr="00944C41">
        <w:rPr>
          <w:szCs w:val="20"/>
        </w:rPr>
        <w:t xml:space="preserve"> </w:t>
      </w:r>
      <w:r w:rsidR="5D0FC973" w:rsidRPr="00944C41">
        <w:rPr>
          <w:szCs w:val="20"/>
        </w:rPr>
        <w:t xml:space="preserve">to </w:t>
      </w:r>
      <w:r w:rsidR="00B3A051" w:rsidRPr="00944C41">
        <w:rPr>
          <w:szCs w:val="20"/>
        </w:rPr>
        <w:t>ensure our procurement investments</w:t>
      </w:r>
      <w:r w:rsidR="5D0FC973" w:rsidRPr="00944C41">
        <w:rPr>
          <w:szCs w:val="20"/>
        </w:rPr>
        <w:t xml:space="preserve"> support quality, local jobs, boost the Queensland economy and leave a </w:t>
      </w:r>
      <w:r w:rsidR="00296731" w:rsidRPr="00944C41">
        <w:rPr>
          <w:szCs w:val="20"/>
        </w:rPr>
        <w:t>legacy</w:t>
      </w:r>
      <w:r w:rsidR="5D0FC973" w:rsidRPr="00944C41">
        <w:rPr>
          <w:szCs w:val="20"/>
        </w:rPr>
        <w:t xml:space="preserve"> for c</w:t>
      </w:r>
      <w:r w:rsidR="4F94E67E" w:rsidRPr="00944C41">
        <w:rPr>
          <w:szCs w:val="20"/>
        </w:rPr>
        <w:t>urrent and future generations of Queenslanders</w:t>
      </w:r>
      <w:r w:rsidR="00CF0621" w:rsidRPr="00944C41">
        <w:rPr>
          <w:szCs w:val="20"/>
        </w:rPr>
        <w:t>.</w:t>
      </w:r>
      <w:r w:rsidR="4F94E67E" w:rsidRPr="00944C41">
        <w:rPr>
          <w:szCs w:val="20"/>
        </w:rPr>
        <w:t xml:space="preserve"> </w:t>
      </w:r>
    </w:p>
    <w:p w14:paraId="66682B0B" w14:textId="7B9B4677" w:rsidR="0067608D" w:rsidRDefault="00C65318" w:rsidP="0067608D">
      <w:pPr>
        <w:pStyle w:val="ListParagraph"/>
        <w:rPr>
          <w:rFonts w:ascii="Calibri" w:hAnsi="Calibri"/>
          <w:szCs w:val="22"/>
        </w:rPr>
      </w:pPr>
      <w:r>
        <w:t xml:space="preserve">Developing the strategy to assist government to </w:t>
      </w:r>
      <w:r w:rsidR="3749E9A8">
        <w:t xml:space="preserve">source </w:t>
      </w:r>
      <w:r w:rsidR="3749E9A8" w:rsidRPr="00056707">
        <w:t>100</w:t>
      </w:r>
      <w:r w:rsidR="00056707">
        <w:t xml:space="preserve"> per cent</w:t>
      </w:r>
      <w:r w:rsidR="3749E9A8">
        <w:t xml:space="preserve"> of its</w:t>
      </w:r>
      <w:r>
        <w:t xml:space="preserve"> electricity </w:t>
      </w:r>
      <w:r w:rsidR="6FA77750">
        <w:t>from renewables</w:t>
      </w:r>
      <w:r>
        <w:t xml:space="preserve"> </w:t>
      </w:r>
      <w:r w:rsidR="0067608D">
        <w:t>for large government sites by 2030.</w:t>
      </w:r>
    </w:p>
    <w:p w14:paraId="51EE0377" w14:textId="215F7D47" w:rsidR="00C65318" w:rsidRPr="000E3C5C" w:rsidRDefault="00C65318" w:rsidP="00066F75">
      <w:pPr>
        <w:pStyle w:val="ListParagraph"/>
        <w:rPr>
          <w:szCs w:val="20"/>
        </w:rPr>
      </w:pPr>
      <w:r>
        <w:rPr>
          <w:szCs w:val="20"/>
        </w:rPr>
        <w:t>L</w:t>
      </w:r>
      <w:r w:rsidRPr="000E3C5C">
        <w:rPr>
          <w:szCs w:val="20"/>
        </w:rPr>
        <w:t>aunch</w:t>
      </w:r>
      <w:r>
        <w:rPr>
          <w:szCs w:val="20"/>
        </w:rPr>
        <w:t>ing</w:t>
      </w:r>
      <w:r w:rsidRPr="000E3C5C">
        <w:rPr>
          <w:szCs w:val="20"/>
        </w:rPr>
        <w:t xml:space="preserve"> the Q2032 Procurement Strategy to help Queensland businesses get ready to supply to the Brisbane 2032 Olympic and Paralympic Games</w:t>
      </w:r>
      <w:r>
        <w:rPr>
          <w:szCs w:val="20"/>
        </w:rPr>
        <w:t>.</w:t>
      </w:r>
    </w:p>
    <w:p w14:paraId="4AD4B066" w14:textId="77777777" w:rsidR="000040F8" w:rsidRPr="000E3C5C" w:rsidRDefault="000040F8" w:rsidP="000040F8">
      <w:pPr>
        <w:pStyle w:val="ListParagraph"/>
        <w:rPr>
          <w:szCs w:val="20"/>
        </w:rPr>
      </w:pPr>
      <w:r>
        <w:rPr>
          <w:szCs w:val="20"/>
        </w:rPr>
        <w:t>P</w:t>
      </w:r>
      <w:r w:rsidRPr="000E3C5C">
        <w:rPr>
          <w:szCs w:val="20"/>
        </w:rPr>
        <w:t xml:space="preserve">rioritising local businesses and Queensland jobs, by providing procurement advice, support, </w:t>
      </w:r>
      <w:proofErr w:type="gramStart"/>
      <w:r w:rsidRPr="000E3C5C">
        <w:rPr>
          <w:szCs w:val="20"/>
        </w:rPr>
        <w:t>frameworks</w:t>
      </w:r>
      <w:proofErr w:type="gramEnd"/>
      <w:r w:rsidRPr="000E3C5C">
        <w:rPr>
          <w:szCs w:val="20"/>
        </w:rPr>
        <w:t xml:space="preserve"> and tools, that enable government agencies to deliver economic, ethical, social and environmental benefits to Queensland</w:t>
      </w:r>
      <w:r>
        <w:rPr>
          <w:szCs w:val="20"/>
        </w:rPr>
        <w:t>.</w:t>
      </w:r>
    </w:p>
    <w:p w14:paraId="5C80154A" w14:textId="77777777" w:rsidR="000040F8" w:rsidRPr="00944C41" w:rsidRDefault="000040F8" w:rsidP="000040F8">
      <w:pPr>
        <w:pStyle w:val="ListParagraph"/>
        <w:rPr>
          <w:szCs w:val="20"/>
        </w:rPr>
      </w:pPr>
      <w:r w:rsidRPr="00944C41">
        <w:rPr>
          <w:szCs w:val="20"/>
        </w:rPr>
        <w:t xml:space="preserve">Increasing opportunities for ethical Queensland small and medium enterprises, local </w:t>
      </w:r>
      <w:proofErr w:type="gramStart"/>
      <w:r w:rsidRPr="00944C41">
        <w:rPr>
          <w:szCs w:val="20"/>
        </w:rPr>
        <w:t>businesses</w:t>
      </w:r>
      <w:proofErr w:type="gramEnd"/>
      <w:r w:rsidRPr="00944C41">
        <w:rPr>
          <w:szCs w:val="20"/>
        </w:rPr>
        <w:t xml:space="preserve"> and social enterprises, along with Aboriginal and/or Torres Strait Islander businesses, to supply to government.</w:t>
      </w:r>
    </w:p>
    <w:p w14:paraId="0268DB8C" w14:textId="35EF8B18" w:rsidR="00DE343B" w:rsidRPr="000E3C5C" w:rsidRDefault="00DE343B" w:rsidP="00AA68F4">
      <w:pPr>
        <w:pStyle w:val="ListParagraph"/>
        <w:rPr>
          <w:szCs w:val="20"/>
        </w:rPr>
      </w:pPr>
      <w:r>
        <w:rPr>
          <w:szCs w:val="20"/>
        </w:rPr>
        <w:t>Holding</w:t>
      </w:r>
      <w:r w:rsidRPr="000E3C5C">
        <w:rPr>
          <w:szCs w:val="20"/>
        </w:rPr>
        <w:t xml:space="preserve"> government suppliers to account for their</w:t>
      </w:r>
      <w:r w:rsidRPr="000E3C5C" w:rsidDel="003C6143">
        <w:rPr>
          <w:szCs w:val="20"/>
        </w:rPr>
        <w:t xml:space="preserve"> </w:t>
      </w:r>
      <w:r w:rsidRPr="000E3C5C">
        <w:rPr>
          <w:szCs w:val="20"/>
        </w:rPr>
        <w:t>contractual commitments to uphold best practice principles by auditing selected major projects to provide quality, safe workplaces for Queensland workers</w:t>
      </w:r>
      <w:r>
        <w:rPr>
          <w:szCs w:val="20"/>
        </w:rPr>
        <w:t>.</w:t>
      </w:r>
    </w:p>
    <w:p w14:paraId="6DE65E8F" w14:textId="47D073CB" w:rsidR="00F76D7E" w:rsidRPr="00944C41" w:rsidRDefault="00155612" w:rsidP="001D7BC5">
      <w:pPr>
        <w:pStyle w:val="ListParagraph"/>
        <w:rPr>
          <w:szCs w:val="20"/>
        </w:rPr>
      </w:pPr>
      <w:r w:rsidRPr="00944C41">
        <w:rPr>
          <w:szCs w:val="20"/>
        </w:rPr>
        <w:t>Introducing whole</w:t>
      </w:r>
      <w:r w:rsidR="0841AE35" w:rsidRPr="00944C41">
        <w:rPr>
          <w:szCs w:val="20"/>
        </w:rPr>
        <w:t>-</w:t>
      </w:r>
      <w:r w:rsidRPr="00944C41">
        <w:rPr>
          <w:szCs w:val="20"/>
        </w:rPr>
        <w:t>of</w:t>
      </w:r>
      <w:r w:rsidR="6157565F" w:rsidRPr="00944C41">
        <w:rPr>
          <w:szCs w:val="20"/>
        </w:rPr>
        <w:t>-</w:t>
      </w:r>
      <w:r w:rsidRPr="00944C41">
        <w:rPr>
          <w:szCs w:val="20"/>
        </w:rPr>
        <w:t>government strategies to make it easier for government buyers to engage with diverse businesses</w:t>
      </w:r>
      <w:r w:rsidR="72C781A9" w:rsidRPr="00944C41">
        <w:rPr>
          <w:szCs w:val="20"/>
        </w:rPr>
        <w:t>.</w:t>
      </w:r>
    </w:p>
    <w:p w14:paraId="1F534449" w14:textId="3A456C22" w:rsidR="00594473" w:rsidRPr="003D59F3" w:rsidRDefault="009F6352" w:rsidP="003D59F3">
      <w:pPr>
        <w:pStyle w:val="ListParagraph"/>
        <w:rPr>
          <w:szCs w:val="20"/>
        </w:rPr>
      </w:pPr>
      <w:r>
        <w:rPr>
          <w:szCs w:val="20"/>
        </w:rPr>
        <w:t>D</w:t>
      </w:r>
      <w:r w:rsidR="00136B3F">
        <w:rPr>
          <w:szCs w:val="20"/>
        </w:rPr>
        <w:t>eveloping</w:t>
      </w:r>
      <w:r w:rsidR="008305B9" w:rsidRPr="000E3C5C">
        <w:rPr>
          <w:szCs w:val="20"/>
        </w:rPr>
        <w:t xml:space="preserve"> guidance</w:t>
      </w:r>
      <w:r w:rsidR="00A21FF8" w:rsidRPr="000E3C5C">
        <w:rPr>
          <w:szCs w:val="20"/>
        </w:rPr>
        <w:t xml:space="preserve"> and webinars </w:t>
      </w:r>
      <w:r w:rsidR="005B5832" w:rsidRPr="000E3C5C">
        <w:rPr>
          <w:szCs w:val="20"/>
        </w:rPr>
        <w:t xml:space="preserve">to outline the key steps </w:t>
      </w:r>
      <w:r w:rsidR="00F63013" w:rsidRPr="000E3C5C">
        <w:rPr>
          <w:szCs w:val="20"/>
        </w:rPr>
        <w:t xml:space="preserve">on engaging consultants, </w:t>
      </w:r>
      <w:proofErr w:type="gramStart"/>
      <w:r w:rsidR="00F63013" w:rsidRPr="000E3C5C">
        <w:rPr>
          <w:szCs w:val="20"/>
        </w:rPr>
        <w:t>contractors</w:t>
      </w:r>
      <w:proofErr w:type="gramEnd"/>
      <w:r w:rsidR="00F63013" w:rsidRPr="000E3C5C">
        <w:rPr>
          <w:szCs w:val="20"/>
        </w:rPr>
        <w:t xml:space="preserve"> and indirect workers</w:t>
      </w:r>
      <w:r w:rsidR="008F5434" w:rsidRPr="000E3C5C">
        <w:rPr>
          <w:szCs w:val="20"/>
        </w:rPr>
        <w:t xml:space="preserve"> </w:t>
      </w:r>
      <w:r w:rsidR="005B5832" w:rsidRPr="000E3C5C">
        <w:rPr>
          <w:szCs w:val="20"/>
        </w:rPr>
        <w:t>for government procurement</w:t>
      </w:r>
      <w:r w:rsidR="006E22CD">
        <w:rPr>
          <w:szCs w:val="20"/>
        </w:rPr>
        <w:t>.</w:t>
      </w:r>
    </w:p>
    <w:p w14:paraId="02D53E2F" w14:textId="59B1E481" w:rsidR="008B634E" w:rsidRPr="003D59F3" w:rsidRDefault="009F6352" w:rsidP="003D59F3">
      <w:pPr>
        <w:pStyle w:val="ListParagraph"/>
        <w:rPr>
          <w:szCs w:val="20"/>
        </w:rPr>
      </w:pPr>
      <w:r>
        <w:rPr>
          <w:szCs w:val="20"/>
        </w:rPr>
        <w:t>H</w:t>
      </w:r>
      <w:r w:rsidR="006D1E84" w:rsidRPr="000E3C5C">
        <w:rPr>
          <w:szCs w:val="20"/>
        </w:rPr>
        <w:t>ost</w:t>
      </w:r>
      <w:r w:rsidR="00136B3F">
        <w:rPr>
          <w:szCs w:val="20"/>
        </w:rPr>
        <w:t>ing</w:t>
      </w:r>
      <w:r w:rsidR="006D1E84">
        <w:rPr>
          <w:szCs w:val="20"/>
        </w:rPr>
        <w:t xml:space="preserve"> </w:t>
      </w:r>
      <w:r w:rsidR="006D1E84" w:rsidRPr="000E3C5C">
        <w:rPr>
          <w:szCs w:val="20"/>
        </w:rPr>
        <w:t xml:space="preserve">a </w:t>
      </w:r>
      <w:r w:rsidR="00EA489D" w:rsidRPr="000E3C5C">
        <w:rPr>
          <w:szCs w:val="20"/>
        </w:rPr>
        <w:t xml:space="preserve">network </w:t>
      </w:r>
      <w:r w:rsidR="00DE343B">
        <w:rPr>
          <w:szCs w:val="20"/>
        </w:rPr>
        <w:t>‘</w:t>
      </w:r>
      <w:r w:rsidR="006D1E84" w:rsidRPr="000E3C5C">
        <w:rPr>
          <w:szCs w:val="20"/>
        </w:rPr>
        <w:t>m</w:t>
      </w:r>
      <w:r w:rsidR="00757E7B" w:rsidRPr="000E3C5C">
        <w:rPr>
          <w:szCs w:val="20"/>
        </w:rPr>
        <w:t>eet and greet</w:t>
      </w:r>
      <w:r w:rsidR="00DE343B">
        <w:rPr>
          <w:szCs w:val="20"/>
        </w:rPr>
        <w:t>’</w:t>
      </w:r>
      <w:r w:rsidR="00757E7B" w:rsidRPr="000E3C5C">
        <w:rPr>
          <w:szCs w:val="20"/>
        </w:rPr>
        <w:t xml:space="preserve"> </w:t>
      </w:r>
      <w:r w:rsidR="006D1E84" w:rsidRPr="000E3C5C">
        <w:rPr>
          <w:szCs w:val="20"/>
        </w:rPr>
        <w:t xml:space="preserve">between </w:t>
      </w:r>
      <w:r w:rsidR="00B1607B">
        <w:rPr>
          <w:szCs w:val="20"/>
        </w:rPr>
        <w:t>Aboriginal and/or Torres Strait Islander</w:t>
      </w:r>
      <w:r w:rsidR="00B1607B" w:rsidRPr="000E3C5C">
        <w:rPr>
          <w:szCs w:val="20"/>
        </w:rPr>
        <w:t xml:space="preserve"> </w:t>
      </w:r>
      <w:r w:rsidR="006D1E84" w:rsidRPr="000E3C5C">
        <w:rPr>
          <w:szCs w:val="20"/>
        </w:rPr>
        <w:t>businesses and government buyers</w:t>
      </w:r>
      <w:r w:rsidR="00B31F3D" w:rsidRPr="000E3C5C">
        <w:rPr>
          <w:szCs w:val="20"/>
        </w:rPr>
        <w:t xml:space="preserve">, showcasing </w:t>
      </w:r>
      <w:r w:rsidR="00B1607B">
        <w:rPr>
          <w:szCs w:val="20"/>
        </w:rPr>
        <w:t>their</w:t>
      </w:r>
      <w:r w:rsidR="00B1607B" w:rsidRPr="000E3C5C">
        <w:rPr>
          <w:szCs w:val="20"/>
        </w:rPr>
        <w:t xml:space="preserve"> </w:t>
      </w:r>
      <w:r w:rsidR="00B31F3D" w:rsidRPr="000E3C5C">
        <w:rPr>
          <w:szCs w:val="20"/>
        </w:rPr>
        <w:t>business capabilities</w:t>
      </w:r>
      <w:r w:rsidR="00316435" w:rsidRPr="000E3C5C">
        <w:rPr>
          <w:szCs w:val="20"/>
        </w:rPr>
        <w:t>, boosting confidence in diverse business types</w:t>
      </w:r>
      <w:r w:rsidR="006E22CD">
        <w:rPr>
          <w:szCs w:val="20"/>
        </w:rPr>
        <w:t>.</w:t>
      </w:r>
    </w:p>
    <w:p w14:paraId="668400BF" w14:textId="5FC04DA7" w:rsidR="000E6899" w:rsidRPr="000E3C5C" w:rsidRDefault="009F6352" w:rsidP="000E6899">
      <w:pPr>
        <w:pStyle w:val="ListParagraph"/>
        <w:rPr>
          <w:szCs w:val="20"/>
        </w:rPr>
      </w:pPr>
      <w:r>
        <w:rPr>
          <w:szCs w:val="20"/>
        </w:rPr>
        <w:t>H</w:t>
      </w:r>
      <w:r w:rsidR="000E6899" w:rsidRPr="000E3C5C">
        <w:rPr>
          <w:szCs w:val="20"/>
        </w:rPr>
        <w:t xml:space="preserve">osting the annual Buy Queensland Supplier Awards, </w:t>
      </w:r>
      <w:r w:rsidR="00DA4A4D" w:rsidRPr="000E3C5C">
        <w:rPr>
          <w:szCs w:val="20"/>
        </w:rPr>
        <w:t>with seven awards presented</w:t>
      </w:r>
      <w:r w:rsidR="000E6899" w:rsidRPr="000E3C5C">
        <w:rPr>
          <w:szCs w:val="20"/>
        </w:rPr>
        <w:t xml:space="preserve"> </w:t>
      </w:r>
      <w:r w:rsidR="00DA4A4D" w:rsidRPr="000E3C5C">
        <w:rPr>
          <w:szCs w:val="20"/>
        </w:rPr>
        <w:t>to</w:t>
      </w:r>
      <w:r w:rsidR="000E6899" w:rsidRPr="000E3C5C">
        <w:rPr>
          <w:szCs w:val="20"/>
        </w:rPr>
        <w:t xml:space="preserve"> business</w:t>
      </w:r>
      <w:r w:rsidR="00FB751B" w:rsidRPr="000E3C5C">
        <w:rPr>
          <w:szCs w:val="20"/>
        </w:rPr>
        <w:t>es</w:t>
      </w:r>
      <w:r w:rsidR="000E6899" w:rsidRPr="000E3C5C">
        <w:rPr>
          <w:szCs w:val="20"/>
        </w:rPr>
        <w:t xml:space="preserve"> that supply to the Queensland </w:t>
      </w:r>
      <w:r w:rsidR="007071DB">
        <w:rPr>
          <w:szCs w:val="20"/>
        </w:rPr>
        <w:t>G</w:t>
      </w:r>
      <w:r w:rsidR="000E6899" w:rsidRPr="000E3C5C">
        <w:rPr>
          <w:szCs w:val="20"/>
        </w:rPr>
        <w:t>overnment, across four categories</w:t>
      </w:r>
      <w:r w:rsidR="006E22CD">
        <w:rPr>
          <w:szCs w:val="20"/>
        </w:rPr>
        <w:t>.</w:t>
      </w:r>
    </w:p>
    <w:p w14:paraId="5660635E" w14:textId="6C1943DA" w:rsidR="008574C4" w:rsidRPr="00944C41" w:rsidRDefault="009F6352" w:rsidP="008574C4">
      <w:pPr>
        <w:pStyle w:val="ListParagraph"/>
        <w:rPr>
          <w:szCs w:val="20"/>
        </w:rPr>
      </w:pPr>
      <w:r w:rsidRPr="00944C41">
        <w:rPr>
          <w:szCs w:val="20"/>
        </w:rPr>
        <w:t>H</w:t>
      </w:r>
      <w:r w:rsidR="005B5BB3" w:rsidRPr="00944C41">
        <w:rPr>
          <w:szCs w:val="20"/>
        </w:rPr>
        <w:t>osting</w:t>
      </w:r>
      <w:r w:rsidR="000546AA" w:rsidRPr="00944C41">
        <w:rPr>
          <w:szCs w:val="20"/>
        </w:rPr>
        <w:t xml:space="preserve"> 15 ‘Growing Queensland Business Roadshows’ across the </w:t>
      </w:r>
      <w:r w:rsidR="006D630B" w:rsidRPr="00944C41">
        <w:rPr>
          <w:szCs w:val="20"/>
        </w:rPr>
        <w:t>s</w:t>
      </w:r>
      <w:r w:rsidR="000546AA" w:rsidRPr="00944C41">
        <w:rPr>
          <w:szCs w:val="20"/>
        </w:rPr>
        <w:t>tate</w:t>
      </w:r>
      <w:r w:rsidR="005B5BB3" w:rsidRPr="00944C41" w:rsidDel="00164326">
        <w:rPr>
          <w:szCs w:val="20"/>
        </w:rPr>
        <w:t xml:space="preserve"> </w:t>
      </w:r>
      <w:r w:rsidR="00164326" w:rsidRPr="00944C41">
        <w:rPr>
          <w:szCs w:val="20"/>
        </w:rPr>
        <w:t xml:space="preserve">from </w:t>
      </w:r>
      <w:r w:rsidR="005B5BB3" w:rsidRPr="00944C41">
        <w:rPr>
          <w:szCs w:val="20"/>
        </w:rPr>
        <w:t>October 2023 until February 2024</w:t>
      </w:r>
      <w:r w:rsidR="000546AA" w:rsidRPr="00944C41">
        <w:rPr>
          <w:szCs w:val="20"/>
        </w:rPr>
        <w:t xml:space="preserve">. In partnership with local councils and supported by budget sector agencies, </w:t>
      </w:r>
      <w:r w:rsidR="00A06BEC" w:rsidRPr="00944C41">
        <w:rPr>
          <w:szCs w:val="20"/>
        </w:rPr>
        <w:t>the Australian</w:t>
      </w:r>
      <w:r w:rsidR="000546AA" w:rsidRPr="00944C41">
        <w:rPr>
          <w:szCs w:val="20"/>
        </w:rPr>
        <w:t xml:space="preserve"> </w:t>
      </w:r>
      <w:r w:rsidR="00B87925">
        <w:rPr>
          <w:szCs w:val="20"/>
        </w:rPr>
        <w:t>g</w:t>
      </w:r>
      <w:r w:rsidR="000546AA" w:rsidRPr="00944C41">
        <w:rPr>
          <w:szCs w:val="20"/>
        </w:rPr>
        <w:t>overnment</w:t>
      </w:r>
      <w:r w:rsidR="00247F17" w:rsidRPr="00944C41">
        <w:rPr>
          <w:szCs w:val="20"/>
        </w:rPr>
        <w:t>,</w:t>
      </w:r>
      <w:r w:rsidR="000546AA" w:rsidRPr="00944C41">
        <w:rPr>
          <w:szCs w:val="20"/>
        </w:rPr>
        <w:t xml:space="preserve"> and the Business Chamber Queensland, the </w:t>
      </w:r>
      <w:r w:rsidR="00A07DDA" w:rsidRPr="00944C41">
        <w:rPr>
          <w:szCs w:val="20"/>
        </w:rPr>
        <w:t>r</w:t>
      </w:r>
      <w:r w:rsidR="000546AA" w:rsidRPr="00944C41">
        <w:rPr>
          <w:szCs w:val="20"/>
        </w:rPr>
        <w:t xml:space="preserve">oadshows provided practical information, </w:t>
      </w:r>
      <w:proofErr w:type="gramStart"/>
      <w:r w:rsidR="000546AA" w:rsidRPr="00944C41">
        <w:rPr>
          <w:szCs w:val="20"/>
        </w:rPr>
        <w:t>tips</w:t>
      </w:r>
      <w:proofErr w:type="gramEnd"/>
      <w:r w:rsidR="000546AA" w:rsidRPr="00944C41">
        <w:rPr>
          <w:szCs w:val="20"/>
        </w:rPr>
        <w:t xml:space="preserve"> and tools to help businesses when supplying to government. In addition, the Roadshows assisted attendees in understanding how to ‘ready’ their business for the Brisbane 2032 Olympic and Paralympic Games, and beyond</w:t>
      </w:r>
      <w:r w:rsidR="006E22CD" w:rsidRPr="00944C41">
        <w:rPr>
          <w:szCs w:val="20"/>
        </w:rPr>
        <w:t>.</w:t>
      </w:r>
    </w:p>
    <w:p w14:paraId="6F6BCF32" w14:textId="2EE90E2A" w:rsidR="00CF4A30" w:rsidRDefault="009F6352" w:rsidP="00AC5FE5">
      <w:pPr>
        <w:pStyle w:val="ListParagraph"/>
        <w:rPr>
          <w:szCs w:val="20"/>
        </w:rPr>
      </w:pPr>
      <w:r>
        <w:rPr>
          <w:szCs w:val="20"/>
        </w:rPr>
        <w:t>W</w:t>
      </w:r>
      <w:r w:rsidR="00027A03" w:rsidRPr="000E3C5C">
        <w:rPr>
          <w:szCs w:val="20"/>
        </w:rPr>
        <w:t>orking with agencies</w:t>
      </w:r>
      <w:r w:rsidR="0060592E" w:rsidRPr="000E3C5C">
        <w:rPr>
          <w:szCs w:val="20"/>
        </w:rPr>
        <w:t xml:space="preserve"> across Queensland to support them to understand the opportunities to engage with social </w:t>
      </w:r>
      <w:r w:rsidR="00D96CBC" w:rsidRPr="000E3C5C">
        <w:rPr>
          <w:szCs w:val="20"/>
        </w:rPr>
        <w:t>enterprises</w:t>
      </w:r>
      <w:r w:rsidR="006E22CD">
        <w:rPr>
          <w:szCs w:val="20"/>
        </w:rPr>
        <w:t>.</w:t>
      </w:r>
    </w:p>
    <w:p w14:paraId="6E01EA68" w14:textId="3DFDF6ED" w:rsidR="00206E6C" w:rsidRPr="000E3C5C" w:rsidRDefault="00206E6C" w:rsidP="00206E6C">
      <w:pPr>
        <w:pStyle w:val="ListParagraph"/>
        <w:rPr>
          <w:szCs w:val="20"/>
        </w:rPr>
      </w:pPr>
      <w:r>
        <w:rPr>
          <w:szCs w:val="20"/>
        </w:rPr>
        <w:t>Actioning</w:t>
      </w:r>
      <w:r w:rsidRPr="000E3C5C">
        <w:rPr>
          <w:szCs w:val="20"/>
        </w:rPr>
        <w:t xml:space="preserve"> complaints about supplier behaviour (e.g., underpayment of wages</w:t>
      </w:r>
      <w:r w:rsidR="007F6133">
        <w:rPr>
          <w:szCs w:val="20"/>
        </w:rPr>
        <w:t xml:space="preserve"> or</w:t>
      </w:r>
      <w:r w:rsidRPr="000E3C5C">
        <w:rPr>
          <w:szCs w:val="20"/>
        </w:rPr>
        <w:t xml:space="preserve"> training policy breaches) by investigating alleged breaches of the Ethical Supplier Threshold (the Threshold) and other contractual non-compliances under the Ethical Supplier Mandate (the Mandate)</w:t>
      </w:r>
      <w:r>
        <w:rPr>
          <w:szCs w:val="20"/>
        </w:rPr>
        <w:t>.</w:t>
      </w:r>
      <w:r w:rsidRPr="000E3C5C">
        <w:rPr>
          <w:szCs w:val="20"/>
        </w:rPr>
        <w:t xml:space="preserve"> </w:t>
      </w:r>
    </w:p>
    <w:p w14:paraId="5A8A7F7B" w14:textId="77777777" w:rsidR="00206E6C" w:rsidRPr="000E3C5C" w:rsidRDefault="00206E6C" w:rsidP="00206E6C">
      <w:pPr>
        <w:pStyle w:val="ListParagraph"/>
        <w:rPr>
          <w:szCs w:val="20"/>
        </w:rPr>
      </w:pPr>
      <w:r>
        <w:rPr>
          <w:szCs w:val="20"/>
        </w:rPr>
        <w:t>Applying</w:t>
      </w:r>
      <w:r w:rsidRPr="000E3C5C">
        <w:rPr>
          <w:szCs w:val="20"/>
        </w:rPr>
        <w:t xml:space="preserve"> the Mandate’s penalty framework by implementing decision</w:t>
      </w:r>
      <w:r>
        <w:rPr>
          <w:szCs w:val="20"/>
        </w:rPr>
        <w:t>-</w:t>
      </w:r>
      <w:r w:rsidRPr="000E3C5C">
        <w:rPr>
          <w:szCs w:val="20"/>
        </w:rPr>
        <w:t>maker outcomes, which were informed by the advice and recommendations of the Tripartite Procurement Advisory Panel</w:t>
      </w:r>
      <w:r>
        <w:rPr>
          <w:szCs w:val="20"/>
        </w:rPr>
        <w:t>.</w:t>
      </w:r>
      <w:r w:rsidRPr="000E3C5C">
        <w:rPr>
          <w:szCs w:val="20"/>
        </w:rPr>
        <w:t xml:space="preserve"> </w:t>
      </w:r>
    </w:p>
    <w:p w14:paraId="0780B6AD" w14:textId="77777777" w:rsidR="00206E6C" w:rsidRPr="00AC5FE5" w:rsidRDefault="00206E6C" w:rsidP="000F466C">
      <w:pPr>
        <w:pStyle w:val="ListParagraph"/>
        <w:numPr>
          <w:ilvl w:val="0"/>
          <w:numId w:val="0"/>
        </w:numPr>
        <w:ind w:left="360"/>
        <w:rPr>
          <w:szCs w:val="20"/>
        </w:rPr>
      </w:pPr>
    </w:p>
    <w:p w14:paraId="4CD3115D" w14:textId="77777777" w:rsidR="00240961" w:rsidRDefault="00240961" w:rsidP="00240961">
      <w:pPr>
        <w:pStyle w:val="DECHeading3"/>
        <w:rPr>
          <w:b/>
          <w:iCs/>
        </w:rPr>
      </w:pPr>
      <w:bookmarkStart w:id="411" w:name="_Toc174605678"/>
      <w:bookmarkStart w:id="412" w:name="_Toc176424816"/>
      <w:bookmarkStart w:id="413" w:name="_Toc176424975"/>
      <w:bookmarkStart w:id="414" w:name="_Toc172806417"/>
      <w:bookmarkStart w:id="415" w:name="_Toc172806703"/>
      <w:bookmarkStart w:id="416" w:name="_Toc172808535"/>
      <w:r>
        <w:rPr>
          <w:lang w:eastAsia="en-AU"/>
        </w:rPr>
        <w:lastRenderedPageBreak/>
        <w:t xml:space="preserve">Streamlining procurement systems </w:t>
      </w:r>
      <w:r>
        <w:t>and</w:t>
      </w:r>
      <w:r>
        <w:rPr>
          <w:lang w:eastAsia="en-AU"/>
        </w:rPr>
        <w:t xml:space="preserve"> processes</w:t>
      </w:r>
      <w:bookmarkEnd w:id="411"/>
      <w:bookmarkEnd w:id="412"/>
      <w:bookmarkEnd w:id="413"/>
      <w:r>
        <w:rPr>
          <w:lang w:eastAsia="en-AU"/>
        </w:rPr>
        <w:t xml:space="preserve"> </w:t>
      </w:r>
      <w:bookmarkStart w:id="417" w:name="_Toc172808536"/>
      <w:bookmarkEnd w:id="414"/>
      <w:bookmarkEnd w:id="415"/>
      <w:bookmarkEnd w:id="416"/>
    </w:p>
    <w:p w14:paraId="35ECFF5D" w14:textId="72D993A5" w:rsidR="005748D5" w:rsidRPr="00C53625" w:rsidRDefault="009C1DC8" w:rsidP="00D93DFD">
      <w:pPr>
        <w:pStyle w:val="DECHeading4"/>
        <w:rPr>
          <w:color w:val="auto"/>
        </w:rPr>
      </w:pPr>
      <w:bookmarkStart w:id="418" w:name="_Toc174605679"/>
      <w:bookmarkStart w:id="419" w:name="_Toc176424817"/>
      <w:bookmarkStart w:id="420" w:name="_Toc176424976"/>
      <w:r w:rsidRPr="006521BC">
        <w:t>I</w:t>
      </w:r>
      <w:r w:rsidR="00FF24EC" w:rsidRPr="00C53625">
        <w:rPr>
          <w:color w:val="auto"/>
        </w:rPr>
        <w:t>n 202</w:t>
      </w:r>
      <w:r w:rsidR="006A5999" w:rsidRPr="00C53625">
        <w:rPr>
          <w:color w:val="auto"/>
        </w:rPr>
        <w:t>3</w:t>
      </w:r>
      <w:r w:rsidR="00FF24EC" w:rsidRPr="00C53625">
        <w:rPr>
          <w:color w:val="auto"/>
        </w:rPr>
        <w:t>–2</w:t>
      </w:r>
      <w:r w:rsidR="006A5999" w:rsidRPr="00C53625">
        <w:rPr>
          <w:color w:val="auto"/>
        </w:rPr>
        <w:t>4</w:t>
      </w:r>
      <w:r w:rsidR="00FF24EC" w:rsidRPr="00C53625">
        <w:rPr>
          <w:color w:val="auto"/>
        </w:rPr>
        <w:t xml:space="preserve">, we </w:t>
      </w:r>
      <w:r w:rsidR="00AC4F56" w:rsidRPr="00C53625">
        <w:rPr>
          <w:color w:val="auto"/>
        </w:rPr>
        <w:t xml:space="preserve">continued to </w:t>
      </w:r>
      <w:r w:rsidR="00F11629" w:rsidRPr="00C53625">
        <w:rPr>
          <w:color w:val="auto"/>
        </w:rPr>
        <w:t xml:space="preserve">improve Queensland </w:t>
      </w:r>
      <w:r w:rsidR="007071DB">
        <w:rPr>
          <w:color w:val="auto"/>
        </w:rPr>
        <w:t>G</w:t>
      </w:r>
      <w:r w:rsidR="00F11629" w:rsidRPr="00C53625">
        <w:rPr>
          <w:color w:val="auto"/>
        </w:rPr>
        <w:t>overnment procurement systems</w:t>
      </w:r>
      <w:r w:rsidR="000530CF">
        <w:rPr>
          <w:color w:val="auto"/>
        </w:rPr>
        <w:t xml:space="preserve"> by</w:t>
      </w:r>
      <w:r w:rsidR="003A5987">
        <w:rPr>
          <w:color w:val="auto"/>
        </w:rPr>
        <w:t>:</w:t>
      </w:r>
      <w:bookmarkEnd w:id="417"/>
      <w:bookmarkEnd w:id="418"/>
      <w:bookmarkEnd w:id="419"/>
      <w:bookmarkEnd w:id="420"/>
    </w:p>
    <w:p w14:paraId="62C0E1DF" w14:textId="522D4C7D" w:rsidR="00206E6C" w:rsidRPr="00DB50E4" w:rsidRDefault="00F97579" w:rsidP="00206E6C">
      <w:pPr>
        <w:pStyle w:val="Bulletsround"/>
      </w:pPr>
      <w:r>
        <w:t>P</w:t>
      </w:r>
      <w:r w:rsidR="00206E6C">
        <w:t>ubli</w:t>
      </w:r>
      <w:r>
        <w:t>shing</w:t>
      </w:r>
      <w:r w:rsidR="00206E6C">
        <w:t xml:space="preserve"> future procurement opportunities through the Forward Procurement Pipeline. The pipeline, as of 30 June 2024, has over 952 opportunities worth over $4.6 billion.</w:t>
      </w:r>
    </w:p>
    <w:p w14:paraId="0DE79C59" w14:textId="1F4841B2" w:rsidR="00DB50E4" w:rsidRPr="00DB50E4" w:rsidRDefault="24D7A712" w:rsidP="7FB4C96E">
      <w:pPr>
        <w:pStyle w:val="Bulletsround"/>
        <w:rPr>
          <w:rFonts w:eastAsia="Arial Nova Light" w:cs="Arial Nova Light"/>
        </w:rPr>
      </w:pPr>
      <w:r>
        <w:t xml:space="preserve">Launching the new procurement system which enhances supplier visibility of procurement opportunities and streamlines engagement with the government, leading to reduced time and effort in the procurement process. Featuring a supplier portal and marketplace, suppliers can receive notifications, access government procurement opportunities and buyers can find suppliers based on the products and services they offer. Additionally, the contract management module means better supporting systems for the Queensland Procurement Policy – </w:t>
      </w:r>
      <w:r w:rsidRPr="7FB4C96E">
        <w:rPr>
          <w:i/>
          <w:iCs/>
        </w:rPr>
        <w:t>Buy Queensland 2023</w:t>
      </w:r>
      <w:r>
        <w:t>, increased quality data, and more information on the overall procurement lifecycle.</w:t>
      </w:r>
      <w:r w:rsidRPr="7FB4C96E">
        <w:rPr>
          <w:rFonts w:eastAsia="Arial Nova Light" w:cs="Arial Nova Light"/>
        </w:rPr>
        <w:t xml:space="preserve"> </w:t>
      </w:r>
    </w:p>
    <w:p w14:paraId="67A38D20" w14:textId="0740D900" w:rsidR="00DB50E4" w:rsidRPr="00DB50E4" w:rsidRDefault="009F6352" w:rsidP="00DB50E4">
      <w:pPr>
        <w:pStyle w:val="Bulletsround"/>
        <w:rPr>
          <w:rFonts w:eastAsia="Arial Nova Light" w:cs="Arial Nova Light"/>
        </w:rPr>
      </w:pPr>
      <w:r w:rsidRPr="7FB4C96E">
        <w:rPr>
          <w:rFonts w:eastAsia="Arial Nova Light" w:cs="Arial Nova Light"/>
        </w:rPr>
        <w:t>C</w:t>
      </w:r>
      <w:r w:rsidR="00DB50E4" w:rsidRPr="7FB4C96E">
        <w:rPr>
          <w:rFonts w:eastAsia="Arial Nova Light" w:cs="Arial Nova Light"/>
        </w:rPr>
        <w:t>ontinu</w:t>
      </w:r>
      <w:r w:rsidR="003A5987" w:rsidRPr="7FB4C96E">
        <w:rPr>
          <w:rFonts w:eastAsia="Arial Nova Light" w:cs="Arial Nova Light"/>
        </w:rPr>
        <w:t>ing</w:t>
      </w:r>
      <w:r w:rsidR="00DB50E4" w:rsidRPr="7FB4C96E">
        <w:rPr>
          <w:rFonts w:eastAsia="Arial Nova Light" w:cs="Arial Nova Light"/>
        </w:rPr>
        <w:t xml:space="preserve"> to work with </w:t>
      </w:r>
      <w:r w:rsidR="00153798">
        <w:rPr>
          <w:rFonts w:eastAsia="Arial Nova Light" w:cs="Arial Nova Light"/>
        </w:rPr>
        <w:t>the Australian</w:t>
      </w:r>
      <w:r w:rsidR="008602C1">
        <w:rPr>
          <w:rFonts w:eastAsia="Arial Nova Light" w:cs="Arial Nova Light"/>
        </w:rPr>
        <w:t>,</w:t>
      </w:r>
      <w:r w:rsidR="00AB066F" w:rsidRPr="7FB4C96E">
        <w:rPr>
          <w:rFonts w:eastAsia="Arial Nova Light" w:cs="Arial Nova Light"/>
        </w:rPr>
        <w:t xml:space="preserve"> </w:t>
      </w:r>
      <w:r w:rsidR="000C2585" w:rsidRPr="7FB4C96E">
        <w:rPr>
          <w:rFonts w:eastAsia="Arial Nova Light" w:cs="Arial Nova Light"/>
        </w:rPr>
        <w:t>s</w:t>
      </w:r>
      <w:r w:rsidR="00DB50E4" w:rsidRPr="7FB4C96E">
        <w:rPr>
          <w:rFonts w:eastAsia="Arial Nova Light" w:cs="Arial Nova Light"/>
        </w:rPr>
        <w:t>tate</w:t>
      </w:r>
      <w:r w:rsidR="00AB066F" w:rsidRPr="7FB4C96E">
        <w:rPr>
          <w:rFonts w:eastAsia="Arial Nova Light" w:cs="Arial Nova Light"/>
        </w:rPr>
        <w:t xml:space="preserve"> and </w:t>
      </w:r>
      <w:r w:rsidR="000C2585" w:rsidRPr="7FB4C96E">
        <w:rPr>
          <w:rFonts w:eastAsia="Arial Nova Light" w:cs="Arial Nova Light"/>
        </w:rPr>
        <w:t>t</w:t>
      </w:r>
      <w:r w:rsidR="00DB50E4" w:rsidRPr="7FB4C96E">
        <w:rPr>
          <w:rFonts w:eastAsia="Arial Nova Light" w:cs="Arial Nova Light"/>
        </w:rPr>
        <w:t>erritory jurisdictions and manufacturers to secure and influence the motor vehicle supply market as effectively as possible.</w:t>
      </w:r>
    </w:p>
    <w:p w14:paraId="0869E0A4" w14:textId="65A66FF2" w:rsidR="00DB50E4" w:rsidRPr="00DB50E4" w:rsidRDefault="009F6352" w:rsidP="00DB50E4">
      <w:pPr>
        <w:pStyle w:val="Bulletsround"/>
        <w:rPr>
          <w:rFonts w:eastAsia="Arial Nova Light" w:cs="Arial Nova Light"/>
          <w:szCs w:val="20"/>
        </w:rPr>
      </w:pPr>
      <w:r>
        <w:rPr>
          <w:rFonts w:eastAsia="Arial Nova Light" w:cs="Arial Nova Light"/>
          <w:szCs w:val="20"/>
        </w:rPr>
        <w:t>A</w:t>
      </w:r>
      <w:r w:rsidR="00DB50E4" w:rsidRPr="00DB50E4">
        <w:rPr>
          <w:rFonts w:eastAsia="Arial Nova Light" w:cs="Arial Nova Light"/>
          <w:szCs w:val="20"/>
        </w:rPr>
        <w:t>dvocat</w:t>
      </w:r>
      <w:r w:rsidR="003A5987">
        <w:rPr>
          <w:rFonts w:eastAsia="Arial Nova Light" w:cs="Arial Nova Light"/>
          <w:szCs w:val="20"/>
        </w:rPr>
        <w:t>ing</w:t>
      </w:r>
      <w:r w:rsidR="00DB50E4" w:rsidRPr="00DB50E4">
        <w:rPr>
          <w:rFonts w:eastAsia="Arial Nova Light" w:cs="Arial Nova Light"/>
          <w:szCs w:val="20"/>
        </w:rPr>
        <w:t xml:space="preserve"> local emerging zero emission business and initiatives that encourage cleaner, greener transport modes.</w:t>
      </w:r>
    </w:p>
    <w:p w14:paraId="1DC9A357" w14:textId="38B8882C" w:rsidR="005748D5" w:rsidRDefault="009F6352" w:rsidP="5AF76E8D">
      <w:pPr>
        <w:pStyle w:val="Bulletsround"/>
        <w:rPr>
          <w:rFonts w:eastAsia="Arial Nova Light" w:cs="Arial Nova Light"/>
          <w:szCs w:val="20"/>
        </w:rPr>
      </w:pPr>
      <w:r>
        <w:t>R</w:t>
      </w:r>
      <w:r w:rsidR="3D1E965F" w:rsidRPr="000E3C5C">
        <w:rPr>
          <w:rFonts w:eastAsia="Arial Nova Light" w:cs="Arial Nova Light"/>
          <w:szCs w:val="20"/>
        </w:rPr>
        <w:t>eview</w:t>
      </w:r>
      <w:r w:rsidR="003A5987">
        <w:rPr>
          <w:rFonts w:eastAsia="Arial Nova Light" w:cs="Arial Nova Light"/>
          <w:szCs w:val="20"/>
        </w:rPr>
        <w:t>ing</w:t>
      </w:r>
      <w:r w:rsidR="3D1E965F" w:rsidRPr="000E3C5C">
        <w:rPr>
          <w:rFonts w:eastAsia="Arial Nova Light" w:cs="Arial Nova Light"/>
          <w:szCs w:val="20"/>
        </w:rPr>
        <w:t xml:space="preserve"> QFleet supplier arrangements, making it easier for suppliers to do business with QFleet by making sure tender opportunities are easy to understand, use accessible, user-friendly tools.</w:t>
      </w:r>
      <w:r w:rsidR="3D1E965F" w:rsidRPr="00DB50E4">
        <w:rPr>
          <w:rFonts w:eastAsia="Arial Nova Light" w:cs="Arial Nova Light"/>
          <w:szCs w:val="20"/>
        </w:rPr>
        <w:t xml:space="preserve"> </w:t>
      </w:r>
    </w:p>
    <w:p w14:paraId="51BB1C00" w14:textId="22C3E28F" w:rsidR="005748D5" w:rsidRPr="003A5987" w:rsidRDefault="009F6352" w:rsidP="003A5987">
      <w:pPr>
        <w:pStyle w:val="Bulletsround"/>
        <w:rPr>
          <w:rFonts w:eastAsia="Arial Nova Light" w:cs="Arial Nova Light"/>
          <w:szCs w:val="20"/>
        </w:rPr>
      </w:pPr>
      <w:r>
        <w:rPr>
          <w:rFonts w:eastAsia="Arial Nova Light" w:cs="Arial Nova Light"/>
          <w:szCs w:val="20"/>
        </w:rPr>
        <w:t>U</w:t>
      </w:r>
      <w:r w:rsidR="3D1E965F" w:rsidRPr="003A5987">
        <w:rPr>
          <w:rFonts w:eastAsia="Arial Nova Light" w:cs="Arial Nova Light"/>
          <w:szCs w:val="20"/>
        </w:rPr>
        <w:t>tili</w:t>
      </w:r>
      <w:r w:rsidR="003A5987" w:rsidRPr="003A5987">
        <w:rPr>
          <w:rFonts w:eastAsia="Arial Nova Light" w:cs="Arial Nova Light"/>
          <w:szCs w:val="20"/>
        </w:rPr>
        <w:t>sing</w:t>
      </w:r>
      <w:r w:rsidR="3D1E965F" w:rsidRPr="003A5987">
        <w:rPr>
          <w:rFonts w:eastAsia="Arial Nova Light" w:cs="Arial Nova Light"/>
          <w:szCs w:val="20"/>
        </w:rPr>
        <w:t xml:space="preserve"> Preferred Supplier Panels to increase the number of QFleet suppliers and range of low emission vehicles available within the government fleet.</w:t>
      </w:r>
    </w:p>
    <w:p w14:paraId="74DBC7C9" w14:textId="6C6B4029" w:rsidR="005A7046" w:rsidRDefault="00CE7775" w:rsidP="00BC371C">
      <w:pPr>
        <w:pStyle w:val="DECHeading3"/>
      </w:pPr>
      <w:bookmarkStart w:id="421" w:name="_Toc172806419"/>
      <w:bookmarkStart w:id="422" w:name="_Toc172806705"/>
      <w:bookmarkStart w:id="423" w:name="_Toc172808539"/>
      <w:bookmarkStart w:id="424" w:name="_Toc174605680"/>
      <w:bookmarkStart w:id="425" w:name="_Toc176424818"/>
      <w:bookmarkStart w:id="426" w:name="_Toc176424977"/>
      <w:bookmarkStart w:id="427" w:name="_Toc111189220"/>
      <w:r>
        <w:t xml:space="preserve">Recognition and reward of </w:t>
      </w:r>
      <w:r w:rsidR="00CF5EFB">
        <w:t xml:space="preserve">supplier </w:t>
      </w:r>
      <w:r w:rsidR="00F9743C">
        <w:t>excellence</w:t>
      </w:r>
      <w:bookmarkEnd w:id="421"/>
      <w:bookmarkEnd w:id="422"/>
      <w:bookmarkEnd w:id="423"/>
      <w:bookmarkEnd w:id="424"/>
      <w:bookmarkEnd w:id="425"/>
      <w:bookmarkEnd w:id="426"/>
    </w:p>
    <w:p w14:paraId="11891710" w14:textId="7A8BDCD0" w:rsidR="005A7046" w:rsidRPr="00C53625" w:rsidRDefault="005A7046" w:rsidP="00D93DFD">
      <w:pPr>
        <w:pStyle w:val="DECHeading4"/>
        <w:rPr>
          <w:color w:val="auto"/>
        </w:rPr>
      </w:pPr>
      <w:bookmarkStart w:id="428" w:name="_Toc172808540"/>
      <w:bookmarkStart w:id="429" w:name="_Toc174605681"/>
      <w:bookmarkStart w:id="430" w:name="_Toc176424819"/>
      <w:bookmarkStart w:id="431" w:name="_Toc176424978"/>
      <w:r>
        <w:t xml:space="preserve">In </w:t>
      </w:r>
      <w:r w:rsidR="00F9743C" w:rsidRPr="00C53625">
        <w:rPr>
          <w:color w:val="auto"/>
        </w:rPr>
        <w:t>2023</w:t>
      </w:r>
      <w:r w:rsidR="00826FE3">
        <w:rPr>
          <w:color w:val="auto"/>
        </w:rPr>
        <w:t>–</w:t>
      </w:r>
      <w:r w:rsidR="00F9743C" w:rsidRPr="00C53625">
        <w:rPr>
          <w:color w:val="auto"/>
        </w:rPr>
        <w:t>24</w:t>
      </w:r>
      <w:r w:rsidR="000A413D">
        <w:rPr>
          <w:color w:val="auto"/>
        </w:rPr>
        <w:t>,</w:t>
      </w:r>
      <w:r w:rsidRPr="00C53625">
        <w:rPr>
          <w:color w:val="auto"/>
        </w:rPr>
        <w:t xml:space="preserve"> we </w:t>
      </w:r>
      <w:r w:rsidR="00D813D9" w:rsidRPr="00C53625">
        <w:rPr>
          <w:color w:val="auto"/>
        </w:rPr>
        <w:t xml:space="preserve">recognised and rewarded procurement excellence </w:t>
      </w:r>
      <w:r w:rsidR="00EE01AD" w:rsidRPr="00C53625">
        <w:rPr>
          <w:color w:val="auto"/>
        </w:rPr>
        <w:t>at the Supplier Awards</w:t>
      </w:r>
      <w:r w:rsidR="00D813D9" w:rsidRPr="00C53625">
        <w:rPr>
          <w:color w:val="auto"/>
        </w:rPr>
        <w:t xml:space="preserve"> by</w:t>
      </w:r>
      <w:r w:rsidR="00EE01AD" w:rsidRPr="00C53625">
        <w:rPr>
          <w:color w:val="auto"/>
        </w:rPr>
        <w:t xml:space="preserve"> presenting the</w:t>
      </w:r>
      <w:r w:rsidRPr="00C53625">
        <w:rPr>
          <w:color w:val="auto"/>
        </w:rPr>
        <w:t>:</w:t>
      </w:r>
      <w:bookmarkEnd w:id="428"/>
      <w:bookmarkEnd w:id="429"/>
      <w:bookmarkEnd w:id="430"/>
      <w:bookmarkEnd w:id="431"/>
    </w:p>
    <w:p w14:paraId="53467470" w14:textId="5B339B19" w:rsidR="005A7046" w:rsidRPr="000E3C5C" w:rsidRDefault="004557BB" w:rsidP="005A7046">
      <w:pPr>
        <w:pStyle w:val="ListParagraph"/>
        <w:spacing w:after="120"/>
      </w:pPr>
      <w:r>
        <w:t>P</w:t>
      </w:r>
      <w:r w:rsidRPr="000E3C5C">
        <w:t>utting Queenslanders First Award</w:t>
      </w:r>
      <w:r w:rsidR="009C4FA0" w:rsidRPr="000E3C5C">
        <w:t xml:space="preserve"> to Australian Training Works Group Pty Ltd</w:t>
      </w:r>
      <w:r w:rsidR="001313CC" w:rsidRPr="000E3C5C">
        <w:t xml:space="preserve"> for </w:t>
      </w:r>
      <w:r w:rsidR="00E107DD" w:rsidRPr="000E3C5C">
        <w:t>providing training and employment opportunities</w:t>
      </w:r>
      <w:r w:rsidR="001313CC" w:rsidRPr="000E3C5C">
        <w:t xml:space="preserve"> </w:t>
      </w:r>
      <w:r w:rsidR="00EE01AD" w:rsidRPr="000E3C5C">
        <w:t xml:space="preserve">for </w:t>
      </w:r>
      <w:r w:rsidR="00E107DD" w:rsidRPr="000E3C5C">
        <w:t>hundreds of Aboriginal and</w:t>
      </w:r>
      <w:r w:rsidR="002E492D">
        <w:t>/or</w:t>
      </w:r>
      <w:r w:rsidR="00E107DD" w:rsidRPr="000E3C5C">
        <w:t xml:space="preserve"> Torres Strait Islander people</w:t>
      </w:r>
      <w:r w:rsidR="003D33B7">
        <w:t>s</w:t>
      </w:r>
      <w:r w:rsidR="00F679CA">
        <w:t>.</w:t>
      </w:r>
    </w:p>
    <w:p w14:paraId="1B0DE119" w14:textId="5006B8E6" w:rsidR="007F4BCD" w:rsidRPr="000E3C5C" w:rsidRDefault="007F4BCD" w:rsidP="005A7046">
      <w:pPr>
        <w:pStyle w:val="ListParagraph"/>
        <w:spacing w:after="120"/>
      </w:pPr>
      <w:r>
        <w:t>D</w:t>
      </w:r>
      <w:r w:rsidRPr="000E3C5C">
        <w:t>iversity through Supply Chains Award to Bridgeman</w:t>
      </w:r>
      <w:r w:rsidR="004650AD" w:rsidRPr="000E3C5C">
        <w:t xml:space="preserve"> for </w:t>
      </w:r>
      <w:r w:rsidR="00E107DD" w:rsidRPr="000E3C5C">
        <w:t>their work in supporting Indigenous businesses and their programs that</w:t>
      </w:r>
      <w:r w:rsidR="004650AD" w:rsidRPr="000E3C5C">
        <w:t xml:space="preserve"> support </w:t>
      </w:r>
      <w:r w:rsidR="00104CEE" w:rsidRPr="000E3C5C">
        <w:t xml:space="preserve">the lives of </w:t>
      </w:r>
      <w:r w:rsidR="007A0553">
        <w:t>Aboriginal and</w:t>
      </w:r>
      <w:r w:rsidR="00E5369C">
        <w:t>/or</w:t>
      </w:r>
      <w:r w:rsidR="007A0553">
        <w:t xml:space="preserve"> Torres Strait Islander</w:t>
      </w:r>
      <w:r w:rsidR="003F1421">
        <w:t xml:space="preserve"> peoples in</w:t>
      </w:r>
      <w:r w:rsidR="00E107DD" w:rsidRPr="000E3C5C">
        <w:t xml:space="preserve"> Queensland</w:t>
      </w:r>
      <w:r w:rsidR="00F679CA">
        <w:t>.</w:t>
      </w:r>
    </w:p>
    <w:p w14:paraId="51C7C52A" w14:textId="092158D7" w:rsidR="00237879" w:rsidRPr="000E3C5C" w:rsidRDefault="00FD1AE6" w:rsidP="005A7046">
      <w:pPr>
        <w:pStyle w:val="ListParagraph"/>
        <w:spacing w:after="120"/>
      </w:pPr>
      <w:r>
        <w:t>D</w:t>
      </w:r>
      <w:r w:rsidRPr="000E3C5C">
        <w:t xml:space="preserve">elivering for Queensland Award </w:t>
      </w:r>
      <w:r w:rsidR="00105311" w:rsidRPr="000E3C5C">
        <w:t xml:space="preserve">to GP </w:t>
      </w:r>
      <w:r w:rsidR="07172689">
        <w:t xml:space="preserve">One </w:t>
      </w:r>
      <w:r w:rsidR="00105311" w:rsidRPr="000E3C5C">
        <w:t xml:space="preserve">Consulting </w:t>
      </w:r>
      <w:r w:rsidR="00EE01AD" w:rsidRPr="000E3C5C">
        <w:t xml:space="preserve">for </w:t>
      </w:r>
      <w:r w:rsidR="00E107DD" w:rsidRPr="000E3C5C">
        <w:t>their innovative solutions to</w:t>
      </w:r>
      <w:r w:rsidR="00EE01AD" w:rsidRPr="000E3C5C">
        <w:t xml:space="preserve"> disaster response and</w:t>
      </w:r>
      <w:r w:rsidR="00E107DD" w:rsidRPr="000E3C5C">
        <w:t xml:space="preserve"> wildlife management</w:t>
      </w:r>
      <w:r w:rsidR="00F679CA">
        <w:t>.</w:t>
      </w:r>
    </w:p>
    <w:p w14:paraId="2DB9D552" w14:textId="5C5B863F" w:rsidR="005A7046" w:rsidRDefault="009F6352" w:rsidP="00283851">
      <w:pPr>
        <w:pStyle w:val="ListParagraph"/>
        <w:spacing w:after="120"/>
      </w:pPr>
      <w:r>
        <w:t>M</w:t>
      </w:r>
      <w:r w:rsidR="00E107DD" w:rsidRPr="000E3C5C">
        <w:t>inister</w:t>
      </w:r>
      <w:r w:rsidR="00E00B66" w:rsidRPr="000E3C5C">
        <w:t>’</w:t>
      </w:r>
      <w:r w:rsidR="00E107DD" w:rsidRPr="000E3C5C">
        <w:t xml:space="preserve">s </w:t>
      </w:r>
      <w:r w:rsidR="00E107DD" w:rsidRPr="000E3C5C">
        <w:rPr>
          <w:i/>
        </w:rPr>
        <w:t>Buy Queensland</w:t>
      </w:r>
      <w:r w:rsidR="00E107DD" w:rsidRPr="000E3C5C">
        <w:t xml:space="preserve"> Award to The Social Deck for their diverse and inclusive employment practices, pro-bono work and sponsorships</w:t>
      </w:r>
      <w:r w:rsidR="00F679CA">
        <w:t>.</w:t>
      </w:r>
    </w:p>
    <w:p w14:paraId="7B7DA162" w14:textId="49F8292F" w:rsidR="005A7046" w:rsidRDefault="00C17619" w:rsidP="00BC371C">
      <w:pPr>
        <w:pStyle w:val="DECHeading3"/>
      </w:pPr>
      <w:bookmarkStart w:id="432" w:name="_Toc172806420"/>
      <w:bookmarkStart w:id="433" w:name="_Toc172806706"/>
      <w:bookmarkStart w:id="434" w:name="_Toc172808541"/>
      <w:bookmarkStart w:id="435" w:name="_Toc174605682"/>
      <w:bookmarkStart w:id="436" w:name="_Toc176424820"/>
      <w:bookmarkStart w:id="437" w:name="_Toc176424979"/>
      <w:r>
        <w:t>Delivery of the Q2032 Procurement Strategy</w:t>
      </w:r>
      <w:bookmarkEnd w:id="432"/>
      <w:bookmarkEnd w:id="433"/>
      <w:bookmarkEnd w:id="434"/>
      <w:bookmarkEnd w:id="435"/>
      <w:bookmarkEnd w:id="436"/>
      <w:bookmarkEnd w:id="437"/>
    </w:p>
    <w:p w14:paraId="3C05C974" w14:textId="181C3611" w:rsidR="005A7046" w:rsidRPr="003A5987" w:rsidRDefault="005A7046" w:rsidP="00D93DFD">
      <w:pPr>
        <w:pStyle w:val="DECHeading4"/>
        <w:rPr>
          <w:color w:val="auto"/>
        </w:rPr>
      </w:pPr>
      <w:bookmarkStart w:id="438" w:name="_Toc172808542"/>
      <w:bookmarkStart w:id="439" w:name="_Toc174605683"/>
      <w:bookmarkStart w:id="440" w:name="_Toc176424821"/>
      <w:bookmarkStart w:id="441" w:name="_Toc176424980"/>
      <w:r>
        <w:t xml:space="preserve">In </w:t>
      </w:r>
      <w:r w:rsidR="00F9743C" w:rsidRPr="003A5987">
        <w:rPr>
          <w:color w:val="auto"/>
        </w:rPr>
        <w:t>2023</w:t>
      </w:r>
      <w:r w:rsidR="009C6D5D">
        <w:rPr>
          <w:color w:val="auto"/>
        </w:rPr>
        <w:t>–</w:t>
      </w:r>
      <w:r w:rsidR="00F9743C" w:rsidRPr="003A5987">
        <w:rPr>
          <w:color w:val="auto"/>
        </w:rPr>
        <w:t>24</w:t>
      </w:r>
      <w:r w:rsidR="000A413D">
        <w:rPr>
          <w:color w:val="auto"/>
        </w:rPr>
        <w:t>,</w:t>
      </w:r>
      <w:r w:rsidR="00F9743C" w:rsidRPr="003A5987">
        <w:rPr>
          <w:color w:val="auto"/>
        </w:rPr>
        <w:t xml:space="preserve"> we continued to deliver the Q2032 Procurement Strategy by:</w:t>
      </w:r>
      <w:bookmarkEnd w:id="438"/>
      <w:bookmarkEnd w:id="439"/>
      <w:bookmarkEnd w:id="440"/>
      <w:bookmarkEnd w:id="441"/>
      <w:r w:rsidR="00F9743C" w:rsidRPr="003A5987">
        <w:rPr>
          <w:color w:val="auto"/>
        </w:rPr>
        <w:t xml:space="preserve"> </w:t>
      </w:r>
    </w:p>
    <w:p w14:paraId="0C172C58" w14:textId="4448D340" w:rsidR="00A02EB7" w:rsidRPr="005D2D06" w:rsidRDefault="009F6352" w:rsidP="000E3C5C">
      <w:pPr>
        <w:pStyle w:val="ListParagraph"/>
        <w:spacing w:after="120"/>
      </w:pPr>
      <w:r>
        <w:t>C</w:t>
      </w:r>
      <w:r w:rsidR="00A02EB7" w:rsidRPr="005D2D06">
        <w:t>onduct</w:t>
      </w:r>
      <w:r w:rsidR="00BF5B12" w:rsidRPr="005D2D06">
        <w:t>ing</w:t>
      </w:r>
      <w:r w:rsidR="00A02EB7" w:rsidRPr="005D2D06">
        <w:t xml:space="preserve"> 14 Games-focussed regional roadshows and one online event</w:t>
      </w:r>
      <w:r w:rsidR="00294813">
        <w:t>.</w:t>
      </w:r>
    </w:p>
    <w:p w14:paraId="700CDF97" w14:textId="22267F43" w:rsidR="00A02EB7" w:rsidRPr="005D2D06" w:rsidRDefault="009F6352" w:rsidP="000E3C5C">
      <w:pPr>
        <w:pStyle w:val="ListParagraph"/>
        <w:spacing w:after="120"/>
      </w:pPr>
      <w:r>
        <w:t>S</w:t>
      </w:r>
      <w:r w:rsidR="00A02EB7" w:rsidRPr="005D2D06">
        <w:t>upport</w:t>
      </w:r>
      <w:r w:rsidR="00BF5B12" w:rsidRPr="005D2D06">
        <w:t>ing</w:t>
      </w:r>
      <w:r w:rsidR="00A02EB7" w:rsidRPr="005D2D06">
        <w:t xml:space="preserve"> two Opportunity 2032 events in Cairns and Townsvill</w:t>
      </w:r>
      <w:r w:rsidR="00BF5B12" w:rsidRPr="005D2D06">
        <w:t>e</w:t>
      </w:r>
      <w:r w:rsidR="00294813">
        <w:t>.</w:t>
      </w:r>
    </w:p>
    <w:p w14:paraId="38EAA9D4" w14:textId="77703D73" w:rsidR="00A02EB7" w:rsidRPr="005D2D06" w:rsidRDefault="009F6352" w:rsidP="000E3C5C">
      <w:pPr>
        <w:pStyle w:val="ListParagraph"/>
        <w:spacing w:after="120"/>
      </w:pPr>
      <w:r>
        <w:t>I</w:t>
      </w:r>
      <w:r w:rsidR="00294813">
        <w:t>n</w:t>
      </w:r>
      <w:r w:rsidR="00A02EB7" w:rsidRPr="005D2D06">
        <w:t>troduc</w:t>
      </w:r>
      <w:r w:rsidR="00BF5B12" w:rsidRPr="005D2D06">
        <w:t>ing</w:t>
      </w:r>
      <w:r w:rsidR="00A02EB7" w:rsidRPr="005D2D06">
        <w:t xml:space="preserve"> Games-related content to the Queensland Government Procurement Statement</w:t>
      </w:r>
      <w:r w:rsidR="00294813">
        <w:t>.</w:t>
      </w:r>
    </w:p>
    <w:p w14:paraId="1D81FB2A" w14:textId="7877B76D" w:rsidR="00A02EB7" w:rsidRPr="005D2D06" w:rsidRDefault="009F6352" w:rsidP="000E3C5C">
      <w:pPr>
        <w:pStyle w:val="ListParagraph"/>
        <w:spacing w:after="120"/>
      </w:pPr>
      <w:r>
        <w:t>P</w:t>
      </w:r>
      <w:r w:rsidR="00A02EB7" w:rsidRPr="005D2D06">
        <w:t>ublish</w:t>
      </w:r>
      <w:r w:rsidR="00BF5B12" w:rsidRPr="005D2D06">
        <w:t>ing</w:t>
      </w:r>
      <w:r w:rsidR="00A02EB7" w:rsidRPr="005D2D06">
        <w:t xml:space="preserve"> 13 Games-related opportunities on the Queensland </w:t>
      </w:r>
      <w:r w:rsidR="006C1EC4">
        <w:t>G</w:t>
      </w:r>
      <w:r w:rsidR="00A02EB7" w:rsidRPr="005D2D06">
        <w:t xml:space="preserve">overnment </w:t>
      </w:r>
      <w:r w:rsidR="00A3424D">
        <w:t>f</w:t>
      </w:r>
      <w:r w:rsidR="00A02EB7" w:rsidRPr="005D2D06">
        <w:t xml:space="preserve">orward </w:t>
      </w:r>
      <w:r w:rsidR="00A3424D">
        <w:t>p</w:t>
      </w:r>
      <w:r w:rsidR="00A02EB7" w:rsidRPr="005D2D06">
        <w:t xml:space="preserve">rocurement </w:t>
      </w:r>
      <w:r w:rsidR="00A3424D">
        <w:t>p</w:t>
      </w:r>
      <w:r w:rsidR="00A02EB7" w:rsidRPr="005D2D06">
        <w:t>ipeline</w:t>
      </w:r>
      <w:r w:rsidR="00294813">
        <w:t>.</w:t>
      </w:r>
    </w:p>
    <w:p w14:paraId="50DF57D6" w14:textId="6459B6D0" w:rsidR="005A7046" w:rsidRPr="005D2D06" w:rsidRDefault="009F6352" w:rsidP="005A7046">
      <w:pPr>
        <w:pStyle w:val="ListParagraph"/>
        <w:spacing w:after="120"/>
      </w:pPr>
      <w:r>
        <w:t>P</w:t>
      </w:r>
      <w:r w:rsidR="00A02EB7" w:rsidRPr="005D2D06">
        <w:t>rovid</w:t>
      </w:r>
      <w:r w:rsidR="00BF5B12" w:rsidRPr="005D2D06">
        <w:t xml:space="preserve">ing </w:t>
      </w:r>
      <w:r w:rsidR="00A02EB7" w:rsidRPr="005D2D06">
        <w:t>updates to registered supplier representative</w:t>
      </w:r>
      <w:r w:rsidR="00BF5B12" w:rsidRPr="005D2D06">
        <w:t xml:space="preserve">s for their </w:t>
      </w:r>
      <w:r w:rsidR="00A02EB7" w:rsidRPr="005D2D06">
        <w:t>interest in receiving Games-related updates</w:t>
      </w:r>
      <w:r w:rsidR="00294813">
        <w:t>.</w:t>
      </w:r>
    </w:p>
    <w:p w14:paraId="390A649E" w14:textId="4038988D" w:rsidR="00FF24EC" w:rsidRPr="00C91D3D" w:rsidRDefault="00FF24EC" w:rsidP="00A52543">
      <w:pPr>
        <w:pStyle w:val="DECHeading3"/>
      </w:pPr>
      <w:bookmarkStart w:id="442" w:name="_Toc138317850"/>
      <w:bookmarkStart w:id="443" w:name="_Toc172794882"/>
      <w:bookmarkStart w:id="444" w:name="_Toc172806421"/>
      <w:bookmarkStart w:id="445" w:name="_Toc172806707"/>
      <w:bookmarkStart w:id="446" w:name="_Toc172808543"/>
      <w:bookmarkStart w:id="447" w:name="_Toc174605684"/>
      <w:bookmarkStart w:id="448" w:name="_Toc176424822"/>
      <w:bookmarkStart w:id="449" w:name="_Toc176424981"/>
      <w:r w:rsidRPr="00C91D3D">
        <w:lastRenderedPageBreak/>
        <w:t xml:space="preserve">Looking forward </w:t>
      </w:r>
      <w:bookmarkEnd w:id="427"/>
      <w:bookmarkEnd w:id="442"/>
      <w:r w:rsidR="00C91D3D" w:rsidRPr="00C91D3D">
        <w:t>2024</w:t>
      </w:r>
      <w:r w:rsidR="007E26C2">
        <w:t>–</w:t>
      </w:r>
      <w:r w:rsidR="00C91D3D" w:rsidRPr="00C91D3D">
        <w:t>25</w:t>
      </w:r>
      <w:bookmarkEnd w:id="443"/>
      <w:bookmarkEnd w:id="444"/>
      <w:bookmarkEnd w:id="445"/>
      <w:bookmarkEnd w:id="446"/>
      <w:bookmarkEnd w:id="447"/>
      <w:bookmarkEnd w:id="448"/>
      <w:bookmarkEnd w:id="449"/>
    </w:p>
    <w:p w14:paraId="5EC2C6EE" w14:textId="0D39EC07" w:rsidR="00FF24EC" w:rsidRPr="00AD719C" w:rsidRDefault="00FF24EC" w:rsidP="00D93DFD">
      <w:pPr>
        <w:pStyle w:val="DECHeading4"/>
      </w:pPr>
      <w:bookmarkStart w:id="450" w:name="_Toc172808544"/>
      <w:bookmarkStart w:id="451" w:name="_Toc174605685"/>
      <w:bookmarkStart w:id="452" w:name="_Toc176424823"/>
      <w:bookmarkStart w:id="453" w:name="_Toc176424982"/>
      <w:r w:rsidRPr="00AD719C">
        <w:t xml:space="preserve">In </w:t>
      </w:r>
      <w:r w:rsidR="00AD719C" w:rsidRPr="00AD719C">
        <w:t>2024</w:t>
      </w:r>
      <w:r w:rsidR="00DA79A0">
        <w:t>–</w:t>
      </w:r>
      <w:r w:rsidR="00AD719C" w:rsidRPr="00AD719C">
        <w:t>25</w:t>
      </w:r>
      <w:r w:rsidRPr="00AD719C">
        <w:t>, we will continue to work to realise and support government priorities by:</w:t>
      </w:r>
      <w:bookmarkEnd w:id="450"/>
      <w:bookmarkEnd w:id="451"/>
      <w:bookmarkEnd w:id="452"/>
      <w:bookmarkEnd w:id="453"/>
      <w:r w:rsidRPr="00AD719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D879C2" w14:paraId="0C713F9A" w14:textId="77777777" w:rsidTr="0066219A">
        <w:tc>
          <w:tcPr>
            <w:tcW w:w="9514" w:type="dxa"/>
            <w:shd w:val="clear" w:color="auto" w:fill="F2F2F2" w:themeFill="background1" w:themeFillShade="F2"/>
          </w:tcPr>
          <w:p w14:paraId="025A53A5" w14:textId="77777777" w:rsidR="00D879C2" w:rsidRDefault="00D879C2" w:rsidP="0066219A">
            <w:pPr>
              <w:pStyle w:val="ListParagraph"/>
              <w:spacing w:after="120"/>
              <w:ind w:left="261" w:hanging="357"/>
            </w:pPr>
            <w:bookmarkStart w:id="454" w:name="_Objective_three"/>
            <w:bookmarkStart w:id="455" w:name="_Toc172794883"/>
            <w:bookmarkStart w:id="456" w:name="_Toc172806422"/>
            <w:bookmarkStart w:id="457" w:name="_Toc172808408"/>
            <w:bookmarkEnd w:id="454"/>
            <w:r>
              <w:t>S</w:t>
            </w:r>
            <w:r w:rsidRPr="002764BD">
              <w:t>upport</w:t>
            </w:r>
            <w:r>
              <w:t>ing</w:t>
            </w:r>
            <w:r w:rsidRPr="002764BD">
              <w:t xml:space="preserve"> reduction of government emissions by increasing the proportion of government large scale electricity supplied by renewables</w:t>
            </w:r>
            <w:r>
              <w:t>.</w:t>
            </w:r>
          </w:p>
          <w:p w14:paraId="5E478701" w14:textId="77777777" w:rsidR="00D879C2" w:rsidRDefault="00D879C2" w:rsidP="0066219A">
            <w:pPr>
              <w:pStyle w:val="ListParagraph"/>
              <w:spacing w:after="120"/>
              <w:ind w:left="261" w:hanging="357"/>
            </w:pPr>
            <w:r>
              <w:t xml:space="preserve">Continuing the three-year implementation of </w:t>
            </w:r>
            <w:r w:rsidRPr="34A9D6F6">
              <w:rPr>
                <w:i/>
                <w:iCs/>
              </w:rPr>
              <w:t>Buy Queensland 2023</w:t>
            </w:r>
            <w:r>
              <w:t xml:space="preserve"> to ensure Queensland benefits from government’s procurement investment.</w:t>
            </w:r>
          </w:p>
          <w:p w14:paraId="791315B1" w14:textId="77777777" w:rsidR="00D879C2" w:rsidRDefault="00D879C2" w:rsidP="0066219A">
            <w:pPr>
              <w:pStyle w:val="ListParagraph"/>
              <w:spacing w:after="120"/>
              <w:ind w:left="261" w:hanging="357"/>
            </w:pPr>
            <w:r>
              <w:t xml:space="preserve">Continuing to roll out the new procurement system across government to enhance supplier visibility of procurement opportunities and </w:t>
            </w:r>
            <w:r w:rsidRPr="000E3C5C">
              <w:t>streamline</w:t>
            </w:r>
            <w:r>
              <w:t xml:space="preserve"> engagement with the government, leading to reduced time and </w:t>
            </w:r>
            <w:r w:rsidRPr="000E3C5C">
              <w:t>greater</w:t>
            </w:r>
            <w:r>
              <w:t xml:space="preserve"> efficiency in the procurement process.</w:t>
            </w:r>
          </w:p>
          <w:p w14:paraId="2FB989B3" w14:textId="77777777" w:rsidR="0053043D" w:rsidRDefault="00D879C2" w:rsidP="0066219A">
            <w:pPr>
              <w:pStyle w:val="ListParagraph"/>
              <w:spacing w:before="0" w:after="120" w:line="259" w:lineRule="auto"/>
              <w:ind w:left="249" w:hanging="357"/>
              <w:rPr>
                <w:rFonts w:eastAsia="Arial Nova Light" w:cs="Arial Nova Light"/>
              </w:rPr>
            </w:pPr>
            <w:proofErr w:type="spellStart"/>
            <w:r w:rsidRPr="0053043D">
              <w:rPr>
                <w:rFonts w:eastAsia="Arial Nova Light" w:cs="Arial Nova Light"/>
              </w:rPr>
              <w:t>Prioritising</w:t>
            </w:r>
            <w:proofErr w:type="spellEnd"/>
            <w:r w:rsidRPr="0053043D">
              <w:rPr>
                <w:rFonts w:eastAsia="Arial Nova Light" w:cs="Arial Nova Light"/>
              </w:rPr>
              <w:t xml:space="preserve"> investment in technologies that enable self-service and support whole-of-government fleet management reporting.</w:t>
            </w:r>
          </w:p>
          <w:p w14:paraId="26CE1DC5" w14:textId="1BBFFF80" w:rsidR="00D879C2" w:rsidRPr="0053043D" w:rsidRDefault="00D879C2" w:rsidP="0066219A">
            <w:pPr>
              <w:pStyle w:val="ListParagraph"/>
              <w:spacing w:before="0" w:after="120" w:line="259" w:lineRule="auto"/>
              <w:ind w:left="249" w:hanging="357"/>
              <w:rPr>
                <w:rFonts w:eastAsia="Arial Nova Light" w:cs="Arial Nova Light"/>
              </w:rPr>
            </w:pPr>
            <w:r w:rsidRPr="0053043D">
              <w:rPr>
                <w:rFonts w:eastAsia="Arial Nova Light" w:cs="Arial Nova Light"/>
              </w:rPr>
              <w:t>Developing and introducing procurement guidance and training on:</w:t>
            </w:r>
          </w:p>
          <w:p w14:paraId="4C58CC62" w14:textId="77777777" w:rsidR="00D879C2" w:rsidRPr="00EE7B27" w:rsidRDefault="00D879C2" w:rsidP="00D879C2">
            <w:pPr>
              <w:pStyle w:val="ListParagraph"/>
              <w:numPr>
                <w:ilvl w:val="1"/>
                <w:numId w:val="12"/>
              </w:numPr>
              <w:spacing w:after="120"/>
              <w:ind w:hanging="465"/>
              <w:rPr>
                <w:rFonts w:eastAsia="Arial Nova Light" w:cs="Arial Nova Light"/>
              </w:rPr>
            </w:pPr>
            <w:r w:rsidRPr="00EE7B27">
              <w:rPr>
                <w:rFonts w:eastAsia="Arial Nova Light" w:cs="Arial Nova Light"/>
              </w:rPr>
              <w:t>Procuring for government</w:t>
            </w:r>
          </w:p>
          <w:p w14:paraId="05A59FD3" w14:textId="77777777" w:rsidR="00D879C2" w:rsidRPr="00EE7B27" w:rsidRDefault="00D879C2" w:rsidP="00D879C2">
            <w:pPr>
              <w:pStyle w:val="ListParagraph"/>
              <w:numPr>
                <w:ilvl w:val="1"/>
                <w:numId w:val="12"/>
              </w:numPr>
              <w:spacing w:after="120"/>
              <w:ind w:hanging="465"/>
              <w:rPr>
                <w:rFonts w:eastAsia="Arial Nova Light" w:cs="Arial Nova Light"/>
              </w:rPr>
            </w:pPr>
            <w:r w:rsidRPr="00EE7B27">
              <w:rPr>
                <w:rFonts w:eastAsia="Arial Nova Light" w:cs="Arial Nova Light"/>
              </w:rPr>
              <w:t xml:space="preserve">Better engagement practices for consultants, </w:t>
            </w:r>
            <w:proofErr w:type="gramStart"/>
            <w:r w:rsidRPr="00EE7B27">
              <w:rPr>
                <w:rFonts w:eastAsia="Arial Nova Light" w:cs="Arial Nova Light"/>
              </w:rPr>
              <w:t>contractors</w:t>
            </w:r>
            <w:proofErr w:type="gramEnd"/>
            <w:r w:rsidRPr="00EE7B27">
              <w:rPr>
                <w:rFonts w:eastAsia="Arial Nova Light" w:cs="Arial Nova Light"/>
              </w:rPr>
              <w:t xml:space="preserve"> and indirect workers</w:t>
            </w:r>
            <w:r>
              <w:rPr>
                <w:rFonts w:eastAsia="Arial Nova Light" w:cs="Arial Nova Light"/>
              </w:rPr>
              <w:t>.</w:t>
            </w:r>
          </w:p>
          <w:p w14:paraId="3DF11B6C" w14:textId="77777777" w:rsidR="00D879C2" w:rsidRPr="00EE7B27" w:rsidRDefault="00D879C2" w:rsidP="0066219A">
            <w:pPr>
              <w:pStyle w:val="ListParagraph"/>
              <w:spacing w:after="120"/>
              <w:ind w:left="261" w:hanging="357"/>
              <w:rPr>
                <w:rFonts w:eastAsia="Arial Nova Light" w:cs="Arial Nova Light"/>
              </w:rPr>
            </w:pPr>
            <w:r w:rsidRPr="00EE7B27">
              <w:rPr>
                <w:rFonts w:eastAsia="Arial Nova Light" w:cs="Arial Nova Light"/>
              </w:rPr>
              <w:t>Hosting targeted networking events showcasing diverse suppliers.</w:t>
            </w:r>
          </w:p>
          <w:p w14:paraId="65B5D9CB" w14:textId="77777777" w:rsidR="00D879C2" w:rsidRPr="00427784" w:rsidRDefault="00D879C2" w:rsidP="0066219A">
            <w:pPr>
              <w:pStyle w:val="ListParagraph"/>
              <w:spacing w:after="120"/>
              <w:ind w:left="261" w:hanging="357"/>
            </w:pPr>
            <w:r w:rsidRPr="008C1FC8">
              <w:rPr>
                <w:rFonts w:eastAsia="Arial Nova Light" w:cs="Arial Nova Light"/>
              </w:rPr>
              <w:t>Continuing to promote</w:t>
            </w:r>
            <w:r w:rsidRPr="008340C7">
              <w:t xml:space="preserve"> collaboration with agencies to </w:t>
            </w:r>
            <w:proofErr w:type="spellStart"/>
            <w:r w:rsidRPr="008340C7">
              <w:t>realise</w:t>
            </w:r>
            <w:proofErr w:type="spellEnd"/>
            <w:r w:rsidRPr="008340C7">
              <w:t xml:space="preserve"> targets and commitments in the General Goods and Services Category Strategy.</w:t>
            </w:r>
          </w:p>
        </w:tc>
      </w:tr>
    </w:tbl>
    <w:p w14:paraId="6AD6F2A7" w14:textId="4CF0CF06" w:rsidR="00D879C2" w:rsidRPr="0053043D" w:rsidRDefault="00977460">
      <w:pPr>
        <w:spacing w:before="0" w:after="160" w:line="259" w:lineRule="auto"/>
      </w:pPr>
      <w:r>
        <w:br w:type="page"/>
      </w:r>
    </w:p>
    <w:p w14:paraId="5292E493" w14:textId="0B6EAEDE" w:rsidR="003A60B2" w:rsidRPr="00260DA1" w:rsidRDefault="003A60B2" w:rsidP="009F2845">
      <w:pPr>
        <w:pStyle w:val="DECheading11"/>
      </w:pPr>
      <w:bookmarkStart w:id="458" w:name="_Toc176424983"/>
      <w:r w:rsidRPr="00260DA1">
        <w:lastRenderedPageBreak/>
        <w:t xml:space="preserve">Objective </w:t>
      </w:r>
      <w:r>
        <w:t>three</w:t>
      </w:r>
      <w:bookmarkEnd w:id="455"/>
      <w:bookmarkEnd w:id="456"/>
      <w:bookmarkEnd w:id="457"/>
      <w:bookmarkEnd w:id="458"/>
      <w:r w:rsidRPr="00260DA1">
        <w:t xml:space="preserve"> </w:t>
      </w:r>
    </w:p>
    <w:p w14:paraId="6AD4003C" w14:textId="3671D2F7" w:rsidR="00E166D2" w:rsidRPr="00E166D2" w:rsidRDefault="00E166D2" w:rsidP="009F2845">
      <w:pPr>
        <w:pStyle w:val="DECHeading2"/>
      </w:pPr>
      <w:bookmarkStart w:id="459" w:name="_Toc172794884"/>
      <w:bookmarkStart w:id="460" w:name="_Toc172806423"/>
      <w:bookmarkStart w:id="461" w:name="_Toc172806709"/>
      <w:bookmarkStart w:id="462" w:name="_Toc172808546"/>
      <w:bookmarkStart w:id="463" w:name="_Toc174605687"/>
      <w:bookmarkStart w:id="464" w:name="_Toc176424825"/>
      <w:bookmarkStart w:id="465" w:name="_Toc176424984"/>
      <w:r w:rsidRPr="00E166D2">
        <w:t xml:space="preserve">Drive a cleaner economy and more jobs through lower emissions and climate </w:t>
      </w:r>
      <w:proofErr w:type="gramStart"/>
      <w:r w:rsidRPr="00E166D2">
        <w:t>action</w:t>
      </w:r>
      <w:bookmarkEnd w:id="459"/>
      <w:bookmarkEnd w:id="460"/>
      <w:bookmarkEnd w:id="461"/>
      <w:bookmarkEnd w:id="462"/>
      <w:bookmarkEnd w:id="463"/>
      <w:bookmarkEnd w:id="464"/>
      <w:bookmarkEnd w:id="465"/>
      <w:proofErr w:type="gramEnd"/>
    </w:p>
    <w:p w14:paraId="0F23AF3F" w14:textId="263ACD9B" w:rsidR="00177BCC" w:rsidRDefault="00DE01D9" w:rsidP="00037AFB">
      <w:pPr>
        <w:pStyle w:val="DECHeading3"/>
      </w:pPr>
      <w:bookmarkStart w:id="466" w:name="_Toc172794885"/>
      <w:bookmarkStart w:id="467" w:name="_Toc172806424"/>
      <w:bookmarkStart w:id="468" w:name="_Toc172806710"/>
      <w:bookmarkStart w:id="469" w:name="_Toc172808547"/>
      <w:bookmarkStart w:id="470" w:name="_Toc174605688"/>
      <w:bookmarkStart w:id="471" w:name="_Toc176424826"/>
      <w:bookmarkStart w:id="472" w:name="_Toc176424985"/>
      <w:r>
        <w:t xml:space="preserve">Lead </w:t>
      </w:r>
      <w:r w:rsidR="00E02ED9">
        <w:t xml:space="preserve">action to reduce </w:t>
      </w:r>
      <w:r w:rsidR="00EE2A26">
        <w:t xml:space="preserve">emissions </w:t>
      </w:r>
      <w:r w:rsidR="001D6B77">
        <w:t xml:space="preserve">and build climate resilience </w:t>
      </w:r>
      <w:r w:rsidR="00EE2A26">
        <w:t xml:space="preserve">in partnership with industry, communities and all levels of </w:t>
      </w:r>
      <w:proofErr w:type="gramStart"/>
      <w:r w:rsidR="00EE2A26">
        <w:t>government</w:t>
      </w:r>
      <w:bookmarkEnd w:id="466"/>
      <w:bookmarkEnd w:id="467"/>
      <w:bookmarkEnd w:id="468"/>
      <w:bookmarkEnd w:id="469"/>
      <w:bookmarkEnd w:id="470"/>
      <w:bookmarkEnd w:id="471"/>
      <w:bookmarkEnd w:id="472"/>
      <w:proofErr w:type="gramEnd"/>
    </w:p>
    <w:p w14:paraId="067F6F40" w14:textId="77777777" w:rsidR="00A50464" w:rsidRDefault="00A50464" w:rsidP="00A50464">
      <w:pPr>
        <w:spacing w:before="0"/>
        <w:ind w:left="-3" w:right="-6"/>
        <w:rPr>
          <w:rFonts w:eastAsia="Arial Nova Light" w:cs="Arial Nova Light"/>
          <w:szCs w:val="20"/>
        </w:rPr>
      </w:pPr>
      <w:r>
        <w:rPr>
          <w:rFonts w:eastAsia="Arial Nova Light" w:cs="Arial Nova Light"/>
          <w:szCs w:val="20"/>
        </w:rPr>
        <w:t xml:space="preserve">We deliver this objective through our Climate and </w:t>
      </w:r>
      <w:r w:rsidRPr="00C060ED">
        <w:rPr>
          <w:rFonts w:eastAsia="Arial Nova Light" w:cs="Arial Nova Light"/>
          <w:szCs w:val="20"/>
        </w:rPr>
        <w:t xml:space="preserve">QFleet </w:t>
      </w:r>
      <w:r>
        <w:rPr>
          <w:rFonts w:eastAsia="Arial Nova Light" w:cs="Arial Nova Light"/>
          <w:szCs w:val="20"/>
        </w:rPr>
        <w:t>functions by:</w:t>
      </w:r>
    </w:p>
    <w:p w14:paraId="4B287411" w14:textId="77777777" w:rsidR="00206E6C" w:rsidRPr="00A50464" w:rsidRDefault="00206E6C" w:rsidP="00206E6C">
      <w:pPr>
        <w:pStyle w:val="ListParagraph"/>
        <w:numPr>
          <w:ilvl w:val="0"/>
          <w:numId w:val="24"/>
        </w:numPr>
        <w:spacing w:after="120" w:line="259" w:lineRule="auto"/>
        <w:ind w:left="357" w:hanging="357"/>
      </w:pPr>
      <w:r w:rsidRPr="00A50464">
        <w:t>Decarbonis</w:t>
      </w:r>
      <w:r>
        <w:t>ing</w:t>
      </w:r>
      <w:r w:rsidRPr="00A50464">
        <w:t xml:space="preserve"> and grow</w:t>
      </w:r>
      <w:r>
        <w:t xml:space="preserve">ing </w:t>
      </w:r>
      <w:r w:rsidRPr="00A50464">
        <w:t xml:space="preserve">our industries and </w:t>
      </w:r>
      <w:proofErr w:type="gramStart"/>
      <w:r w:rsidRPr="00A50464">
        <w:t>jobs</w:t>
      </w:r>
      <w:proofErr w:type="gramEnd"/>
    </w:p>
    <w:p w14:paraId="61DBAFEE" w14:textId="77777777" w:rsidR="00A50464" w:rsidRPr="00A50464" w:rsidRDefault="00A50464" w:rsidP="00113DF0">
      <w:pPr>
        <w:numPr>
          <w:ilvl w:val="0"/>
          <w:numId w:val="24"/>
        </w:numPr>
        <w:ind w:left="357" w:hanging="357"/>
      </w:pPr>
      <w:r w:rsidRPr="00A50464">
        <w:t>Achieving emissions reduction targets</w:t>
      </w:r>
    </w:p>
    <w:p w14:paraId="4B523958" w14:textId="77777777" w:rsidR="00A50464" w:rsidRPr="00A50464" w:rsidRDefault="00A50464" w:rsidP="00113DF0">
      <w:pPr>
        <w:pStyle w:val="ListParagraph"/>
        <w:numPr>
          <w:ilvl w:val="0"/>
          <w:numId w:val="24"/>
        </w:numPr>
        <w:spacing w:after="120" w:line="259" w:lineRule="auto"/>
        <w:ind w:left="357" w:hanging="357"/>
      </w:pPr>
      <w:r w:rsidRPr="00A50464">
        <w:t>Build</w:t>
      </w:r>
      <w:r>
        <w:t>ing</w:t>
      </w:r>
      <w:r w:rsidRPr="00A50464">
        <w:t xml:space="preserve"> competitive advantages through low emissions pathways</w:t>
      </w:r>
    </w:p>
    <w:p w14:paraId="2C6EC182" w14:textId="77777777" w:rsidR="00A50464" w:rsidRPr="00A50464" w:rsidRDefault="00A50464" w:rsidP="00113DF0">
      <w:pPr>
        <w:pStyle w:val="ListParagraph"/>
        <w:numPr>
          <w:ilvl w:val="0"/>
          <w:numId w:val="24"/>
        </w:numPr>
        <w:spacing w:after="120" w:line="259" w:lineRule="auto"/>
        <w:ind w:left="357" w:hanging="357"/>
      </w:pPr>
      <w:r w:rsidRPr="00A50464">
        <w:t>Support</w:t>
      </w:r>
      <w:r>
        <w:t>ing</w:t>
      </w:r>
      <w:r w:rsidRPr="00A50464">
        <w:t xml:space="preserve"> communities to build resilience and prosper in a low carbon </w:t>
      </w:r>
      <w:proofErr w:type="gramStart"/>
      <w:r w:rsidRPr="00A50464">
        <w:t>world</w:t>
      </w:r>
      <w:proofErr w:type="gramEnd"/>
    </w:p>
    <w:p w14:paraId="4251F3B0" w14:textId="77777777" w:rsidR="00A50464" w:rsidRDefault="00A50464" w:rsidP="00113DF0">
      <w:pPr>
        <w:pStyle w:val="ListParagraph"/>
        <w:numPr>
          <w:ilvl w:val="0"/>
          <w:numId w:val="24"/>
        </w:numPr>
        <w:spacing w:after="120" w:line="259" w:lineRule="auto"/>
        <w:ind w:left="357" w:hanging="357"/>
      </w:pPr>
      <w:r w:rsidRPr="00A50464">
        <w:t>Support</w:t>
      </w:r>
      <w:r>
        <w:t xml:space="preserve">ing </w:t>
      </w:r>
      <w:r w:rsidRPr="00A50464">
        <w:t>new ways of living and working in thriving, inclusive and sustainable regions</w:t>
      </w:r>
    </w:p>
    <w:p w14:paraId="7C558A91" w14:textId="2A4C72F7" w:rsidR="00A50464" w:rsidRDefault="00A50464" w:rsidP="00113DF0">
      <w:pPr>
        <w:pStyle w:val="ListParagraph"/>
        <w:numPr>
          <w:ilvl w:val="0"/>
          <w:numId w:val="24"/>
        </w:numPr>
        <w:spacing w:after="120" w:line="259" w:lineRule="auto"/>
        <w:ind w:left="357" w:hanging="357"/>
      </w:pPr>
      <w:r w:rsidRPr="00A50464">
        <w:t>Continu</w:t>
      </w:r>
      <w:r>
        <w:t>ing</w:t>
      </w:r>
      <w:r w:rsidRPr="00A50464">
        <w:t xml:space="preserve"> to reduce the government’s operating </w:t>
      </w:r>
      <w:proofErr w:type="gramStart"/>
      <w:r w:rsidRPr="00A50464">
        <w:t>emissions</w:t>
      </w:r>
      <w:proofErr w:type="gramEnd"/>
    </w:p>
    <w:p w14:paraId="54C1E3A1" w14:textId="32722CB3" w:rsidR="00A50464" w:rsidRPr="00A50464" w:rsidRDefault="00A50464" w:rsidP="00113DF0">
      <w:pPr>
        <w:pStyle w:val="ListParagraph"/>
        <w:numPr>
          <w:ilvl w:val="0"/>
          <w:numId w:val="24"/>
        </w:numPr>
        <w:spacing w:after="120" w:line="259" w:lineRule="auto"/>
        <w:ind w:left="357" w:hanging="357"/>
      </w:pPr>
      <w:r w:rsidRPr="00A50464">
        <w:t>Transition</w:t>
      </w:r>
      <w:r>
        <w:t>ing</w:t>
      </w:r>
      <w:r w:rsidRPr="00A50464">
        <w:t xml:space="preserve"> the government’s fleet to low emission options</w:t>
      </w:r>
      <w:r w:rsidR="0073712C">
        <w:t>.</w:t>
      </w:r>
    </w:p>
    <w:p w14:paraId="40DBD58D" w14:textId="0C7AF6E8" w:rsidR="00235E5A" w:rsidRDefault="00235E5A" w:rsidP="00EF188F"/>
    <w:tbl>
      <w:tblPr>
        <w:tblStyle w:val="TableGrid"/>
        <w:tblW w:w="9626" w:type="dxa"/>
        <w:tblLook w:val="04A0" w:firstRow="1" w:lastRow="0" w:firstColumn="1" w:lastColumn="0" w:noHBand="0" w:noVBand="1"/>
      </w:tblPr>
      <w:tblGrid>
        <w:gridCol w:w="5587"/>
        <w:gridCol w:w="1809"/>
        <w:gridCol w:w="2230"/>
      </w:tblGrid>
      <w:tr w:rsidR="00235E5A" w:rsidRPr="0080079E" w14:paraId="2E10CA8D" w14:textId="77777777">
        <w:tc>
          <w:tcPr>
            <w:tcW w:w="5587" w:type="dxa"/>
            <w:shd w:val="clear" w:color="auto" w:fill="7F7F7F" w:themeFill="text2" w:themeFillTint="80"/>
          </w:tcPr>
          <w:p w14:paraId="00A3C8AB" w14:textId="1AAF3AA4" w:rsidR="00235E5A" w:rsidRPr="0080079E" w:rsidRDefault="00235E5A" w:rsidP="00E359E8">
            <w:pPr>
              <w:pStyle w:val="DECTableheader"/>
              <w:rPr>
                <w:lang w:eastAsia="en-AU"/>
              </w:rPr>
            </w:pPr>
            <w:r w:rsidRPr="0080079E">
              <w:rPr>
                <w:lang w:eastAsia="en-AU"/>
              </w:rPr>
              <w:t xml:space="preserve">Strategic </w:t>
            </w:r>
            <w:r w:rsidR="00485C71">
              <w:rPr>
                <w:lang w:eastAsia="en-AU"/>
              </w:rPr>
              <w:t>o</w:t>
            </w:r>
            <w:r w:rsidRPr="0080079E">
              <w:rPr>
                <w:lang w:eastAsia="en-AU"/>
              </w:rPr>
              <w:t xml:space="preserve">bjective </w:t>
            </w:r>
            <w:r w:rsidR="00485C71">
              <w:rPr>
                <w:lang w:eastAsia="en-AU"/>
              </w:rPr>
              <w:t>p</w:t>
            </w:r>
            <w:r w:rsidRPr="0080079E">
              <w:rPr>
                <w:lang w:eastAsia="en-AU"/>
              </w:rPr>
              <w:t xml:space="preserve">erformance </w:t>
            </w:r>
            <w:r w:rsidR="00485C71">
              <w:rPr>
                <w:lang w:eastAsia="en-AU"/>
              </w:rPr>
              <w:t>i</w:t>
            </w:r>
            <w:r w:rsidRPr="0080079E">
              <w:rPr>
                <w:lang w:eastAsia="en-AU"/>
              </w:rPr>
              <w:t>ndicator</w:t>
            </w:r>
          </w:p>
        </w:tc>
        <w:tc>
          <w:tcPr>
            <w:tcW w:w="1809" w:type="dxa"/>
            <w:shd w:val="clear" w:color="auto" w:fill="7F7F7F" w:themeFill="text2" w:themeFillTint="80"/>
          </w:tcPr>
          <w:p w14:paraId="2655F8D4" w14:textId="0B57B80D" w:rsidR="00235E5A" w:rsidRPr="00E359E8" w:rsidRDefault="00235E5A">
            <w:pPr>
              <w:rPr>
                <w:rFonts w:ascii="Arial Nova" w:hAnsi="Arial Nova" w:cs="Arial"/>
                <w:color w:val="FFFFFF" w:themeColor="background1"/>
                <w:lang w:eastAsia="en-AU"/>
              </w:rPr>
            </w:pPr>
            <w:r w:rsidRPr="00E359E8">
              <w:rPr>
                <w:rFonts w:ascii="Arial Nova" w:hAnsi="Arial Nova" w:cs="Arial"/>
                <w:color w:val="FFFFFF" w:themeColor="background1"/>
                <w:lang w:eastAsia="en-AU"/>
              </w:rPr>
              <w:t xml:space="preserve">2023–24 </w:t>
            </w:r>
            <w:r w:rsidR="00485C71">
              <w:rPr>
                <w:rFonts w:ascii="Arial Nova" w:hAnsi="Arial Nova" w:cs="Arial"/>
                <w:color w:val="FFFFFF" w:themeColor="background1"/>
                <w:lang w:eastAsia="en-AU"/>
              </w:rPr>
              <w:t>t</w:t>
            </w:r>
            <w:r w:rsidRPr="00E359E8">
              <w:rPr>
                <w:rFonts w:ascii="Arial Nova" w:hAnsi="Arial Nova" w:cs="Arial"/>
                <w:color w:val="FFFFFF" w:themeColor="background1"/>
                <w:lang w:eastAsia="en-AU"/>
              </w:rPr>
              <w:t>arget</w:t>
            </w:r>
          </w:p>
        </w:tc>
        <w:tc>
          <w:tcPr>
            <w:tcW w:w="2230" w:type="dxa"/>
            <w:shd w:val="clear" w:color="auto" w:fill="7F7F7F" w:themeFill="text2" w:themeFillTint="80"/>
          </w:tcPr>
          <w:p w14:paraId="4B37930A" w14:textId="4DC7E08B" w:rsidR="00235E5A" w:rsidRPr="00E359E8" w:rsidRDefault="00235E5A">
            <w:pPr>
              <w:rPr>
                <w:rFonts w:ascii="Arial Nova" w:hAnsi="Arial Nova" w:cs="Arial"/>
                <w:color w:val="FFFFFF" w:themeColor="background1"/>
                <w:lang w:eastAsia="en-AU"/>
              </w:rPr>
            </w:pPr>
            <w:r w:rsidRPr="00E359E8">
              <w:rPr>
                <w:rFonts w:ascii="Arial Nova" w:hAnsi="Arial Nova" w:cs="Arial"/>
                <w:color w:val="FFFFFF" w:themeColor="background1"/>
                <w:lang w:eastAsia="en-AU"/>
              </w:rPr>
              <w:t>Result 2023</w:t>
            </w:r>
            <w:r w:rsidR="001644CA">
              <w:rPr>
                <w:rFonts w:ascii="Arial Nova" w:hAnsi="Arial Nova" w:cs="Arial"/>
                <w:color w:val="FFFFFF" w:themeColor="background1"/>
                <w:lang w:eastAsia="en-AU"/>
              </w:rPr>
              <w:t>–</w:t>
            </w:r>
            <w:r w:rsidRPr="00E359E8">
              <w:rPr>
                <w:rFonts w:ascii="Arial Nova" w:hAnsi="Arial Nova" w:cs="Arial"/>
                <w:color w:val="FFFFFF" w:themeColor="background1"/>
                <w:lang w:eastAsia="en-AU"/>
              </w:rPr>
              <w:t>24</w:t>
            </w:r>
          </w:p>
        </w:tc>
      </w:tr>
      <w:tr w:rsidR="008B6E41" w:rsidRPr="004739E3" w14:paraId="3453E9C5" w14:textId="77777777" w:rsidTr="2599AD30">
        <w:tc>
          <w:tcPr>
            <w:tcW w:w="5587" w:type="dxa"/>
          </w:tcPr>
          <w:p w14:paraId="547F1483" w14:textId="294CC08F" w:rsidR="008B6E41" w:rsidDel="5F79F78C" w:rsidRDefault="008B6E41" w:rsidP="008B6E41">
            <w:pPr>
              <w:pStyle w:val="BodyText"/>
            </w:pPr>
            <w:r>
              <w:t>Reduced greenhouse gas emissions for Queensland (percentage below 2005 emissions)</w:t>
            </w:r>
          </w:p>
        </w:tc>
        <w:tc>
          <w:tcPr>
            <w:tcW w:w="1809" w:type="dxa"/>
            <w:shd w:val="clear" w:color="auto" w:fill="FFFFFF" w:themeFill="background1"/>
          </w:tcPr>
          <w:p w14:paraId="2A42D5AF" w14:textId="5D03ECBA" w:rsidR="008B6E41" w:rsidRPr="467F2A48" w:rsidDel="0BD6D40F" w:rsidRDefault="1D94F7D1" w:rsidP="00C44956">
            <w:pPr>
              <w:pStyle w:val="BodyText"/>
              <w:jc w:val="right"/>
              <w:rPr>
                <w:lang w:eastAsia="en-AU"/>
              </w:rPr>
            </w:pPr>
            <w:r>
              <w:t>3</w:t>
            </w:r>
            <w:r w:rsidR="60297B30">
              <w:t>0</w:t>
            </w:r>
            <w:r>
              <w:t xml:space="preserve">% </w:t>
            </w:r>
            <w:r w:rsidR="2541075F">
              <w:t>reduction below</w:t>
            </w:r>
            <w:r>
              <w:t xml:space="preserve"> 2005 levels </w:t>
            </w:r>
            <w:r w:rsidR="5A633EE3">
              <w:t>by 2030</w:t>
            </w:r>
            <w:r w:rsidR="002B2A68">
              <w:t>.</w:t>
            </w:r>
          </w:p>
        </w:tc>
        <w:tc>
          <w:tcPr>
            <w:tcW w:w="2230" w:type="dxa"/>
            <w:shd w:val="clear" w:color="auto" w:fill="auto"/>
          </w:tcPr>
          <w:p w14:paraId="610C6A39" w14:textId="25CF9A5B" w:rsidR="006E2B93" w:rsidRPr="00EB39A3" w:rsidRDefault="00C44956" w:rsidP="00C44956">
            <w:pPr>
              <w:pStyle w:val="BodyText"/>
              <w:jc w:val="right"/>
              <w:rPr>
                <w:rFonts w:cs="Arial"/>
              </w:rPr>
            </w:pPr>
            <w:r w:rsidRPr="2599AD30">
              <w:rPr>
                <w:rFonts w:cs="Arial"/>
              </w:rPr>
              <w:t>State Greenhouse Gas Inventory data released in 2024 indicated Queensland’s emissions reduced to 35% below 2005 levels in 2022.</w:t>
            </w:r>
            <w:r w:rsidRPr="2599AD30">
              <w:rPr>
                <w:rFonts w:cs="Arial"/>
                <w:vertAlign w:val="superscript"/>
              </w:rPr>
              <w:t>1</w:t>
            </w:r>
            <w:r w:rsidRPr="2599AD30">
              <w:rPr>
                <w:rFonts w:cs="Arial"/>
              </w:rPr>
              <w:t xml:space="preserve"> </w:t>
            </w:r>
            <w:r w:rsidR="008B6E41" w:rsidRPr="2599AD30">
              <w:rPr>
                <w:rFonts w:cs="Arial"/>
              </w:rPr>
              <w:t xml:space="preserve"> </w:t>
            </w:r>
          </w:p>
        </w:tc>
      </w:tr>
      <w:tr w:rsidR="00235E5A" w:rsidRPr="004739E3" w14:paraId="56ED1F83" w14:textId="77777777" w:rsidTr="004A0D1A">
        <w:tc>
          <w:tcPr>
            <w:tcW w:w="5587" w:type="dxa"/>
          </w:tcPr>
          <w:p w14:paraId="55375232" w14:textId="7CF6BEA5" w:rsidR="00235E5A" w:rsidRPr="004739E3" w:rsidRDefault="00D25C85">
            <w:pPr>
              <w:pStyle w:val="BodyText"/>
              <w:rPr>
                <w:lang w:val="en-AU"/>
              </w:rPr>
            </w:pPr>
            <w:r w:rsidRPr="000178E1" w:rsidDel="5F79F78C">
              <w:rPr>
                <w:rFonts w:eastAsia="Arial Nova Light" w:cs="Arial Nova Light"/>
                <w:szCs w:val="20"/>
              </w:rPr>
              <w:t>Eligible</w:t>
            </w:r>
            <w:r w:rsidRPr="00C060ED" w:rsidDel="5F79F78C">
              <w:rPr>
                <w:rFonts w:eastAsia="Arial Nova Light" w:cs="Arial Nova Light"/>
                <w:szCs w:val="20"/>
              </w:rPr>
              <w:t xml:space="preserve"> QFleet passenger vehicles to be zero emissions by </w:t>
            </w:r>
            <w:r w:rsidRPr="00C060ED">
              <w:rPr>
                <w:rFonts w:eastAsia="Arial Nova Light" w:cs="Arial Nova Light"/>
                <w:szCs w:val="20"/>
              </w:rPr>
              <w:t>2026</w:t>
            </w:r>
            <w:r w:rsidR="007A3024" w:rsidRPr="00C060ED">
              <w:rPr>
                <w:rFonts w:eastAsia="Arial Nova Light" w:cs="Arial Nova Light"/>
                <w:szCs w:val="20"/>
                <w:vertAlign w:val="superscript"/>
              </w:rPr>
              <w:t>2</w:t>
            </w:r>
          </w:p>
        </w:tc>
        <w:tc>
          <w:tcPr>
            <w:tcW w:w="1809" w:type="dxa"/>
            <w:shd w:val="clear" w:color="auto" w:fill="FFFFFF" w:themeFill="background1"/>
          </w:tcPr>
          <w:p w14:paraId="4659333D" w14:textId="73CEBCA6" w:rsidR="00235E5A" w:rsidRPr="00F94A51" w:rsidRDefault="53B67CC3">
            <w:pPr>
              <w:pStyle w:val="BodyText"/>
              <w:jc w:val="right"/>
              <w:rPr>
                <w:lang w:eastAsia="en-AU"/>
              </w:rPr>
            </w:pPr>
            <w:r w:rsidRPr="467F2A48">
              <w:rPr>
                <w:lang w:eastAsia="en-AU"/>
              </w:rPr>
              <w:t>&gt;31%</w:t>
            </w:r>
          </w:p>
        </w:tc>
        <w:tc>
          <w:tcPr>
            <w:tcW w:w="2230" w:type="dxa"/>
            <w:shd w:val="clear" w:color="auto" w:fill="auto"/>
          </w:tcPr>
          <w:p w14:paraId="670F744A" w14:textId="5D28161B" w:rsidR="00235E5A" w:rsidRPr="004739E3" w:rsidRDefault="53B67CC3">
            <w:pPr>
              <w:pStyle w:val="BodyText"/>
              <w:jc w:val="right"/>
              <w:rPr>
                <w:lang w:eastAsia="en-AU"/>
              </w:rPr>
            </w:pPr>
            <w:r w:rsidRPr="00EB39A3">
              <w:rPr>
                <w:rFonts w:cs="Arial"/>
              </w:rPr>
              <w:t>54%</w:t>
            </w:r>
          </w:p>
        </w:tc>
      </w:tr>
    </w:tbl>
    <w:p w14:paraId="015C0608" w14:textId="709AC781" w:rsidR="00902FB0" w:rsidRDefault="00902FB0" w:rsidP="009F2845">
      <w:pPr>
        <w:pStyle w:val="DECNotes"/>
      </w:pPr>
      <w:bookmarkStart w:id="473" w:name="_Toc138317851"/>
      <w:r>
        <w:t xml:space="preserve">Notes: </w:t>
      </w:r>
    </w:p>
    <w:p w14:paraId="58BD4D63" w14:textId="43D14ECB" w:rsidR="003712D7" w:rsidRDefault="003712D7" w:rsidP="00113DF0">
      <w:pPr>
        <w:pStyle w:val="DECNotes"/>
        <w:numPr>
          <w:ilvl w:val="0"/>
          <w:numId w:val="25"/>
        </w:numPr>
      </w:pPr>
      <w:r>
        <w:t xml:space="preserve">Queensland’s emissions </w:t>
      </w:r>
      <w:r w:rsidR="00595E9F">
        <w:t xml:space="preserve">data is </w:t>
      </w:r>
      <w:r>
        <w:t xml:space="preserve">released two years in arrears through the </w:t>
      </w:r>
      <w:r w:rsidR="006A36F4">
        <w:t>Australian government’s</w:t>
      </w:r>
      <w:r w:rsidR="005C1B5D">
        <w:t xml:space="preserve"> State </w:t>
      </w:r>
      <w:r w:rsidR="009C5D45">
        <w:t>G</w:t>
      </w:r>
      <w:r w:rsidR="005C1B5D">
        <w:t xml:space="preserve">reenhouse Gas Inventory. </w:t>
      </w:r>
      <w:r w:rsidR="00790625">
        <w:t xml:space="preserve">Data </w:t>
      </w:r>
      <w:r w:rsidR="006A71E5">
        <w:t xml:space="preserve">as </w:t>
      </w:r>
      <w:proofErr w:type="gramStart"/>
      <w:r w:rsidR="006A71E5">
        <w:t>at</w:t>
      </w:r>
      <w:proofErr w:type="gramEnd"/>
      <w:r w:rsidR="006A71E5">
        <w:t xml:space="preserve"> </w:t>
      </w:r>
      <w:r w:rsidR="00790625">
        <w:t>2024 will not be released until 2026.</w:t>
      </w:r>
    </w:p>
    <w:p w14:paraId="482308C0" w14:textId="0318914C" w:rsidR="00902FB0" w:rsidRDefault="006473DC" w:rsidP="00113DF0">
      <w:pPr>
        <w:pStyle w:val="DECNotes"/>
        <w:numPr>
          <w:ilvl w:val="0"/>
          <w:numId w:val="25"/>
        </w:numPr>
      </w:pPr>
      <w:proofErr w:type="spellStart"/>
      <w:r w:rsidRPr="005133CA">
        <w:t>QFleet’s</w:t>
      </w:r>
      <w:proofErr w:type="spellEnd"/>
      <w:r w:rsidRPr="005133CA">
        <w:t xml:space="preserve"> objective is to achieve 100</w:t>
      </w:r>
      <w:r w:rsidR="00F57939">
        <w:t xml:space="preserve"> per cent</w:t>
      </w:r>
      <w:r w:rsidRPr="005133CA">
        <w:t xml:space="preserve"> eligible QFleet passenger vehicles to be zero emission by 2026. Eligible vehicles are to be transitioned to electric vehicles (EVs) at end of lease. </w:t>
      </w:r>
      <w:proofErr w:type="spellStart"/>
      <w:r w:rsidRPr="005133CA">
        <w:t>QFleet’s</w:t>
      </w:r>
      <w:proofErr w:type="spellEnd"/>
      <w:r w:rsidRPr="005133CA">
        <w:t xml:space="preserve"> target is to increase the percentage of EVs on the previous year until 2026. The percentage of EVs includes the number active in fleet and on order awaiting delivery.</w:t>
      </w:r>
      <w:r w:rsidR="00490E88">
        <w:tab/>
      </w:r>
    </w:p>
    <w:p w14:paraId="646F7709" w14:textId="77777777" w:rsidR="003210E4" w:rsidRDefault="003210E4">
      <w:pPr>
        <w:spacing w:before="0" w:after="160" w:line="259" w:lineRule="auto"/>
        <w:rPr>
          <w:rFonts w:ascii="Arial Nova" w:eastAsiaTheme="majorEastAsia" w:hAnsi="Arial Nova" w:cstheme="majorBidi"/>
          <w:color w:val="000000" w:themeColor="text1"/>
          <w:sz w:val="28"/>
        </w:rPr>
      </w:pPr>
      <w:bookmarkStart w:id="474" w:name="_Toc172794886"/>
      <w:bookmarkStart w:id="475" w:name="_Toc172806425"/>
      <w:bookmarkStart w:id="476" w:name="_Toc172806711"/>
      <w:bookmarkStart w:id="477" w:name="_Toc172808548"/>
      <w:r>
        <w:br w:type="page"/>
      </w:r>
    </w:p>
    <w:p w14:paraId="39555FFD" w14:textId="07A52517" w:rsidR="00490E88" w:rsidRPr="00396A81" w:rsidRDefault="00490E88" w:rsidP="00DF10C1">
      <w:pPr>
        <w:pStyle w:val="DECHeading2"/>
      </w:pPr>
      <w:bookmarkStart w:id="478" w:name="_Toc174605689"/>
      <w:bookmarkStart w:id="479" w:name="_Toc176424827"/>
      <w:bookmarkStart w:id="480" w:name="_Toc176424986"/>
      <w:r w:rsidRPr="001F2A11">
        <w:lastRenderedPageBreak/>
        <w:t xml:space="preserve">Our </w:t>
      </w:r>
      <w:r w:rsidR="002A1A89">
        <w:t>a</w:t>
      </w:r>
      <w:r w:rsidRPr="001F2A11">
        <w:t>chievements</w:t>
      </w:r>
      <w:bookmarkEnd w:id="474"/>
      <w:r>
        <w:t xml:space="preserve"> </w:t>
      </w:r>
      <w:r w:rsidR="008058CB">
        <w:t>-</w:t>
      </w:r>
      <w:r>
        <w:t xml:space="preserve"> Climate</w:t>
      </w:r>
      <w:bookmarkEnd w:id="475"/>
      <w:bookmarkEnd w:id="476"/>
      <w:bookmarkEnd w:id="477"/>
      <w:bookmarkEnd w:id="478"/>
      <w:bookmarkEnd w:id="479"/>
      <w:bookmarkEnd w:id="480"/>
    </w:p>
    <w:p w14:paraId="3A64396B" w14:textId="77777777" w:rsidR="00206E6C" w:rsidRPr="005B4C0C" w:rsidRDefault="00206E6C" w:rsidP="00206E6C">
      <w:pPr>
        <w:pStyle w:val="DECHeading3"/>
        <w:shd w:val="clear" w:color="auto" w:fill="F2F2F2"/>
        <w:rPr>
          <w:color w:val="333333"/>
          <w:u w:val="single"/>
        </w:rPr>
      </w:pPr>
      <w:bookmarkStart w:id="481" w:name="_Toc174605690"/>
      <w:bookmarkStart w:id="482" w:name="_Toc176424828"/>
      <w:bookmarkStart w:id="483" w:name="_Toc176424987"/>
      <w:bookmarkStart w:id="484" w:name="_Toc172806426"/>
      <w:bookmarkStart w:id="485" w:name="_Toc172806712"/>
      <w:bookmarkStart w:id="486" w:name="_Toc172808549"/>
      <w:r w:rsidRPr="2CA51A86">
        <w:t xml:space="preserve">New legislation working towards our clean economy </w:t>
      </w:r>
      <w:proofErr w:type="gramStart"/>
      <w:r w:rsidRPr="2CA51A86">
        <w:t>pathway</w:t>
      </w:r>
      <w:bookmarkEnd w:id="481"/>
      <w:bookmarkEnd w:id="482"/>
      <w:bookmarkEnd w:id="483"/>
      <w:proofErr w:type="gramEnd"/>
    </w:p>
    <w:p w14:paraId="31FB99E2" w14:textId="77777777" w:rsidR="00206E6C" w:rsidRPr="005B4C0C" w:rsidRDefault="00206E6C" w:rsidP="00206E6C">
      <w:pPr>
        <w:shd w:val="clear" w:color="auto" w:fill="F2F2F2"/>
      </w:pPr>
      <w:r w:rsidRPr="005B4C0C">
        <w:t>We made another significant move toward a clean economy future in 2024 with the passing of two groundbreaking Acts</w:t>
      </w:r>
      <w:r>
        <w:t xml:space="preserve"> </w:t>
      </w:r>
      <w:r w:rsidRPr="005B4C0C">
        <w:t xml:space="preserve">— the </w:t>
      </w:r>
      <w:r w:rsidRPr="00626964">
        <w:rPr>
          <w:i/>
          <w:iCs/>
        </w:rPr>
        <w:t>Clean Economy Jobs Act 2024</w:t>
      </w:r>
      <w:r w:rsidRPr="005B4C0C">
        <w:t xml:space="preserve"> and the </w:t>
      </w:r>
      <w:r w:rsidRPr="00626964">
        <w:rPr>
          <w:i/>
          <w:iCs/>
        </w:rPr>
        <w:t>Energy (Renewable Transformation and Jobs) Act 2024</w:t>
      </w:r>
      <w:r w:rsidRPr="005B4C0C">
        <w:t xml:space="preserve"> (the Energy Act).</w:t>
      </w:r>
    </w:p>
    <w:p w14:paraId="1C4B4F0B" w14:textId="77777777" w:rsidR="00206E6C" w:rsidRPr="005B4C0C" w:rsidRDefault="00206E6C" w:rsidP="00206E6C">
      <w:pPr>
        <w:shd w:val="clear" w:color="auto" w:fill="F2F2F2"/>
      </w:pPr>
      <w:r w:rsidRPr="005B4C0C">
        <w:t xml:space="preserve">The </w:t>
      </w:r>
      <w:r w:rsidRPr="00626964">
        <w:rPr>
          <w:i/>
          <w:iCs/>
        </w:rPr>
        <w:t>Clean Economy Jobs Act 2024</w:t>
      </w:r>
      <w:r w:rsidRPr="005B4C0C">
        <w:t xml:space="preserve"> aims to drive clean economy investment and jobs with a new emissions reduction target of 75</w:t>
      </w:r>
      <w:r>
        <w:t xml:space="preserve"> per cent</w:t>
      </w:r>
      <w:r w:rsidRPr="005B4C0C">
        <w:t xml:space="preserve"> below 2005 levels by 2035, and a commitment to net zero emissions by 2050.</w:t>
      </w:r>
    </w:p>
    <w:p w14:paraId="1024079B" w14:textId="77777777" w:rsidR="00206E6C" w:rsidRPr="005B4C0C" w:rsidRDefault="00206E6C" w:rsidP="00206E6C">
      <w:pPr>
        <w:shd w:val="clear" w:color="auto" w:fill="F2F2F2"/>
      </w:pPr>
      <w:r w:rsidRPr="005B4C0C">
        <w:t>The legislation also lays out an accountability and action framework for emissions reductions including an expert panel to advise the government, sector-specific plans established by 2025, a provision for 5-yearly reviews, and annual reporting to Parliament.</w:t>
      </w:r>
    </w:p>
    <w:p w14:paraId="51447809" w14:textId="77777777" w:rsidR="00206E6C" w:rsidRPr="005B4C0C" w:rsidRDefault="00206E6C" w:rsidP="00206E6C">
      <w:pPr>
        <w:shd w:val="clear" w:color="auto" w:fill="F2F2F2"/>
      </w:pPr>
      <w:r w:rsidRPr="005B4C0C">
        <w:t>Queensland is a decade ahead on meeting its targets – we hit the 203</w:t>
      </w:r>
      <w:r>
        <w:t>0</w:t>
      </w:r>
      <w:r w:rsidRPr="005B4C0C">
        <w:t xml:space="preserve"> reduction target of 30 per</w:t>
      </w:r>
      <w:r>
        <w:t xml:space="preserve"> </w:t>
      </w:r>
      <w:r w:rsidRPr="005B4C0C">
        <w:t>cent almost a decade early as we power towards net zero by 2050.</w:t>
      </w:r>
    </w:p>
    <w:p w14:paraId="4ABDC9FC" w14:textId="77777777" w:rsidR="00206E6C" w:rsidRPr="005B4C0C" w:rsidRDefault="00206E6C" w:rsidP="00206E6C">
      <w:pPr>
        <w:shd w:val="clear" w:color="auto" w:fill="F2F2F2"/>
      </w:pPr>
      <w:r w:rsidRPr="005B4C0C">
        <w:t>The Energy Act enshrines our renewable energy targets into law, providing the certainty and confidence Queenslanders are looking for as we work towards our clean economy pathway. Queensland is already at more than 27</w:t>
      </w:r>
      <w:r>
        <w:t xml:space="preserve"> per</w:t>
      </w:r>
      <w:r w:rsidDel="00961B9C">
        <w:t xml:space="preserve"> </w:t>
      </w:r>
      <w:r>
        <w:t>cent</w:t>
      </w:r>
      <w:r w:rsidRPr="005B4C0C">
        <w:t xml:space="preserve"> renewable energy and the new law gives industry and businesses confidence that we are heading to 80</w:t>
      </w:r>
      <w:r>
        <w:t xml:space="preserve"> per cent</w:t>
      </w:r>
      <w:r w:rsidRPr="005B4C0C">
        <w:t xml:space="preserve"> renewable energy by 2035 and reinforces Queensland as a prime renewable investment destination.</w:t>
      </w:r>
    </w:p>
    <w:p w14:paraId="6DFAA4C8" w14:textId="77777777" w:rsidR="00206E6C" w:rsidRDefault="00206E6C" w:rsidP="00206E6C">
      <w:pPr>
        <w:shd w:val="clear" w:color="auto" w:fill="F2F2F2"/>
      </w:pPr>
      <w:r w:rsidRPr="005B4C0C">
        <w:t>Combined, these new laws mark a significant milestone in Queensland's journey towards a sustainable and prosperous future and promise a balanced focus on environmental preservation and unlocking new industries and job opportunities in our path to net zero. They reflect our department's commitment to collaboration, and innovation in addressing the challenges of climate change and advancing the clean energy transition.</w:t>
      </w:r>
    </w:p>
    <w:p w14:paraId="43907D80" w14:textId="77777777" w:rsidR="00206E6C" w:rsidRDefault="00206E6C" w:rsidP="00206E6C">
      <w:pPr>
        <w:pStyle w:val="DECHeading3"/>
        <w:shd w:val="clear" w:color="auto" w:fill="F2F2F2"/>
      </w:pPr>
      <w:bookmarkStart w:id="487" w:name="_Toc174605691"/>
      <w:bookmarkStart w:id="488" w:name="_Toc176424829"/>
      <w:bookmarkStart w:id="489" w:name="_Toc176424988"/>
      <w:proofErr w:type="spellStart"/>
      <w:r w:rsidRPr="6B32D50B">
        <w:t>ecoBiz</w:t>
      </w:r>
      <w:proofErr w:type="spellEnd"/>
      <w:r w:rsidRPr="6B32D50B">
        <w:t xml:space="preserve"> helps businesses save </w:t>
      </w:r>
      <w:proofErr w:type="gramStart"/>
      <w:r w:rsidRPr="6B32D50B">
        <w:t>energy</w:t>
      </w:r>
      <w:bookmarkEnd w:id="487"/>
      <w:bookmarkEnd w:id="488"/>
      <w:bookmarkEnd w:id="489"/>
      <w:proofErr w:type="gramEnd"/>
    </w:p>
    <w:p w14:paraId="192B6042" w14:textId="77777777" w:rsidR="00206E6C" w:rsidRPr="005F303C" w:rsidRDefault="00206E6C" w:rsidP="00206E6C">
      <w:pPr>
        <w:shd w:val="clear" w:color="auto" w:fill="F2F2F2"/>
      </w:pPr>
      <w:r w:rsidRPr="005F303C">
        <w:t xml:space="preserve">The </w:t>
      </w:r>
      <w:proofErr w:type="spellStart"/>
      <w:r w:rsidRPr="005F303C">
        <w:t>ecoBiz</w:t>
      </w:r>
      <w:proofErr w:type="spellEnd"/>
      <w:r w:rsidRPr="005F303C">
        <w:t xml:space="preserve"> program has been critical in helping businesses become more sustainable and reduce their water, </w:t>
      </w:r>
      <w:proofErr w:type="gramStart"/>
      <w:r w:rsidRPr="005F303C">
        <w:t>waste</w:t>
      </w:r>
      <w:proofErr w:type="gramEnd"/>
      <w:r w:rsidRPr="005F303C">
        <w:t xml:space="preserve"> and energy consumption. </w:t>
      </w:r>
    </w:p>
    <w:p w14:paraId="301885C4" w14:textId="2BB59413" w:rsidR="00206E6C" w:rsidRPr="005F303C" w:rsidRDefault="00206E6C" w:rsidP="00206E6C">
      <w:pPr>
        <w:shd w:val="clear" w:color="auto" w:fill="F2F2F2"/>
      </w:pPr>
      <w:proofErr w:type="spellStart"/>
      <w:r w:rsidRPr="005F303C">
        <w:t>ecoBiz</w:t>
      </w:r>
      <w:proofErr w:type="spellEnd"/>
      <w:r w:rsidRPr="005F303C">
        <w:t xml:space="preserve"> is just one Queensland </w:t>
      </w:r>
      <w:r w:rsidR="007071DB">
        <w:t>G</w:t>
      </w:r>
      <w:r w:rsidRPr="005F303C">
        <w:t>overnment program designed to help businesses save energy and adopt energy-efficient practices.</w:t>
      </w:r>
    </w:p>
    <w:p w14:paraId="37D0761D" w14:textId="77777777" w:rsidR="00206E6C" w:rsidRPr="005F303C" w:rsidRDefault="00206E6C" w:rsidP="00206E6C">
      <w:pPr>
        <w:shd w:val="clear" w:color="auto" w:fill="F2F2F2"/>
      </w:pPr>
      <w:r w:rsidRPr="005F303C">
        <w:t xml:space="preserve">Created and run in partnership with the Business Chamber Queensland, </w:t>
      </w:r>
      <w:proofErr w:type="spellStart"/>
      <w:r w:rsidRPr="005F303C">
        <w:t>ecoBiz</w:t>
      </w:r>
      <w:proofErr w:type="spellEnd"/>
      <w:r w:rsidRPr="005F303C">
        <w:t xml:space="preserve"> is a free sustainability program, to help businesses audit their resource use, manage carbon </w:t>
      </w:r>
      <w:proofErr w:type="gramStart"/>
      <w:r w:rsidRPr="005F303C">
        <w:t>emissions</w:t>
      </w:r>
      <w:proofErr w:type="gramEnd"/>
      <w:r w:rsidRPr="005F303C">
        <w:t xml:space="preserve"> and save on costs while reducing consumption of waste, water and energy.</w:t>
      </w:r>
    </w:p>
    <w:p w14:paraId="534FFC11" w14:textId="2E556F65" w:rsidR="00206E6C" w:rsidRPr="005F303C" w:rsidRDefault="00206E6C" w:rsidP="00206E6C">
      <w:pPr>
        <w:shd w:val="clear" w:color="auto" w:fill="F2F2F2"/>
      </w:pPr>
      <w:r w:rsidRPr="005F303C">
        <w:t>Early results show that on average</w:t>
      </w:r>
      <w:r w:rsidR="004D66A9">
        <w:t>,</w:t>
      </w:r>
      <w:r w:rsidRPr="005F303C">
        <w:t xml:space="preserve"> operators have improved their energy consumption by one-fifth, water use by one-third and reduced waste by almost one-half, saving thousands of dollars.</w:t>
      </w:r>
    </w:p>
    <w:p w14:paraId="3E860798" w14:textId="1931A452" w:rsidR="00206E6C" w:rsidRPr="005F303C" w:rsidRDefault="00206E6C" w:rsidP="00206E6C">
      <w:pPr>
        <w:shd w:val="clear" w:color="auto" w:fill="F2F2F2"/>
      </w:pPr>
      <w:r w:rsidRPr="005F303C">
        <w:t>During the 2023</w:t>
      </w:r>
      <w:r>
        <w:t>–</w:t>
      </w:r>
      <w:r w:rsidRPr="005F303C">
        <w:t>24 financial year alone</w:t>
      </w:r>
      <w:r w:rsidR="009B26B3">
        <w:t>,</w:t>
      </w:r>
      <w:r w:rsidRPr="005F303C">
        <w:t xml:space="preserve"> </w:t>
      </w:r>
      <w:proofErr w:type="spellStart"/>
      <w:r w:rsidRPr="005F303C">
        <w:t>ecoBiz</w:t>
      </w:r>
      <w:proofErr w:type="spellEnd"/>
      <w:r w:rsidRPr="005F303C">
        <w:t xml:space="preserve"> businesses saved the equivalent of 4</w:t>
      </w:r>
      <w:r>
        <w:t>,</w:t>
      </w:r>
      <w:r w:rsidRPr="005F303C">
        <w:t>000 households in energy, 2</w:t>
      </w:r>
      <w:r>
        <w:t>,</w:t>
      </w:r>
      <w:r w:rsidRPr="005F303C">
        <w:t>400 households worth of waste and 41 Olympic swimming pools of water.</w:t>
      </w:r>
    </w:p>
    <w:p w14:paraId="36DE2FE1" w14:textId="77777777" w:rsidR="00206E6C" w:rsidRPr="005F303C" w:rsidRDefault="00206E6C" w:rsidP="00206E6C">
      <w:pPr>
        <w:shd w:val="clear" w:color="auto" w:fill="F2F2F2"/>
      </w:pPr>
      <w:r w:rsidRPr="005F303C">
        <w:t>This equates to a reduction in emissions equivalent to taking 8,400 passenger vehicles off Queensland roads for a year.</w:t>
      </w:r>
    </w:p>
    <w:p w14:paraId="04DFA688" w14:textId="77777777" w:rsidR="00206E6C" w:rsidRPr="005F303C" w:rsidRDefault="00206E6C" w:rsidP="00206E6C">
      <w:pPr>
        <w:shd w:val="clear" w:color="auto" w:fill="F2F2F2"/>
      </w:pPr>
      <w:r w:rsidRPr="005F303C">
        <w:t>Any reduction in business costs can flow through to more affordable products for customers which is a good thing.</w:t>
      </w:r>
    </w:p>
    <w:p w14:paraId="13045014" w14:textId="17063980" w:rsidR="00206E6C" w:rsidRPr="00F05E8F" w:rsidRDefault="00206E6C" w:rsidP="00206E6C">
      <w:pPr>
        <w:shd w:val="clear" w:color="auto" w:fill="F2F2F2"/>
      </w:pPr>
      <w:r w:rsidRPr="005F303C">
        <w:t>In 2024</w:t>
      </w:r>
      <w:r>
        <w:t>–</w:t>
      </w:r>
      <w:r w:rsidRPr="005F303C">
        <w:t>25</w:t>
      </w:r>
      <w:r w:rsidR="00964C0B">
        <w:t>,</w:t>
      </w:r>
      <w:r w:rsidRPr="005F303C">
        <w:t xml:space="preserve"> the </w:t>
      </w:r>
      <w:proofErr w:type="spellStart"/>
      <w:r w:rsidRPr="005F303C">
        <w:t>ecoBiz</w:t>
      </w:r>
      <w:proofErr w:type="spellEnd"/>
      <w:r w:rsidRPr="005F303C">
        <w:t xml:space="preserve"> digital platform and carbon module, an extension of the decade long partnership between the Queensland </w:t>
      </w:r>
      <w:r w:rsidR="007071DB">
        <w:t>G</w:t>
      </w:r>
      <w:r w:rsidRPr="005F303C">
        <w:t xml:space="preserve">overnment and Business Chamber Queensland, will assist businesses with fewer than 200 full-time workers to become environmentally responsive, supply-chain ready and economically sustainable. </w:t>
      </w:r>
    </w:p>
    <w:p w14:paraId="2CDD4448" w14:textId="25D45891" w:rsidR="00F05E8F" w:rsidRPr="00F05E8F" w:rsidRDefault="00F05E8F" w:rsidP="00B1343A">
      <w:pPr>
        <w:pStyle w:val="DECHeading3"/>
        <w:shd w:val="clear" w:color="auto" w:fill="F2F2F2"/>
      </w:pPr>
      <w:bookmarkStart w:id="490" w:name="_Toc174605692"/>
      <w:bookmarkStart w:id="491" w:name="_Toc176424830"/>
      <w:bookmarkStart w:id="492" w:name="_Toc176424989"/>
      <w:r w:rsidRPr="741C835C">
        <w:lastRenderedPageBreak/>
        <w:t xml:space="preserve">Climate action grants supporting </w:t>
      </w:r>
      <w:proofErr w:type="gramStart"/>
      <w:r w:rsidRPr="741C835C">
        <w:t>communities</w:t>
      </w:r>
      <w:bookmarkEnd w:id="484"/>
      <w:bookmarkEnd w:id="485"/>
      <w:bookmarkEnd w:id="486"/>
      <w:bookmarkEnd w:id="490"/>
      <w:bookmarkEnd w:id="491"/>
      <w:bookmarkEnd w:id="492"/>
      <w:proofErr w:type="gramEnd"/>
      <w:r w:rsidRPr="741C835C">
        <w:t xml:space="preserve"> </w:t>
      </w:r>
    </w:p>
    <w:p w14:paraId="41F5D0D5" w14:textId="6FD8B1C2" w:rsidR="00F05E8F" w:rsidRPr="00F05E8F" w:rsidRDefault="00F05E8F" w:rsidP="00B1343A">
      <w:pPr>
        <w:shd w:val="clear" w:color="auto" w:fill="F2F2F2"/>
      </w:pPr>
      <w:r w:rsidRPr="00F05E8F">
        <w:t>In 2024, the Bribie Island Surf Life Saving Supporters Club was awarded a $46,000 grant to support the installation of a 30kW solar PV system and 83kW inverter to reduce the club's electricity bills and emissions.</w:t>
      </w:r>
    </w:p>
    <w:p w14:paraId="1301E436" w14:textId="12C7BC62" w:rsidR="00F05E8F" w:rsidRPr="00F05E8F" w:rsidRDefault="00F05E8F" w:rsidP="00B1343A">
      <w:pPr>
        <w:shd w:val="clear" w:color="auto" w:fill="F2F2F2"/>
      </w:pPr>
      <w:r w:rsidRPr="00F05E8F">
        <w:t>The new inverter allows the system to be increased to 80kW in coming years</w:t>
      </w:r>
      <w:r w:rsidR="00397A21">
        <w:t>,</w:t>
      </w:r>
      <w:r w:rsidRPr="00F05E8F">
        <w:t xml:space="preserve"> with the surf lifesaving club expected to save more than $250,000 on power bills over 10 years. This is a great outcome for the club which has been patrolling Woorim Beach since 1923 and has about 220 senior patrolling members.</w:t>
      </w:r>
    </w:p>
    <w:p w14:paraId="753FB102" w14:textId="43A4EFD1" w:rsidR="00F05E8F" w:rsidRPr="00F05E8F" w:rsidRDefault="00F05E8F" w:rsidP="00B1343A">
      <w:pPr>
        <w:shd w:val="clear" w:color="auto" w:fill="F2F2F2"/>
      </w:pPr>
      <w:r w:rsidRPr="00F05E8F">
        <w:t>This was just one of the grants of up to $100,000 awarded under the Community Sustainability Action Round 7 Community Climate Action grants funded by the Department of Energy and Climate.</w:t>
      </w:r>
    </w:p>
    <w:p w14:paraId="0BF65178" w14:textId="5D89EE0A" w:rsidR="00F05E8F" w:rsidRPr="00F05E8F" w:rsidRDefault="00F05E8F" w:rsidP="00B1343A">
      <w:pPr>
        <w:shd w:val="clear" w:color="auto" w:fill="F2F2F2"/>
      </w:pPr>
      <w:r w:rsidRPr="00F05E8F">
        <w:t>The grants are provided to eligible community groups and individuals for innovative projects which seek to address climate change, conserve Queensland’s natural and built environment and protect our unique wildlife.</w:t>
      </w:r>
    </w:p>
    <w:p w14:paraId="3297F6BC" w14:textId="60EBAA61" w:rsidR="00F05E8F" w:rsidRPr="00F05E8F" w:rsidRDefault="00F05E8F" w:rsidP="00B1343A">
      <w:pPr>
        <w:shd w:val="clear" w:color="auto" w:fill="F2F2F2"/>
      </w:pPr>
      <w:r w:rsidRPr="00F05E8F">
        <w:t>Further, the Community Sustainability Action Round 7 Community Climate Action grants were open to eligible projects to implement renewable energy solutions (generation and/or storage) or install energy efficient equipment.</w:t>
      </w:r>
    </w:p>
    <w:p w14:paraId="19C8C2D8" w14:textId="4D61EB0C" w:rsidR="007752C7" w:rsidRDefault="00F05E8F" w:rsidP="00B1343A">
      <w:pPr>
        <w:shd w:val="clear" w:color="auto" w:fill="F2F2F2"/>
      </w:pPr>
      <w:r w:rsidRPr="00F05E8F">
        <w:t>Across Queensland, 68 projects successfully applied for more than $3.5 million as part of Round 7 of the program. Thirty-nine of these projects are now complete.</w:t>
      </w:r>
    </w:p>
    <w:p w14:paraId="57E8050B" w14:textId="19B0C766" w:rsidR="007A7B97" w:rsidRDefault="00C03471" w:rsidP="00982591">
      <w:pPr>
        <w:pStyle w:val="DECHeading3"/>
      </w:pPr>
      <w:bookmarkStart w:id="493" w:name="_Toc172806430"/>
      <w:bookmarkStart w:id="494" w:name="_Toc172806716"/>
      <w:bookmarkStart w:id="495" w:name="_Toc172808554"/>
      <w:bookmarkStart w:id="496" w:name="_Toc174605693"/>
      <w:bookmarkStart w:id="497" w:name="_Toc176424831"/>
      <w:bookmarkStart w:id="498" w:name="_Toc176424990"/>
      <w:r w:rsidRPr="00A24728">
        <w:t>Decarbonise and grow o</w:t>
      </w:r>
      <w:r w:rsidR="00A24728" w:rsidRPr="00A24728">
        <w:t xml:space="preserve">ur industries and </w:t>
      </w:r>
      <w:proofErr w:type="gramStart"/>
      <w:r w:rsidR="00A24728" w:rsidRPr="00A24728">
        <w:t>jobs</w:t>
      </w:r>
      <w:bookmarkEnd w:id="493"/>
      <w:bookmarkEnd w:id="494"/>
      <w:bookmarkEnd w:id="495"/>
      <w:bookmarkEnd w:id="496"/>
      <w:bookmarkEnd w:id="497"/>
      <w:bookmarkEnd w:id="498"/>
      <w:proofErr w:type="gramEnd"/>
    </w:p>
    <w:p w14:paraId="18D82926" w14:textId="0A9F022E" w:rsidR="00001956" w:rsidRPr="00185FF6" w:rsidRDefault="00490E88" w:rsidP="00516813">
      <w:pPr>
        <w:pStyle w:val="DECHeading4"/>
        <w:rPr>
          <w:color w:val="auto"/>
        </w:rPr>
      </w:pPr>
      <w:bookmarkStart w:id="499" w:name="_Toc172808555"/>
      <w:bookmarkStart w:id="500" w:name="_Toc174605694"/>
      <w:bookmarkStart w:id="501" w:name="_Toc176424832"/>
      <w:bookmarkStart w:id="502" w:name="_Toc176424991"/>
      <w:r>
        <w:t>I</w:t>
      </w:r>
      <w:r w:rsidRPr="00FD630C">
        <w:t xml:space="preserve">n </w:t>
      </w:r>
      <w:r>
        <w:t>2023–24</w:t>
      </w:r>
      <w:r w:rsidRPr="00FD630C">
        <w:t xml:space="preserve">, we </w:t>
      </w:r>
      <w:r>
        <w:t xml:space="preserve">continued </w:t>
      </w:r>
      <w:r w:rsidR="00C65BD0">
        <w:t xml:space="preserve">to </w:t>
      </w:r>
      <w:r w:rsidR="007B48DB" w:rsidRPr="00185FF6">
        <w:rPr>
          <w:color w:val="auto"/>
        </w:rPr>
        <w:t>decarbonise and grow our industries and jobs</w:t>
      </w:r>
      <w:r w:rsidR="00001956" w:rsidRPr="00185FF6">
        <w:rPr>
          <w:color w:val="auto"/>
        </w:rPr>
        <w:t xml:space="preserve"> by:</w:t>
      </w:r>
      <w:bookmarkEnd w:id="499"/>
      <w:bookmarkEnd w:id="500"/>
      <w:bookmarkEnd w:id="501"/>
      <w:bookmarkEnd w:id="502"/>
    </w:p>
    <w:p w14:paraId="34BA0DC0" w14:textId="4B3161BA" w:rsidR="00440A25" w:rsidRPr="001B69DB" w:rsidRDefault="003C3A49" w:rsidP="00113DF0">
      <w:pPr>
        <w:pStyle w:val="ListParagraph"/>
        <w:numPr>
          <w:ilvl w:val="0"/>
          <w:numId w:val="16"/>
        </w:numPr>
        <w:spacing w:after="120"/>
      </w:pPr>
      <w:r>
        <w:t>S</w:t>
      </w:r>
      <w:r w:rsidR="00440A25" w:rsidRPr="001B69DB">
        <w:t>upport</w:t>
      </w:r>
      <w:r w:rsidR="00ED3B42">
        <w:t>ing</w:t>
      </w:r>
      <w:r w:rsidR="00440A25" w:rsidRPr="001B69DB">
        <w:t xml:space="preserve"> the passage of the </w:t>
      </w:r>
      <w:r w:rsidR="00440A25" w:rsidRPr="001B69DB">
        <w:rPr>
          <w:i/>
        </w:rPr>
        <w:t>Clean Economy Jobs Act</w:t>
      </w:r>
      <w:r w:rsidR="00707F05">
        <w:rPr>
          <w:i/>
        </w:rPr>
        <w:t xml:space="preserve"> 2024</w:t>
      </w:r>
      <w:r w:rsidR="00440A25" w:rsidRPr="001B69DB">
        <w:t xml:space="preserve">, which </w:t>
      </w:r>
      <w:r w:rsidR="00334C1E" w:rsidRPr="001B69DB">
        <w:t>legislates</w:t>
      </w:r>
      <w:r w:rsidR="00C70FAF" w:rsidRPr="001B69DB">
        <w:t xml:space="preserve"> Queensland’s emissions reduction targets </w:t>
      </w:r>
      <w:r w:rsidR="00C70FAF">
        <w:t xml:space="preserve">to </w:t>
      </w:r>
      <w:r w:rsidR="00334C1E" w:rsidRPr="001B69DB">
        <w:t>provide</w:t>
      </w:r>
      <w:r w:rsidR="00C70FAF" w:rsidRPr="001B69DB">
        <w:t xml:space="preserve"> certainty for </w:t>
      </w:r>
      <w:r w:rsidR="00A31F8E" w:rsidRPr="001B69DB">
        <w:t xml:space="preserve">industry </w:t>
      </w:r>
      <w:r w:rsidR="00FF524E" w:rsidRPr="001B69DB">
        <w:t>and communities about the</w:t>
      </w:r>
      <w:r w:rsidR="007A5BDE" w:rsidRPr="001B69DB">
        <w:t xml:space="preserve"> state’s</w:t>
      </w:r>
      <w:r w:rsidR="00FF524E" w:rsidRPr="001B69DB">
        <w:t xml:space="preserve"> transition to</w:t>
      </w:r>
      <w:r w:rsidR="00FF524E">
        <w:t xml:space="preserve"> a </w:t>
      </w:r>
      <w:r w:rsidR="00FF524E" w:rsidRPr="001B69DB">
        <w:t>clea</w:t>
      </w:r>
      <w:r w:rsidR="00F3321B" w:rsidRPr="001B69DB">
        <w:t>n e</w:t>
      </w:r>
      <w:r w:rsidR="00EF1281" w:rsidRPr="001B69DB">
        <w:t>conomy</w:t>
      </w:r>
      <w:r w:rsidR="00CF734A">
        <w:t>.</w:t>
      </w:r>
    </w:p>
    <w:p w14:paraId="3E87208A" w14:textId="177D1AE2" w:rsidR="00F1534A" w:rsidRPr="001B69DB" w:rsidRDefault="003C3A49" w:rsidP="00113DF0">
      <w:pPr>
        <w:pStyle w:val="ListParagraph"/>
        <w:numPr>
          <w:ilvl w:val="0"/>
          <w:numId w:val="16"/>
        </w:numPr>
        <w:spacing w:after="120"/>
      </w:pPr>
      <w:r>
        <w:t>I</w:t>
      </w:r>
      <w:r w:rsidR="00F1534A" w:rsidRPr="001B69DB">
        <w:t>nvest</w:t>
      </w:r>
      <w:r w:rsidR="00ED3B42">
        <w:t>ing</w:t>
      </w:r>
      <w:r w:rsidR="00F1534A" w:rsidRPr="001B69DB">
        <w:t xml:space="preserve"> in the Queensland Decarbonisation Hub, a collaborative project between the Queensland </w:t>
      </w:r>
      <w:r w:rsidR="007071DB">
        <w:t>G</w:t>
      </w:r>
      <w:r w:rsidR="00F1534A" w:rsidRPr="001B69DB">
        <w:t>overnment and seven leading Queensland universities focused on consolidating and undertaking research to support the decarboni</w:t>
      </w:r>
      <w:r w:rsidR="00583A4B" w:rsidRPr="001B69DB">
        <w:t>s</w:t>
      </w:r>
      <w:r w:rsidR="00F1534A" w:rsidRPr="001B69DB">
        <w:t>ation of Queensland’s economy.</w:t>
      </w:r>
      <w:r w:rsidR="00CC76CA" w:rsidRPr="001B69DB">
        <w:t xml:space="preserve"> </w:t>
      </w:r>
    </w:p>
    <w:p w14:paraId="66AF2C74" w14:textId="4FBF07BA" w:rsidR="00D27364" w:rsidRPr="001B69DB" w:rsidRDefault="003C3A49" w:rsidP="00113DF0">
      <w:pPr>
        <w:pStyle w:val="ListParagraph"/>
        <w:numPr>
          <w:ilvl w:val="0"/>
          <w:numId w:val="16"/>
        </w:numPr>
        <w:spacing w:after="120"/>
      </w:pPr>
      <w:r>
        <w:t>A</w:t>
      </w:r>
      <w:r w:rsidR="00D27364" w:rsidRPr="001B69DB">
        <w:t>lloca</w:t>
      </w:r>
      <w:r w:rsidR="00ED3B42">
        <w:t>ting</w:t>
      </w:r>
      <w:r w:rsidR="00D27364" w:rsidRPr="001B69DB">
        <w:t xml:space="preserve"> $10 million over three years, with $3.35 million for financial year 2023</w:t>
      </w:r>
      <w:r w:rsidR="00093E47">
        <w:t>–</w:t>
      </w:r>
      <w:r w:rsidR="00D27364" w:rsidRPr="001B69DB">
        <w:t xml:space="preserve">24, for the </w:t>
      </w:r>
      <w:proofErr w:type="spellStart"/>
      <w:r w:rsidR="00D27364" w:rsidRPr="001B69DB">
        <w:t>ecoBiz</w:t>
      </w:r>
      <w:proofErr w:type="spellEnd"/>
      <w:r w:rsidR="00D27364" w:rsidRPr="001B69DB">
        <w:t xml:space="preserve"> program delivered by the Business Chamber Queensland. This</w:t>
      </w:r>
      <w:r w:rsidR="00FD505C" w:rsidRPr="001B69DB">
        <w:t xml:space="preserve"> sustainability</w:t>
      </w:r>
      <w:r w:rsidR="00D27364" w:rsidRPr="001B69DB">
        <w:t xml:space="preserve"> initiative equips small to medium businesses with the necessary tools to enhance resource efficiency, bolster environmental sustainability, reduce operational costs, and effectively assess and manage climatic risks</w:t>
      </w:r>
      <w:r w:rsidR="00EB24D0" w:rsidRPr="001B69DB">
        <w:t xml:space="preserve">, including through the </w:t>
      </w:r>
      <w:r w:rsidR="006D1F74" w:rsidRPr="001B69DB">
        <w:t xml:space="preserve">innovative new </w:t>
      </w:r>
      <w:r w:rsidR="00911392" w:rsidRPr="001B69DB">
        <w:t>‘carbon module’</w:t>
      </w:r>
      <w:r w:rsidR="00631F1A" w:rsidRPr="001B69DB">
        <w:t xml:space="preserve">. </w:t>
      </w:r>
    </w:p>
    <w:p w14:paraId="4F138C5B" w14:textId="6BD80DCE" w:rsidR="0051619D" w:rsidRDefault="0051619D" w:rsidP="00113DF0">
      <w:pPr>
        <w:pStyle w:val="ListParagraph"/>
        <w:numPr>
          <w:ilvl w:val="0"/>
          <w:numId w:val="16"/>
        </w:numPr>
        <w:spacing w:after="120"/>
      </w:pPr>
      <w:r>
        <w:t>D</w:t>
      </w:r>
      <w:r w:rsidRPr="001B69DB">
        <w:t xml:space="preserve">eveloping the Climate </w:t>
      </w:r>
      <w:r w:rsidR="009F3435" w:rsidRPr="001B69DB">
        <w:t xml:space="preserve">Risk Management Framework in partnership with Griffith University to support Queensland </w:t>
      </w:r>
      <w:r w:rsidR="007071DB">
        <w:t>G</w:t>
      </w:r>
      <w:r w:rsidR="009F3435" w:rsidRPr="001B69DB">
        <w:t xml:space="preserve">overnment departments and other agencies </w:t>
      </w:r>
      <w:r w:rsidR="005C1E2C" w:rsidRPr="001B69DB">
        <w:t xml:space="preserve">to </w:t>
      </w:r>
      <w:r w:rsidR="009F3435" w:rsidRPr="001B69DB">
        <w:t>practically incorporate climate risk into their decision making.</w:t>
      </w:r>
    </w:p>
    <w:p w14:paraId="68CF421B" w14:textId="4507A98A" w:rsidR="006F6B35" w:rsidRPr="00954312" w:rsidRDefault="0090514B" w:rsidP="00C7366C">
      <w:pPr>
        <w:pStyle w:val="DECHeading3"/>
      </w:pPr>
      <w:bookmarkStart w:id="503" w:name="_Toc172808556"/>
      <w:bookmarkStart w:id="504" w:name="_Toc174605695"/>
      <w:bookmarkStart w:id="505" w:name="_Toc176424833"/>
      <w:bookmarkStart w:id="506" w:name="_Toc176424992"/>
      <w:r w:rsidRPr="00954312">
        <w:t xml:space="preserve">Build competitive advantages </w:t>
      </w:r>
      <w:r w:rsidR="00F70493" w:rsidRPr="00954312">
        <w:t xml:space="preserve">through low emissions </w:t>
      </w:r>
      <w:proofErr w:type="gramStart"/>
      <w:r w:rsidR="00F70493" w:rsidRPr="00954312">
        <w:t>pathways</w:t>
      </w:r>
      <w:bookmarkEnd w:id="503"/>
      <w:bookmarkEnd w:id="504"/>
      <w:bookmarkEnd w:id="505"/>
      <w:bookmarkEnd w:id="506"/>
      <w:proofErr w:type="gramEnd"/>
    </w:p>
    <w:p w14:paraId="36041CDE" w14:textId="3E96EA39" w:rsidR="00AD497E" w:rsidRPr="00185FF6" w:rsidRDefault="00AD497E" w:rsidP="00AD497E">
      <w:pPr>
        <w:pStyle w:val="DECHeading4"/>
        <w:rPr>
          <w:color w:val="auto"/>
        </w:rPr>
      </w:pPr>
      <w:bookmarkStart w:id="507" w:name="_Toc174605696"/>
      <w:bookmarkStart w:id="508" w:name="_Toc176424834"/>
      <w:bookmarkStart w:id="509" w:name="_Toc176424993"/>
      <w:r w:rsidRPr="00982591">
        <w:t xml:space="preserve">In 2023–24, we continued to </w:t>
      </w:r>
      <w:r w:rsidRPr="00185FF6">
        <w:rPr>
          <w:color w:val="auto"/>
        </w:rPr>
        <w:t xml:space="preserve">work towards </w:t>
      </w:r>
      <w:r>
        <w:rPr>
          <w:color w:val="auto"/>
        </w:rPr>
        <w:t xml:space="preserve">building competitive advantages through low emissions pathways </w:t>
      </w:r>
      <w:r w:rsidRPr="00185FF6">
        <w:rPr>
          <w:color w:val="auto"/>
        </w:rPr>
        <w:t>by:</w:t>
      </w:r>
      <w:bookmarkEnd w:id="507"/>
      <w:bookmarkEnd w:id="508"/>
      <w:bookmarkEnd w:id="509"/>
    </w:p>
    <w:p w14:paraId="04666174" w14:textId="7ED7E910" w:rsidR="00F70493" w:rsidRDefault="0068435B" w:rsidP="00C7366C">
      <w:pPr>
        <w:pStyle w:val="ListParagraph"/>
        <w:rPr>
          <w:lang w:eastAsia="en-AU"/>
        </w:rPr>
      </w:pPr>
      <w:r w:rsidRPr="00C060ED">
        <w:t>Working across government, with industry</w:t>
      </w:r>
      <w:r w:rsidR="77037830">
        <w:t>, communities</w:t>
      </w:r>
      <w:r w:rsidRPr="00C060ED">
        <w:t xml:space="preserve"> and with the Clean Economy Expert Panel to develop sectoral plans to achieve our emissions reduction targets and grow our industries and jobs</w:t>
      </w:r>
      <w:r w:rsidR="00A431A3">
        <w:t>.</w:t>
      </w:r>
    </w:p>
    <w:p w14:paraId="43B00CA6" w14:textId="77777777" w:rsidR="00AD497E" w:rsidRDefault="00AD497E" w:rsidP="00AD497E">
      <w:pPr>
        <w:pStyle w:val="ListParagraph"/>
      </w:pPr>
      <w:r>
        <w:t>D</w:t>
      </w:r>
      <w:r w:rsidRPr="001B69DB">
        <w:t>emonstrat</w:t>
      </w:r>
      <w:r>
        <w:t>ing</w:t>
      </w:r>
      <w:r w:rsidRPr="001B69DB">
        <w:t xml:space="preserve"> action in achieving emissions reduction across the economy, with recently released greenhouse gas inventory data showing that the state’s 2030 emission reduction target has been met eight years early</w:t>
      </w:r>
      <w:r>
        <w:t>.</w:t>
      </w:r>
    </w:p>
    <w:p w14:paraId="53E2037C" w14:textId="77777777" w:rsidR="00AD497E" w:rsidRPr="00F70493" w:rsidRDefault="00AD497E" w:rsidP="00AD497E">
      <w:pPr>
        <w:pStyle w:val="ListParagraph"/>
        <w:rPr>
          <w:lang w:eastAsia="en-AU"/>
        </w:rPr>
      </w:pPr>
      <w:r>
        <w:t>Undertaking emissions modelling to understand impacts of policy decisions and global and national trends on emissions reduction and our progress towards targets.</w:t>
      </w:r>
    </w:p>
    <w:p w14:paraId="20AC9B51" w14:textId="77777777" w:rsidR="00AD497E" w:rsidRPr="001B69DB" w:rsidRDefault="00AD497E" w:rsidP="00AD497E">
      <w:pPr>
        <w:pStyle w:val="ListParagraph"/>
      </w:pPr>
      <w:r>
        <w:lastRenderedPageBreak/>
        <w:t>Investigating the development of a whole-of-government framework to drive and coordinate further emissions reduction activity across government operations, with a focus on energy efficiency initiatives.</w:t>
      </w:r>
    </w:p>
    <w:p w14:paraId="0284514A" w14:textId="2B6451FB" w:rsidR="00F70493" w:rsidRPr="00954312" w:rsidRDefault="006F6B35" w:rsidP="00982591">
      <w:pPr>
        <w:pStyle w:val="DECHeading3"/>
      </w:pPr>
      <w:bookmarkStart w:id="510" w:name="_Toc172806431"/>
      <w:bookmarkStart w:id="511" w:name="_Toc172806717"/>
      <w:bookmarkStart w:id="512" w:name="_Toc172808557"/>
      <w:bookmarkStart w:id="513" w:name="_Toc174605697"/>
      <w:bookmarkStart w:id="514" w:name="_Toc176424835"/>
      <w:bookmarkStart w:id="515" w:name="_Toc176424994"/>
      <w:r w:rsidRPr="00954312">
        <w:t xml:space="preserve">Support communities to build resilience and prosper in a low carbon </w:t>
      </w:r>
      <w:proofErr w:type="gramStart"/>
      <w:r w:rsidRPr="00954312">
        <w:t>world</w:t>
      </w:r>
      <w:bookmarkEnd w:id="510"/>
      <w:bookmarkEnd w:id="511"/>
      <w:bookmarkEnd w:id="512"/>
      <w:bookmarkEnd w:id="513"/>
      <w:bookmarkEnd w:id="514"/>
      <w:bookmarkEnd w:id="515"/>
      <w:proofErr w:type="gramEnd"/>
    </w:p>
    <w:p w14:paraId="439FDA4B" w14:textId="5931DCE2" w:rsidR="00AD497E" w:rsidRDefault="00AD497E" w:rsidP="00012976">
      <w:pPr>
        <w:pStyle w:val="DECHeading4"/>
      </w:pPr>
      <w:bookmarkStart w:id="516" w:name="_Toc174605698"/>
      <w:bookmarkStart w:id="517" w:name="_Toc176424836"/>
      <w:bookmarkStart w:id="518" w:name="_Toc176424995"/>
      <w:r w:rsidRPr="00EE48F2">
        <w:t>In 2023–24, we continued to work towards</w:t>
      </w:r>
      <w:r w:rsidR="00D05CC4">
        <w:t>:</w:t>
      </w:r>
      <w:bookmarkEnd w:id="516"/>
      <w:bookmarkEnd w:id="517"/>
      <w:bookmarkEnd w:id="518"/>
    </w:p>
    <w:p w14:paraId="59212420" w14:textId="7C0AC120" w:rsidR="00C73E1E" w:rsidRPr="00C060ED" w:rsidRDefault="00C73E1E" w:rsidP="00C73E1E">
      <w:pPr>
        <w:pStyle w:val="ListParagraph"/>
      </w:pPr>
      <w:r>
        <w:t xml:space="preserve">Providing climate science data, </w:t>
      </w:r>
      <w:proofErr w:type="gramStart"/>
      <w:r>
        <w:t>tools</w:t>
      </w:r>
      <w:proofErr w:type="gramEnd"/>
      <w:r>
        <w:t xml:space="preserve"> and support to help understand historical climate data and better manage future climate risks.</w:t>
      </w:r>
    </w:p>
    <w:p w14:paraId="7BEB4B66" w14:textId="0871ADFE" w:rsidR="00752342" w:rsidRDefault="00A31F22">
      <w:pPr>
        <w:pStyle w:val="ListParagraph"/>
      </w:pPr>
      <w:r w:rsidRPr="00C060ED">
        <w:t>Partnering with peak bodies to deliver programs and grants to support communities and businesses to respond to the impacts of climate change and build local resilience</w:t>
      </w:r>
      <w:r w:rsidR="00E54AE5">
        <w:t xml:space="preserve">, including the </w:t>
      </w:r>
      <w:r w:rsidR="5FFB3B85" w:rsidRPr="248924B7">
        <w:t>Community</w:t>
      </w:r>
      <w:r w:rsidR="74D84DF7" w:rsidRPr="248924B7">
        <w:t xml:space="preserve"> Sustainability Action</w:t>
      </w:r>
      <w:r w:rsidR="5FFB3B85" w:rsidRPr="248924B7">
        <w:t xml:space="preserve"> grant,</w:t>
      </w:r>
      <w:r w:rsidR="5FFB3B85" w:rsidRPr="6A2CBE83">
        <w:t xml:space="preserve"> </w:t>
      </w:r>
      <w:r w:rsidR="5FFB3B85" w:rsidRPr="24F5C544">
        <w:t xml:space="preserve">and the </w:t>
      </w:r>
      <w:r w:rsidR="5FFB3B85" w:rsidRPr="6A2CBE83">
        <w:t xml:space="preserve">Queensland Climate </w:t>
      </w:r>
      <w:r w:rsidR="5FFB3B85" w:rsidRPr="24F5C544">
        <w:t>Resilient Councils program</w:t>
      </w:r>
      <w:r w:rsidR="00752342">
        <w:t xml:space="preserve">. </w:t>
      </w:r>
    </w:p>
    <w:p w14:paraId="29BFA82C" w14:textId="040660D1" w:rsidR="00AD497E" w:rsidRPr="001B69DB" w:rsidRDefault="00AD497E" w:rsidP="00AD497E">
      <w:pPr>
        <w:pStyle w:val="ListParagraph"/>
      </w:pPr>
      <w:r>
        <w:t>S</w:t>
      </w:r>
      <w:r w:rsidRPr="001B69DB">
        <w:t>upport</w:t>
      </w:r>
      <w:r>
        <w:t>ing</w:t>
      </w:r>
      <w:r w:rsidDel="005B1A5D">
        <w:t xml:space="preserve"> </w:t>
      </w:r>
      <w:r w:rsidRPr="001B69DB" w:rsidDel="005B1A5D">
        <w:t xml:space="preserve">the </w:t>
      </w:r>
      <w:r w:rsidRPr="001B69DB">
        <w:t>Local Government Association of Queensland with an additional $2 million to extend the Queensland Climate Resilient Councils initiative for a further two years (2024–2026) to build upon the program's achievements, enhancing climate resilience among local governments across Queensland.</w:t>
      </w:r>
    </w:p>
    <w:p w14:paraId="1AD3DA7A" w14:textId="77145878" w:rsidR="008D1747" w:rsidRPr="008D1747" w:rsidRDefault="001305DE" w:rsidP="00752342">
      <w:pPr>
        <w:pStyle w:val="DECHeading3"/>
      </w:pPr>
      <w:bookmarkStart w:id="519" w:name="_Toc172806434"/>
      <w:bookmarkStart w:id="520" w:name="_Toc172806720"/>
      <w:bookmarkStart w:id="521" w:name="_Toc172808560"/>
      <w:bookmarkStart w:id="522" w:name="_Toc174605699"/>
      <w:bookmarkStart w:id="523" w:name="_Toc176424837"/>
      <w:bookmarkStart w:id="524" w:name="_Toc176424996"/>
      <w:r>
        <w:t xml:space="preserve">Transition the government’s fleet to low emission </w:t>
      </w:r>
      <w:proofErr w:type="gramStart"/>
      <w:r>
        <w:t>options</w:t>
      </w:r>
      <w:bookmarkEnd w:id="519"/>
      <w:bookmarkEnd w:id="520"/>
      <w:bookmarkEnd w:id="521"/>
      <w:bookmarkEnd w:id="522"/>
      <w:bookmarkEnd w:id="523"/>
      <w:bookmarkEnd w:id="524"/>
      <w:proofErr w:type="gramEnd"/>
    </w:p>
    <w:p w14:paraId="0220266D" w14:textId="494E9073" w:rsidR="00490E88" w:rsidRPr="00185FF6" w:rsidRDefault="00490E88" w:rsidP="00516813">
      <w:pPr>
        <w:pStyle w:val="DECHeading4"/>
        <w:rPr>
          <w:color w:val="auto"/>
        </w:rPr>
      </w:pPr>
      <w:bookmarkStart w:id="525" w:name="_Toc172808561"/>
      <w:bookmarkStart w:id="526" w:name="_Toc174605700"/>
      <w:bookmarkStart w:id="527" w:name="_Toc176424838"/>
      <w:bookmarkStart w:id="528" w:name="_Toc176424997"/>
      <w:r w:rsidRPr="00982591">
        <w:t xml:space="preserve">In 2023–24, we continued to </w:t>
      </w:r>
      <w:r w:rsidR="00DB6939" w:rsidRPr="00185FF6">
        <w:rPr>
          <w:color w:val="auto"/>
        </w:rPr>
        <w:t>transition the government’s fleet to low emission options</w:t>
      </w:r>
      <w:r w:rsidRPr="00185FF6">
        <w:rPr>
          <w:color w:val="auto"/>
        </w:rPr>
        <w:t xml:space="preserve"> by:</w:t>
      </w:r>
      <w:bookmarkEnd w:id="525"/>
      <w:bookmarkEnd w:id="526"/>
      <w:bookmarkEnd w:id="527"/>
      <w:bookmarkEnd w:id="528"/>
    </w:p>
    <w:p w14:paraId="6AD596F9" w14:textId="6CC3FAA8" w:rsidR="3E3A01C5" w:rsidRDefault="3E3A01C5" w:rsidP="57AFFB2E">
      <w:pPr>
        <w:pStyle w:val="ListParagraph"/>
        <w:spacing w:after="120"/>
      </w:pPr>
      <w:r>
        <w:t xml:space="preserve">Remaining on track to meet </w:t>
      </w:r>
      <w:r w:rsidRPr="0032355E">
        <w:rPr>
          <w:i/>
        </w:rPr>
        <w:t>Queensland’s Zero Emission Vehicle Strategy 2022-2032</w:t>
      </w:r>
      <w:r>
        <w:t xml:space="preserve"> target to transition 100 per cent of its eligible fleet passenger vehicles</w:t>
      </w:r>
      <w:r w:rsidR="007E379B">
        <w:t xml:space="preserve"> </w:t>
      </w:r>
      <w:r w:rsidR="007E379B" w:rsidDel="00CF015D">
        <w:t xml:space="preserve">from </w:t>
      </w:r>
      <w:r w:rsidR="007E379B">
        <w:t>ICE</w:t>
      </w:r>
      <w:r>
        <w:t xml:space="preserve"> to zero emission vehicles by 2026.</w:t>
      </w:r>
    </w:p>
    <w:p w14:paraId="7B6CA8C5" w14:textId="00E49B40" w:rsidR="00FD5D7B" w:rsidRPr="008D1747" w:rsidRDefault="31480A54" w:rsidP="57AFFB2E">
      <w:pPr>
        <w:pStyle w:val="ListParagraph"/>
        <w:spacing w:after="120"/>
      </w:pPr>
      <w:r>
        <w:t>In</w:t>
      </w:r>
      <w:r w:rsidRPr="008D1747">
        <w:t>creasing the percentage of zero emission vehicles active within the QFleet fleet with 54</w:t>
      </w:r>
      <w:r w:rsidR="008D0142">
        <w:t xml:space="preserve"> per cent</w:t>
      </w:r>
      <w:r w:rsidRPr="008D1747">
        <w:t xml:space="preserve"> of its eligible passenger and SUV fleet transitioned to EVs as </w:t>
      </w:r>
      <w:proofErr w:type="gramStart"/>
      <w:r w:rsidRPr="008D1747">
        <w:t>at</w:t>
      </w:r>
      <w:proofErr w:type="gramEnd"/>
      <w:r w:rsidRPr="008D1747">
        <w:t xml:space="preserve"> 30 June 2024.</w:t>
      </w:r>
    </w:p>
    <w:p w14:paraId="26EEE3A6" w14:textId="2085DA38" w:rsidR="00FD5D7B" w:rsidRPr="008D1747" w:rsidRDefault="4E0765BC" w:rsidP="003D59F3">
      <w:pPr>
        <w:pStyle w:val="ListParagraph"/>
        <w:spacing w:after="120"/>
      </w:pPr>
      <w:r>
        <w:t>A</w:t>
      </w:r>
      <w:r w:rsidRPr="008D1747">
        <w:t>chieving 59</w:t>
      </w:r>
      <w:r w:rsidR="00664E1E">
        <w:t xml:space="preserve"> per cent</w:t>
      </w:r>
      <w:r w:rsidRPr="008D1747">
        <w:t xml:space="preserve"> reduction of the government fleet 2005 emission levels</w:t>
      </w:r>
      <w:r w:rsidR="00EC6914">
        <w:t>.</w:t>
      </w:r>
    </w:p>
    <w:p w14:paraId="224F99FF" w14:textId="17F93B47" w:rsidR="00FD5D7B" w:rsidRPr="008D1747" w:rsidRDefault="003C3A49" w:rsidP="003D59F3">
      <w:pPr>
        <w:pStyle w:val="ListParagraph"/>
        <w:spacing w:after="120"/>
      </w:pPr>
      <w:r>
        <w:t>A</w:t>
      </w:r>
      <w:r w:rsidR="4E0765BC" w:rsidRPr="008D1747">
        <w:t>chiev</w:t>
      </w:r>
      <w:r w:rsidR="00DE7BF5">
        <w:t>ing</w:t>
      </w:r>
      <w:r w:rsidR="4E0765BC" w:rsidRPr="008D1747">
        <w:t xml:space="preserve"> approximately $2.3</w:t>
      </w:r>
      <w:r w:rsidR="001976D5">
        <w:t xml:space="preserve"> million</w:t>
      </w:r>
      <w:r w:rsidR="4E0765BC" w:rsidRPr="008D1747">
        <w:t xml:space="preserve"> in annual fuel costs savings (based on the 54</w:t>
      </w:r>
      <w:r w:rsidR="001976D5">
        <w:t xml:space="preserve"> per cent</w:t>
      </w:r>
      <w:r w:rsidR="4E0765BC" w:rsidRPr="008D1747">
        <w:t xml:space="preserve"> eligible vehicles that have transitioned to EVs)</w:t>
      </w:r>
      <w:r w:rsidR="00EC6914">
        <w:t>.</w:t>
      </w:r>
    </w:p>
    <w:p w14:paraId="2B8B3583" w14:textId="3B1F42A7" w:rsidR="00FD5D7B" w:rsidRDefault="003C3A49" w:rsidP="26A47FD4">
      <w:pPr>
        <w:pStyle w:val="ListParagraph"/>
        <w:spacing w:after="120"/>
      </w:pPr>
      <w:r>
        <w:t>P</w:t>
      </w:r>
      <w:r w:rsidR="00DE7BF5">
        <w:t>roviding o</w:t>
      </w:r>
      <w:r w:rsidR="4E0765BC" w:rsidRPr="008D1747">
        <w:t xml:space="preserve">ther benefits include savings to vehicle service and maintenance costs which is currently estimated to be over $1 million. </w:t>
      </w:r>
    </w:p>
    <w:p w14:paraId="29B9D9D4" w14:textId="18ED58EA" w:rsidR="40B385A2" w:rsidDel="000F0DCD" w:rsidRDefault="40B385A2" w:rsidP="26A47FD4">
      <w:pPr>
        <w:pStyle w:val="ListParagraph"/>
        <w:spacing w:after="120"/>
      </w:pPr>
      <w:r>
        <w:t>Selling 42 electric vehicles through public auction at lease end since 2020, providing quality second</w:t>
      </w:r>
      <w:r w:rsidR="00564357">
        <w:t>-</w:t>
      </w:r>
      <w:r>
        <w:t>hand EVs to the used car market.</w:t>
      </w:r>
    </w:p>
    <w:p w14:paraId="0AC24EE3" w14:textId="77777777" w:rsidR="00454F7E" w:rsidRDefault="00454F7E">
      <w:pPr>
        <w:spacing w:before="0" w:after="160" w:line="259" w:lineRule="auto"/>
        <w:rPr>
          <w:rFonts w:cs="Arial"/>
          <w:color w:val="000000"/>
          <w:sz w:val="16"/>
          <w:szCs w:val="16"/>
        </w:rPr>
      </w:pPr>
      <w:r>
        <w:br w:type="page"/>
      </w:r>
    </w:p>
    <w:p w14:paraId="4B61CD25" w14:textId="6BD5F91A" w:rsidR="00397507" w:rsidRPr="00397507" w:rsidRDefault="00694DC3" w:rsidP="00694DC3">
      <w:pPr>
        <w:pStyle w:val="DECNotes"/>
        <w:rPr>
          <w:color w:val="0070C0"/>
        </w:rPr>
      </w:pPr>
      <w:r w:rsidRPr="00694DC3">
        <w:lastRenderedPageBreak/>
        <w:t>Figure 1 reflects the percentage of eligible QFleet passenger and SUV vehicles transitioned to EVs to date.</w:t>
      </w:r>
    </w:p>
    <w:p w14:paraId="07EF7932" w14:textId="49E575ED" w:rsidR="00A15A32" w:rsidRPr="00C91D3D" w:rsidRDefault="009D4FAF">
      <w:pPr>
        <w:rPr>
          <w:rFonts w:eastAsia="Arial Nova Light" w:cs="Arial Nova Light"/>
          <w:color w:val="000000" w:themeColor="text2"/>
          <w:szCs w:val="20"/>
          <w:lang w:val="en-US"/>
        </w:rPr>
      </w:pPr>
      <w:r>
        <w:rPr>
          <w:noProof/>
        </w:rPr>
        <w:drawing>
          <wp:inline distT="0" distB="0" distL="0" distR="0" wp14:anchorId="02E9E8E8" wp14:editId="128E5119">
            <wp:extent cx="5097145" cy="2943225"/>
            <wp:effectExtent l="0" t="0" r="8255" b="9525"/>
            <wp:docPr id="7" name="Chart 7" descr="This graph shows the percentage of vehicles transitioned to Electric Vehicles as part of the QFleet EV Transition Strategy. The Graph shows the upward trend beginning at 3% of vehicles transitioned in 2020-21, 9% in 2021-22, 31% in 2022-23 and 54% in 2023-24.">
              <a:extLst xmlns:a="http://schemas.openxmlformats.org/drawingml/2006/main">
                <a:ext uri="{FF2B5EF4-FFF2-40B4-BE49-F238E27FC236}">
                  <a16:creationId xmlns:a16="http://schemas.microsoft.com/office/drawing/2014/main" id="{63AD32C8-84AD-4F7E-80CB-CA76F9380A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1D408B0" w14:textId="5B83308E" w:rsidR="00A15A32" w:rsidRPr="00C91D3D" w:rsidRDefault="6A3F6018">
      <w:pPr>
        <w:rPr>
          <w:rFonts w:eastAsia="Arial Nova Light" w:cs="Arial Nova Light"/>
          <w:color w:val="000000" w:themeColor="text2"/>
          <w:szCs w:val="20"/>
          <w:lang w:val="en-US"/>
        </w:rPr>
      </w:pPr>
      <w:r w:rsidRPr="00694DC3">
        <w:rPr>
          <w:rFonts w:cs="Arial"/>
          <w:color w:val="000000"/>
          <w:sz w:val="16"/>
          <w:szCs w:val="16"/>
        </w:rPr>
        <w:t>Figure 2 Highlights the impact of this transition on vehicle emissions for the entire QFleet fleet to date</w:t>
      </w:r>
      <w:r w:rsidRPr="7C530B33">
        <w:rPr>
          <w:rFonts w:eastAsia="Arial Nova Light" w:cs="Arial Nova Light"/>
          <w:color w:val="000000" w:themeColor="text2"/>
          <w:szCs w:val="20"/>
        </w:rPr>
        <w:t>.</w:t>
      </w:r>
    </w:p>
    <w:p w14:paraId="48012DB1" w14:textId="6FDCB670" w:rsidR="00A15A32" w:rsidRPr="00C91D3D" w:rsidRDefault="00047BB3" w:rsidP="008F5B16">
      <w:pPr>
        <w:pStyle w:val="DECHeading3"/>
      </w:pPr>
      <w:bookmarkStart w:id="529" w:name="_Toc172794887"/>
      <w:bookmarkStart w:id="530" w:name="_Toc172806435"/>
      <w:bookmarkStart w:id="531" w:name="_Toc172806721"/>
      <w:bookmarkStart w:id="532" w:name="_Toc172808562"/>
      <w:bookmarkStart w:id="533" w:name="_Toc174605701"/>
      <w:bookmarkStart w:id="534" w:name="_Toc176424839"/>
      <w:bookmarkStart w:id="535" w:name="_Toc176424998"/>
      <w:r w:rsidRPr="00CF13BD">
        <w:rPr>
          <w:noProof/>
          <w:shd w:val="clear" w:color="auto" w:fill="F2F2F2" w:themeFill="background1" w:themeFillShade="F2"/>
        </w:rPr>
        <w:drawing>
          <wp:inline distT="0" distB="0" distL="0" distR="0" wp14:anchorId="71CDB748" wp14:editId="6FC4F33A">
            <wp:extent cx="5097145" cy="3778370"/>
            <wp:effectExtent l="0" t="0" r="8255" b="12700"/>
            <wp:docPr id="5" name="Chart 5" descr="This graph shows the impact of the QFleet EV transition on vehicle emissions for the entire QFleet fleet. The graph shows the following data:&#10;In 20-21 there were 10,299 vehicles in the fleet, 52 of which were EVs. The emissions from these vehicles were 35.38 kilotonnes.&#10;In 21-22, there were 10,257 vehicles in the fleet, 150 EVs and emissions lowered to 34.36 kilotonnes.&#10;In 22-23, there were 10,254 vehicles in the fleet, 364 EVs and emissions lowered to 34.21 kilotonnes.&#10;In 23-24, there were 9,636 vehicles in the fleet, 1,449 EVs with emissions lowering to 33.19 kilotonnes. ">
              <a:extLst xmlns:a="http://schemas.openxmlformats.org/drawingml/2006/main">
                <a:ext uri="{FF2B5EF4-FFF2-40B4-BE49-F238E27FC236}">
                  <a16:creationId xmlns:a16="http://schemas.microsoft.com/office/drawing/2014/main" id="{A9D611A1-A6D5-1A32-D7D9-D877C90268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00235E5A">
        <w:br w:type="page"/>
      </w:r>
      <w:r w:rsidR="00A15A32" w:rsidRPr="00C91D3D">
        <w:lastRenderedPageBreak/>
        <w:t xml:space="preserve">Looking forward </w:t>
      </w:r>
      <w:r w:rsidR="00AD719C">
        <w:t xml:space="preserve">to </w:t>
      </w:r>
      <w:r w:rsidR="00A15A32" w:rsidRPr="00C91D3D">
        <w:t>2024</w:t>
      </w:r>
      <w:r w:rsidR="00AB44B2">
        <w:t>–</w:t>
      </w:r>
      <w:r w:rsidR="00A15A32" w:rsidRPr="00C91D3D">
        <w:t>25</w:t>
      </w:r>
      <w:bookmarkEnd w:id="529"/>
      <w:bookmarkEnd w:id="530"/>
      <w:bookmarkEnd w:id="531"/>
      <w:bookmarkEnd w:id="532"/>
      <w:bookmarkEnd w:id="533"/>
      <w:bookmarkEnd w:id="534"/>
      <w:bookmarkEnd w:id="535"/>
    </w:p>
    <w:p w14:paraId="7042C7D3" w14:textId="149E811B" w:rsidR="00A15A32" w:rsidRPr="00C86676" w:rsidRDefault="00A15A32" w:rsidP="00086D11">
      <w:pPr>
        <w:pStyle w:val="DECHeading4"/>
      </w:pPr>
      <w:bookmarkStart w:id="536" w:name="_Toc172808563"/>
      <w:bookmarkStart w:id="537" w:name="_Toc174605702"/>
      <w:bookmarkStart w:id="538" w:name="_Toc176424840"/>
      <w:bookmarkStart w:id="539" w:name="_Toc176424999"/>
      <w:r w:rsidRPr="00086D11">
        <w:t xml:space="preserve">In </w:t>
      </w:r>
      <w:r w:rsidR="00F6185D" w:rsidRPr="00086D11">
        <w:t>2024</w:t>
      </w:r>
      <w:r w:rsidR="00AB44B2" w:rsidRPr="00086D11">
        <w:t>–</w:t>
      </w:r>
      <w:r w:rsidR="00F6185D" w:rsidRPr="00086D11">
        <w:t>25</w:t>
      </w:r>
      <w:r w:rsidRPr="00C86676">
        <w:t>, we will continue to work to realise and support government priorities by:</w:t>
      </w:r>
      <w:bookmarkEnd w:id="536"/>
      <w:bookmarkEnd w:id="537"/>
      <w:bookmarkEnd w:id="538"/>
      <w:bookmarkEnd w:id="539"/>
      <w:r w:rsidRPr="00C86676">
        <w:t xml:space="preserve"> </w:t>
      </w:r>
    </w:p>
    <w:p w14:paraId="7AE4213A" w14:textId="0F2C4874" w:rsidR="00A15A32" w:rsidRDefault="003C3A49" w:rsidP="00354A06">
      <w:pPr>
        <w:pStyle w:val="ListParagraph"/>
        <w:spacing w:after="120"/>
      </w:pPr>
      <w:r>
        <w:t>I</w:t>
      </w:r>
      <w:r w:rsidR="001E25C4" w:rsidRPr="00354A06">
        <w:t>mplement</w:t>
      </w:r>
      <w:r w:rsidR="008E1766">
        <w:t>ing</w:t>
      </w:r>
      <w:r w:rsidR="001E25C4">
        <w:t xml:space="preserve"> the </w:t>
      </w:r>
      <w:r w:rsidR="001E25C4" w:rsidRPr="00354A06">
        <w:rPr>
          <w:i/>
        </w:rPr>
        <w:t>Clean Economy Jobs Act 2024</w:t>
      </w:r>
      <w:r w:rsidR="00AB44B2" w:rsidRPr="00CF5828">
        <w:rPr>
          <w:iCs/>
        </w:rPr>
        <w:t>,</w:t>
      </w:r>
      <w:r w:rsidR="001E25C4">
        <w:t xml:space="preserve"> including delivering </w:t>
      </w:r>
      <w:r w:rsidR="00302837">
        <w:t xml:space="preserve">the first suite of </w:t>
      </w:r>
      <w:r w:rsidR="001E25C4" w:rsidDel="00302837">
        <w:t>s</w:t>
      </w:r>
      <w:r w:rsidR="001E25C4">
        <w:t>ector emission reduction plans</w:t>
      </w:r>
      <w:r w:rsidR="00302837">
        <w:t xml:space="preserve"> by the end of 2025</w:t>
      </w:r>
      <w:r w:rsidR="00321CB3">
        <w:t xml:space="preserve"> to decarbonise Queensland’s economy and </w:t>
      </w:r>
      <w:r w:rsidR="001E25C4">
        <w:t>support</w:t>
      </w:r>
      <w:r w:rsidR="00321CB3">
        <w:t xml:space="preserve"> </w:t>
      </w:r>
      <w:r w:rsidR="001E25C4">
        <w:t xml:space="preserve">industry to decarbonise </w:t>
      </w:r>
      <w:r w:rsidR="00321CB3">
        <w:t xml:space="preserve">while growing </w:t>
      </w:r>
      <w:r w:rsidR="001E25C4">
        <w:t>new industries and jobs</w:t>
      </w:r>
      <w:r w:rsidR="000E6BDC">
        <w:t>.</w:t>
      </w:r>
    </w:p>
    <w:p w14:paraId="53F44DF7" w14:textId="21EDADED" w:rsidR="00334C1E" w:rsidRDefault="003C3A49" w:rsidP="00354A06">
      <w:pPr>
        <w:pStyle w:val="ListParagraph"/>
        <w:spacing w:after="120"/>
      </w:pPr>
      <w:r>
        <w:t>E</w:t>
      </w:r>
      <w:r w:rsidR="001B535E" w:rsidRPr="00354A06">
        <w:t>stablish</w:t>
      </w:r>
      <w:r w:rsidR="008E1766">
        <w:t>ing</w:t>
      </w:r>
      <w:r w:rsidR="001B535E">
        <w:t xml:space="preserve"> the framework </w:t>
      </w:r>
      <w:r w:rsidR="008D3C9E" w:rsidRPr="00354A06">
        <w:t xml:space="preserve">for accountability and action </w:t>
      </w:r>
      <w:r w:rsidR="00225269" w:rsidRPr="00354A06">
        <w:t xml:space="preserve">for the </w:t>
      </w:r>
      <w:r w:rsidR="00066F2E" w:rsidRPr="00AD015B">
        <w:rPr>
          <w:i/>
        </w:rPr>
        <w:t>Clean Economy Jobs Ac</w:t>
      </w:r>
      <w:r w:rsidR="00066F2E">
        <w:rPr>
          <w:i/>
        </w:rPr>
        <w:t>t</w:t>
      </w:r>
      <w:r w:rsidR="00AD015B">
        <w:rPr>
          <w:i/>
          <w:iCs/>
        </w:rPr>
        <w:t xml:space="preserve"> 2024</w:t>
      </w:r>
      <w:r w:rsidR="00066F2E" w:rsidRPr="00354A06">
        <w:t xml:space="preserve">, including </w:t>
      </w:r>
      <w:r w:rsidR="008D3C9E" w:rsidRPr="00354A06">
        <w:t>annual reporting to Parliament</w:t>
      </w:r>
      <w:r w:rsidR="000E6BDC">
        <w:t>.</w:t>
      </w:r>
    </w:p>
    <w:p w14:paraId="5974AB52" w14:textId="00241BEC" w:rsidR="00832F7F" w:rsidRPr="00354A06" w:rsidRDefault="003C3A49" w:rsidP="00354A06">
      <w:pPr>
        <w:pStyle w:val="ListParagraph"/>
      </w:pPr>
      <w:r>
        <w:t>E</w:t>
      </w:r>
      <w:r w:rsidR="00832F7F" w:rsidRPr="00354A06">
        <w:t>stablish</w:t>
      </w:r>
      <w:r w:rsidR="008E1766">
        <w:t>ing</w:t>
      </w:r>
      <w:r w:rsidR="00832F7F" w:rsidRPr="00354A06">
        <w:t xml:space="preserve"> the Clean Economy Expert Panel to provide expert advice to the Queensland </w:t>
      </w:r>
      <w:r w:rsidR="007071DB">
        <w:t>G</w:t>
      </w:r>
      <w:r w:rsidR="00832F7F" w:rsidRPr="00354A06">
        <w:t xml:space="preserve">overnment on the best ways to reduce emissions while maximising benefits for local communities and the state’s economy. </w:t>
      </w:r>
    </w:p>
    <w:p w14:paraId="19D2D37E" w14:textId="317E4866" w:rsidR="001E25C4" w:rsidRDefault="008973F7" w:rsidP="008E1766">
      <w:pPr>
        <w:pStyle w:val="ListParagraph"/>
      </w:pPr>
      <w:r>
        <w:t>S</w:t>
      </w:r>
      <w:r w:rsidR="00F758F6" w:rsidRPr="00354A06">
        <w:t>upport</w:t>
      </w:r>
      <w:r w:rsidR="008E1766">
        <w:t>ing</w:t>
      </w:r>
      <w:r w:rsidR="00F758F6">
        <w:t xml:space="preserve"> reduction of government emissions, including by setting greenhouse gas emission baselines for each of the government’s priority procurement categories and by increasing the proportion of government large scale electricity supplied by renewables</w:t>
      </w:r>
      <w:r w:rsidR="000E6BDC">
        <w:t>.</w:t>
      </w:r>
    </w:p>
    <w:p w14:paraId="2B9DE285" w14:textId="58D2E340" w:rsidR="00CB3289" w:rsidRPr="00354A06" w:rsidRDefault="008973F7" w:rsidP="00CB3289">
      <w:pPr>
        <w:pStyle w:val="ListParagraph"/>
      </w:pPr>
      <w:r>
        <w:t>R</w:t>
      </w:r>
      <w:r w:rsidR="00CB3289" w:rsidRPr="00354A06">
        <w:t>eview</w:t>
      </w:r>
      <w:r w:rsidR="008E1766">
        <w:t>ing</w:t>
      </w:r>
      <w:r w:rsidR="00CB3289">
        <w:t xml:space="preserve"> the </w:t>
      </w:r>
      <w:r w:rsidR="00CB3289" w:rsidRPr="006C59FD">
        <w:rPr>
          <w:i/>
        </w:rPr>
        <w:t>Queensland Climate Action Plan 2030</w:t>
      </w:r>
      <w:r w:rsidR="00CB3289">
        <w:t xml:space="preserve"> to continue driving clean economy and climate actions across government</w:t>
      </w:r>
      <w:r w:rsidR="00066F2E">
        <w:t xml:space="preserve"> as part of Queensland’s Clean Economy Pathway. </w:t>
      </w:r>
    </w:p>
    <w:p w14:paraId="7177BD8B" w14:textId="53F5EE9C" w:rsidR="00F758F6" w:rsidRDefault="008973F7" w:rsidP="008E1766">
      <w:pPr>
        <w:pStyle w:val="ListParagraph"/>
      </w:pPr>
      <w:r>
        <w:t>C</w:t>
      </w:r>
      <w:r w:rsidR="00F6185D" w:rsidRPr="00354A06">
        <w:t>ontinu</w:t>
      </w:r>
      <w:r w:rsidR="008E1766">
        <w:t>ing</w:t>
      </w:r>
      <w:r w:rsidR="00F6185D">
        <w:t xml:space="preserve"> to deliver against the </w:t>
      </w:r>
      <w:r w:rsidR="00F6185D" w:rsidRPr="0084709E">
        <w:rPr>
          <w:i/>
        </w:rPr>
        <w:t>QFleet Electric Vehicle Transition Strategy 2023–2026</w:t>
      </w:r>
      <w:r w:rsidR="00F6185D">
        <w:t xml:space="preserve"> and </w:t>
      </w:r>
      <w:r w:rsidR="00F6185D" w:rsidRPr="0084709E">
        <w:rPr>
          <w:i/>
        </w:rPr>
        <w:t>Queensland’s Zero Emission Vehicle Strategy 2022–2032</w:t>
      </w:r>
      <w:r w:rsidR="00F6185D">
        <w:t xml:space="preserve"> to transition 100 per cent of its eligible fleet passenger vehicles to zero emission vehicles by 2026, increasing the percentage of zero emission vehicles in the fleet each year.</w:t>
      </w:r>
    </w:p>
    <w:p w14:paraId="30D28A25" w14:textId="1B5FD6E0" w:rsidR="3DDAEFFB" w:rsidRPr="008E1766" w:rsidRDefault="008973F7" w:rsidP="008E1766">
      <w:pPr>
        <w:pStyle w:val="ListParagraph"/>
      </w:pPr>
      <w:r>
        <w:t>E</w:t>
      </w:r>
      <w:r w:rsidR="3DDAEFFB" w:rsidRPr="008E1766">
        <w:t>ncourag</w:t>
      </w:r>
      <w:r w:rsidR="008E1766" w:rsidRPr="008E1766">
        <w:t>ing</w:t>
      </w:r>
      <w:r w:rsidR="3DDAEFFB" w:rsidRPr="008E1766">
        <w:t xml:space="preserve"> local governments, </w:t>
      </w:r>
      <w:proofErr w:type="gramStart"/>
      <w:r w:rsidR="3DDAEFFB" w:rsidRPr="008E1766">
        <w:t>industry</w:t>
      </w:r>
      <w:proofErr w:type="gramEnd"/>
      <w:r w:rsidR="3DDAEFFB" w:rsidRPr="008E1766">
        <w:t xml:space="preserve"> and other organisation</w:t>
      </w:r>
      <w:r w:rsidR="00C20EBC">
        <w:t>s</w:t>
      </w:r>
      <w:r w:rsidR="3DDAEFFB" w:rsidRPr="008E1766">
        <w:t xml:space="preserve"> to promote ZEV technology and </w:t>
      </w:r>
      <w:r w:rsidR="008D06F3" w:rsidRPr="008E1766">
        <w:t>adaptation</w:t>
      </w:r>
      <w:r w:rsidR="3DDAEFFB" w:rsidRPr="008E1766">
        <w:t>. Continu</w:t>
      </w:r>
      <w:r w:rsidR="0087572D">
        <w:t>ing</w:t>
      </w:r>
      <w:r w:rsidR="3DDAEFFB" w:rsidRPr="008E1766">
        <w:t xml:space="preserve"> to collaborate across jurisdictions to influence the supply market as effectively as possible.</w:t>
      </w:r>
    </w:p>
    <w:p w14:paraId="7FACAA33" w14:textId="7E1578A2" w:rsidR="3DDAEFFB" w:rsidRPr="008E1766" w:rsidRDefault="3DDAEFFB" w:rsidP="008E1766">
      <w:pPr>
        <w:pStyle w:val="ListParagraph"/>
      </w:pPr>
      <w:r>
        <w:t>A</w:t>
      </w:r>
      <w:r w:rsidRPr="008E1766">
        <w:t>ctively work</w:t>
      </w:r>
      <w:r w:rsidR="008E1766" w:rsidRPr="008E1766">
        <w:t>ing</w:t>
      </w:r>
      <w:r w:rsidRPr="008E1766">
        <w:t xml:space="preserve"> with agencies to reduce vehicles emissions in line with the </w:t>
      </w:r>
      <w:r w:rsidR="000178E1" w:rsidRPr="008E1766">
        <w:t>government’s</w:t>
      </w:r>
      <w:r w:rsidRPr="008E1766">
        <w:t xml:space="preserve"> 2035 emission reduction targets.</w:t>
      </w:r>
    </w:p>
    <w:p w14:paraId="535E6030" w14:textId="21A4E793" w:rsidR="00970A80" w:rsidRDefault="008973F7" w:rsidP="00354A06">
      <w:pPr>
        <w:pStyle w:val="ListParagraph"/>
      </w:pPr>
      <w:r>
        <w:t>C</w:t>
      </w:r>
      <w:r w:rsidR="007C7DE8" w:rsidRPr="00354A06">
        <w:t>ontinu</w:t>
      </w:r>
      <w:r w:rsidR="008E1766">
        <w:t>ing</w:t>
      </w:r>
      <w:r w:rsidR="007C7DE8">
        <w:t xml:space="preserve"> to deliver on our partnership</w:t>
      </w:r>
      <w:r w:rsidR="00311B44">
        <w:t>s</w:t>
      </w:r>
      <w:r w:rsidR="00541B2E">
        <w:t xml:space="preserve"> with the Local Government Association of Queensland</w:t>
      </w:r>
      <w:r w:rsidR="00311B44">
        <w:t xml:space="preserve"> and Business Chamber of Queensland</w:t>
      </w:r>
      <w:r w:rsidR="00541B2E">
        <w:t xml:space="preserve"> </w:t>
      </w:r>
      <w:r w:rsidR="00311B44">
        <w:t xml:space="preserve">to provide practical support to local governments and businesses </w:t>
      </w:r>
      <w:r w:rsidR="000E6F2E">
        <w:t xml:space="preserve">to take climate action in their communities. </w:t>
      </w:r>
      <w:r w:rsidR="00F6185D">
        <w:br w:type="page"/>
      </w:r>
      <w:bookmarkEnd w:id="365"/>
      <w:bookmarkEnd w:id="473"/>
    </w:p>
    <w:p w14:paraId="13A845A9" w14:textId="40611899" w:rsidR="00123CF2" w:rsidRDefault="00042B2E" w:rsidP="008F5B16">
      <w:pPr>
        <w:pStyle w:val="DECheading11"/>
        <w:rPr>
          <w:b/>
        </w:rPr>
      </w:pPr>
      <w:bookmarkStart w:id="540" w:name="_Toc172794888"/>
      <w:bookmarkStart w:id="541" w:name="_Toc172806436"/>
      <w:bookmarkStart w:id="542" w:name="_Toc172806722"/>
      <w:bookmarkStart w:id="543" w:name="_Toc172808409"/>
      <w:bookmarkStart w:id="544" w:name="_Toc172808564"/>
      <w:bookmarkStart w:id="545" w:name="_Toc174605703"/>
      <w:bookmarkStart w:id="546" w:name="_Toc176424841"/>
      <w:bookmarkStart w:id="547" w:name="_Toc176425000"/>
      <w:r>
        <w:lastRenderedPageBreak/>
        <w:t>Capable workforce with a positive cul</w:t>
      </w:r>
      <w:r w:rsidR="002D6C0E">
        <w:t>ture</w:t>
      </w:r>
      <w:bookmarkStart w:id="548" w:name="_Toc111189227"/>
      <w:bookmarkStart w:id="549" w:name="_Toc138317855"/>
      <w:bookmarkEnd w:id="540"/>
      <w:bookmarkEnd w:id="541"/>
      <w:bookmarkEnd w:id="542"/>
      <w:bookmarkEnd w:id="543"/>
      <w:bookmarkEnd w:id="544"/>
      <w:bookmarkEnd w:id="545"/>
      <w:bookmarkEnd w:id="546"/>
      <w:bookmarkEnd w:id="547"/>
    </w:p>
    <w:p w14:paraId="7364556E" w14:textId="200628B9" w:rsidR="00890817" w:rsidRDefault="00BF2CED" w:rsidP="008F5B16">
      <w:pPr>
        <w:pStyle w:val="DECHeading2"/>
      </w:pPr>
      <w:bookmarkStart w:id="550" w:name="_Toc172794889"/>
      <w:bookmarkStart w:id="551" w:name="_Toc172806437"/>
      <w:bookmarkStart w:id="552" w:name="_Toc172806723"/>
      <w:bookmarkStart w:id="553" w:name="_Toc172808565"/>
      <w:bookmarkStart w:id="554" w:name="_Toc174605704"/>
      <w:bookmarkStart w:id="555" w:name="_Toc176424842"/>
      <w:bookmarkStart w:id="556" w:name="_Toc176425001"/>
      <w:r w:rsidRPr="004837B1">
        <w:t>Our w</w:t>
      </w:r>
      <w:r w:rsidR="00890817" w:rsidRPr="004837B1">
        <w:t xml:space="preserve">orkforce </w:t>
      </w:r>
      <w:proofErr w:type="gramStart"/>
      <w:r w:rsidR="00890817" w:rsidRPr="004837B1">
        <w:t>profile</w:t>
      </w:r>
      <w:bookmarkEnd w:id="548"/>
      <w:bookmarkEnd w:id="549"/>
      <w:bookmarkEnd w:id="550"/>
      <w:bookmarkEnd w:id="551"/>
      <w:bookmarkEnd w:id="552"/>
      <w:bookmarkEnd w:id="553"/>
      <w:bookmarkEnd w:id="554"/>
      <w:bookmarkEnd w:id="555"/>
      <w:bookmarkEnd w:id="556"/>
      <w:proofErr w:type="gramEnd"/>
    </w:p>
    <w:p w14:paraId="441F9DBE" w14:textId="2CF945DB" w:rsidR="00972631" w:rsidRDefault="00972631" w:rsidP="00972631">
      <w:pPr>
        <w:pStyle w:val="DECNotes"/>
      </w:pPr>
      <w:r>
        <w:t xml:space="preserve">Note: </w:t>
      </w:r>
      <w:r w:rsidR="007E7C8E">
        <w:t>The following s</w:t>
      </w:r>
      <w:r>
        <w:t>taffing numbers include the allocation of Corporate</w:t>
      </w:r>
      <w:r w:rsidR="00750024">
        <w:t xml:space="preserve"> Services</w:t>
      </w:r>
      <w:r>
        <w:t xml:space="preserve"> </w:t>
      </w:r>
      <w:r w:rsidR="00844C93" w:rsidRPr="005133CA">
        <w:t>full-time equivalent</w:t>
      </w:r>
      <w:r w:rsidR="00844C93">
        <w:t xml:space="preserve">s (FTEs) </w:t>
      </w:r>
      <w:r>
        <w:t xml:space="preserve">that have transferred to the Department of Housing, Local Government, Planning and Public Works </w:t>
      </w:r>
      <w:proofErr w:type="gramStart"/>
      <w:r>
        <w:t>as a result of</w:t>
      </w:r>
      <w:proofErr w:type="gramEnd"/>
      <w:r>
        <w:t xml:space="preserve"> the finalisation of machinery-of-government changes </w:t>
      </w:r>
      <w:r w:rsidR="00AC4DF8">
        <w:t>effective 18</w:t>
      </w:r>
      <w:r>
        <w:t xml:space="preserve"> December 2023.</w:t>
      </w:r>
    </w:p>
    <w:p w14:paraId="3DC516F4" w14:textId="10EC3023" w:rsidR="0049641D" w:rsidRPr="005133CA" w:rsidRDefault="0049641D" w:rsidP="00F45E90">
      <w:pPr>
        <w:pStyle w:val="DECHeading4"/>
      </w:pPr>
      <w:bookmarkStart w:id="557" w:name="_Toc174605705"/>
      <w:bookmarkStart w:id="558" w:name="_Toc176424843"/>
      <w:bookmarkStart w:id="559" w:name="_Toc176425002"/>
      <w:bookmarkStart w:id="560" w:name="_Toc172808566"/>
      <w:r w:rsidRPr="005133CA">
        <w:t>Table 1: Staffing numbers – 30 June 202</w:t>
      </w:r>
      <w:r w:rsidR="000C023C">
        <w:t>4</w:t>
      </w:r>
      <w:bookmarkEnd w:id="557"/>
      <w:bookmarkEnd w:id="558"/>
      <w:bookmarkEnd w:id="559"/>
      <w:r w:rsidRPr="005133CA">
        <w:t xml:space="preserve"> </w:t>
      </w:r>
      <w:bookmarkEnd w:id="560"/>
    </w:p>
    <w:tbl>
      <w:tblPr>
        <w:tblW w:w="9514"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4" w:space="0" w:color="969696" w:themeColor="accent3"/>
          <w:insideV w:val="single" w:sz="4" w:space="0" w:color="969696" w:themeColor="accent3"/>
        </w:tblBorders>
        <w:tblLook w:val="04A0" w:firstRow="1" w:lastRow="0" w:firstColumn="1" w:lastColumn="0" w:noHBand="0" w:noVBand="1"/>
      </w:tblPr>
      <w:tblGrid>
        <w:gridCol w:w="5093"/>
        <w:gridCol w:w="2127"/>
        <w:gridCol w:w="2294"/>
      </w:tblGrid>
      <w:tr w:rsidR="007A47FE" w:rsidRPr="005133CA" w14:paraId="4271EB72" w14:textId="77777777" w:rsidTr="00AE3871">
        <w:trPr>
          <w:cantSplit/>
          <w:trHeight w:val="602"/>
          <w:tblHeader/>
        </w:trPr>
        <w:tc>
          <w:tcPr>
            <w:tcW w:w="5093" w:type="dxa"/>
            <w:shd w:val="clear" w:color="auto" w:fill="595959" w:themeFill="text1" w:themeFillTint="A6"/>
          </w:tcPr>
          <w:p w14:paraId="53A71075" w14:textId="4FF41D61" w:rsidR="007A47FE" w:rsidRPr="005133CA" w:rsidRDefault="007A47FE" w:rsidP="00CA24B6">
            <w:pPr>
              <w:pStyle w:val="DECTableheader"/>
            </w:pPr>
          </w:p>
        </w:tc>
        <w:tc>
          <w:tcPr>
            <w:tcW w:w="2127" w:type="dxa"/>
            <w:shd w:val="clear" w:color="auto" w:fill="595959" w:themeFill="text1" w:themeFillTint="A6"/>
          </w:tcPr>
          <w:p w14:paraId="4D0E63AF" w14:textId="4D0FE6B6" w:rsidR="007A47FE" w:rsidRPr="005133CA" w:rsidRDefault="007A47FE" w:rsidP="00CA24B6">
            <w:pPr>
              <w:pStyle w:val="DECTableheader"/>
              <w:rPr>
                <w:b/>
              </w:rPr>
            </w:pPr>
            <w:r w:rsidRPr="005133CA">
              <w:t>Number</w:t>
            </w:r>
            <w:r w:rsidRPr="005133CA">
              <w:br/>
              <w:t>(headcount)</w:t>
            </w:r>
          </w:p>
        </w:tc>
        <w:tc>
          <w:tcPr>
            <w:tcW w:w="2294" w:type="dxa"/>
            <w:shd w:val="clear" w:color="auto" w:fill="595959" w:themeFill="text1" w:themeFillTint="A6"/>
          </w:tcPr>
          <w:p w14:paraId="3C1310A2" w14:textId="77777777" w:rsidR="007A47FE" w:rsidRPr="005133CA" w:rsidRDefault="007A47FE" w:rsidP="00CA24B6">
            <w:pPr>
              <w:pStyle w:val="DECTableheader"/>
              <w:rPr>
                <w:b/>
              </w:rPr>
            </w:pPr>
            <w:r w:rsidRPr="005133CA">
              <w:t>Full-time equivalent</w:t>
            </w:r>
          </w:p>
        </w:tc>
      </w:tr>
      <w:tr w:rsidR="0049641D" w:rsidRPr="005133CA" w14:paraId="6DD6225F" w14:textId="77777777" w:rsidTr="000178E1">
        <w:trPr>
          <w:trHeight w:val="431"/>
        </w:trPr>
        <w:tc>
          <w:tcPr>
            <w:tcW w:w="5093" w:type="dxa"/>
          </w:tcPr>
          <w:p w14:paraId="27625107" w14:textId="384432B7" w:rsidR="0049641D" w:rsidRPr="005133CA" w:rsidRDefault="0049641D">
            <w:pPr>
              <w:pStyle w:val="BodyText"/>
            </w:pPr>
            <w:r w:rsidRPr="005133CA">
              <w:t xml:space="preserve">Total FTE for the Department of Energy and </w:t>
            </w:r>
            <w:r w:rsidR="000C023C">
              <w:t>Climate</w:t>
            </w:r>
          </w:p>
        </w:tc>
        <w:tc>
          <w:tcPr>
            <w:tcW w:w="2127" w:type="dxa"/>
            <w:shd w:val="clear" w:color="auto" w:fill="auto"/>
          </w:tcPr>
          <w:p w14:paraId="01CB4081" w14:textId="57B01EC0" w:rsidR="0049641D" w:rsidRPr="005133CA" w:rsidRDefault="00C3309A">
            <w:pPr>
              <w:pStyle w:val="BodyText"/>
              <w:jc w:val="right"/>
            </w:pPr>
            <w:r>
              <w:t>703</w:t>
            </w:r>
          </w:p>
        </w:tc>
        <w:tc>
          <w:tcPr>
            <w:tcW w:w="2294" w:type="dxa"/>
            <w:shd w:val="clear" w:color="auto" w:fill="auto"/>
          </w:tcPr>
          <w:p w14:paraId="6D7648DC" w14:textId="4AA603BE" w:rsidR="0049641D" w:rsidRPr="005133CA" w:rsidRDefault="00C3309A">
            <w:pPr>
              <w:pStyle w:val="BodyText"/>
              <w:jc w:val="right"/>
            </w:pPr>
            <w:r>
              <w:t>670.2</w:t>
            </w:r>
          </w:p>
        </w:tc>
      </w:tr>
    </w:tbl>
    <w:p w14:paraId="303E4718" w14:textId="6EDD6E5D" w:rsidR="0049641D" w:rsidRPr="005133CA" w:rsidRDefault="0049641D" w:rsidP="00F45E90">
      <w:pPr>
        <w:pStyle w:val="DECHeading4"/>
      </w:pPr>
      <w:bookmarkStart w:id="561" w:name="_Toc172808567"/>
      <w:bookmarkStart w:id="562" w:name="_Toc174605706"/>
      <w:bookmarkStart w:id="563" w:name="_Toc176424844"/>
      <w:bookmarkStart w:id="564" w:name="_Toc176425003"/>
      <w:r w:rsidRPr="005133CA">
        <w:t>Table 2: Strategic workforce profile – 30 June 202</w:t>
      </w:r>
      <w:r w:rsidR="000C023C">
        <w:t>4</w:t>
      </w:r>
      <w:bookmarkEnd w:id="561"/>
      <w:bookmarkEnd w:id="562"/>
      <w:bookmarkEnd w:id="563"/>
      <w:bookmarkEnd w:id="564"/>
      <w:r w:rsidRPr="005133CA">
        <w:t xml:space="preserve"> </w:t>
      </w:r>
    </w:p>
    <w:tbl>
      <w:tblPr>
        <w:tblW w:w="9514"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4" w:space="0" w:color="969696" w:themeColor="accent3"/>
          <w:insideV w:val="single" w:sz="4" w:space="0" w:color="969696" w:themeColor="accent3"/>
        </w:tblBorders>
        <w:tblLook w:val="04A0" w:firstRow="1" w:lastRow="0" w:firstColumn="1" w:lastColumn="0" w:noHBand="0" w:noVBand="1"/>
      </w:tblPr>
      <w:tblGrid>
        <w:gridCol w:w="5093"/>
        <w:gridCol w:w="2127"/>
        <w:gridCol w:w="2294"/>
      </w:tblGrid>
      <w:tr w:rsidR="0049641D" w:rsidRPr="005133CA" w14:paraId="5627C3A6" w14:textId="77777777">
        <w:trPr>
          <w:cantSplit/>
          <w:trHeight w:val="431"/>
          <w:tblHeader/>
        </w:trPr>
        <w:tc>
          <w:tcPr>
            <w:tcW w:w="5093" w:type="dxa"/>
            <w:shd w:val="clear" w:color="auto" w:fill="595959" w:themeFill="text1" w:themeFillTint="A6"/>
          </w:tcPr>
          <w:p w14:paraId="603A1E9C" w14:textId="77777777" w:rsidR="0049641D" w:rsidRPr="005133CA" w:rsidRDefault="0049641D" w:rsidP="00CA24B6">
            <w:pPr>
              <w:pStyle w:val="DECTableheader"/>
              <w:rPr>
                <w:b/>
              </w:rPr>
            </w:pPr>
            <w:r w:rsidRPr="005133CA">
              <w:t>Employment status by headcount</w:t>
            </w:r>
          </w:p>
        </w:tc>
        <w:tc>
          <w:tcPr>
            <w:tcW w:w="2127" w:type="dxa"/>
            <w:shd w:val="clear" w:color="auto" w:fill="595959" w:themeFill="text1" w:themeFillTint="A6"/>
          </w:tcPr>
          <w:p w14:paraId="30B53E09" w14:textId="77777777" w:rsidR="0049641D" w:rsidRPr="005133CA" w:rsidRDefault="0049641D" w:rsidP="00CA24B6">
            <w:pPr>
              <w:pStyle w:val="DECTableheader"/>
              <w:rPr>
                <w:b/>
              </w:rPr>
            </w:pPr>
            <w:r w:rsidRPr="005133CA">
              <w:t>Number</w:t>
            </w:r>
            <w:r w:rsidRPr="005133CA">
              <w:br/>
              <w:t>(headcount)</w:t>
            </w:r>
          </w:p>
        </w:tc>
        <w:tc>
          <w:tcPr>
            <w:tcW w:w="2294" w:type="dxa"/>
            <w:shd w:val="clear" w:color="auto" w:fill="595959" w:themeFill="text1" w:themeFillTint="A6"/>
          </w:tcPr>
          <w:p w14:paraId="3419A04F" w14:textId="77777777" w:rsidR="0049641D" w:rsidRPr="005133CA" w:rsidRDefault="0049641D" w:rsidP="00CA24B6">
            <w:pPr>
              <w:pStyle w:val="DECTableheader"/>
              <w:rPr>
                <w:b/>
              </w:rPr>
            </w:pPr>
            <w:r w:rsidRPr="005133CA">
              <w:t>Percentage of total workforce</w:t>
            </w:r>
            <w:r w:rsidRPr="005133CA">
              <w:br/>
              <w:t>(calculated on headcount)</w:t>
            </w:r>
          </w:p>
        </w:tc>
      </w:tr>
      <w:tr w:rsidR="0049641D" w:rsidRPr="005133CA" w14:paraId="4DEC61E5" w14:textId="77777777" w:rsidTr="000178E1">
        <w:trPr>
          <w:trHeight w:val="431"/>
        </w:trPr>
        <w:tc>
          <w:tcPr>
            <w:tcW w:w="5093" w:type="dxa"/>
          </w:tcPr>
          <w:p w14:paraId="4E89A60C" w14:textId="77777777" w:rsidR="0049641D" w:rsidRPr="005133CA" w:rsidRDefault="0049641D" w:rsidP="0049641D">
            <w:pPr>
              <w:pStyle w:val="BodyText"/>
            </w:pPr>
            <w:r w:rsidRPr="005133CA">
              <w:t>Full-time</w:t>
            </w:r>
          </w:p>
        </w:tc>
        <w:tc>
          <w:tcPr>
            <w:tcW w:w="2127" w:type="dxa"/>
            <w:shd w:val="clear" w:color="auto" w:fill="auto"/>
          </w:tcPr>
          <w:p w14:paraId="11B40609" w14:textId="24A4B5BE" w:rsidR="0049641D" w:rsidRPr="005133CA" w:rsidRDefault="00C3309A" w:rsidP="0049641D">
            <w:pPr>
              <w:pStyle w:val="BodyText"/>
              <w:jc w:val="right"/>
            </w:pPr>
            <w:r>
              <w:t>628.0</w:t>
            </w:r>
          </w:p>
        </w:tc>
        <w:tc>
          <w:tcPr>
            <w:tcW w:w="2294" w:type="dxa"/>
            <w:shd w:val="clear" w:color="auto" w:fill="auto"/>
          </w:tcPr>
          <w:p w14:paraId="42583B6B" w14:textId="1800BEF9" w:rsidR="0049641D" w:rsidRPr="005133CA" w:rsidRDefault="00C3309A" w:rsidP="0049641D">
            <w:pPr>
              <w:pStyle w:val="BodyText"/>
              <w:jc w:val="right"/>
            </w:pPr>
            <w:r>
              <w:t>89.3</w:t>
            </w:r>
          </w:p>
        </w:tc>
      </w:tr>
      <w:tr w:rsidR="0049641D" w:rsidRPr="005133CA" w14:paraId="0C99017E" w14:textId="77777777" w:rsidTr="000178E1">
        <w:trPr>
          <w:trHeight w:val="431"/>
        </w:trPr>
        <w:tc>
          <w:tcPr>
            <w:tcW w:w="5093" w:type="dxa"/>
          </w:tcPr>
          <w:p w14:paraId="007468DC" w14:textId="77777777" w:rsidR="0049641D" w:rsidRPr="005133CA" w:rsidRDefault="0049641D" w:rsidP="0049641D">
            <w:pPr>
              <w:pStyle w:val="BodyText"/>
            </w:pPr>
            <w:r w:rsidRPr="005133CA">
              <w:t>Part-time</w:t>
            </w:r>
          </w:p>
        </w:tc>
        <w:tc>
          <w:tcPr>
            <w:tcW w:w="2127" w:type="dxa"/>
            <w:shd w:val="clear" w:color="auto" w:fill="auto"/>
          </w:tcPr>
          <w:p w14:paraId="0CE76B29" w14:textId="6BD950D3" w:rsidR="0049641D" w:rsidRPr="005133CA" w:rsidRDefault="009F5956" w:rsidP="0049641D">
            <w:pPr>
              <w:pStyle w:val="BodyText"/>
              <w:jc w:val="right"/>
            </w:pPr>
            <w:r>
              <w:t>75.0</w:t>
            </w:r>
          </w:p>
        </w:tc>
        <w:tc>
          <w:tcPr>
            <w:tcW w:w="2294" w:type="dxa"/>
            <w:shd w:val="clear" w:color="auto" w:fill="auto"/>
          </w:tcPr>
          <w:p w14:paraId="2506AFF5" w14:textId="74A598D0" w:rsidR="0049641D" w:rsidRPr="005133CA" w:rsidRDefault="009F5956" w:rsidP="0049641D">
            <w:pPr>
              <w:pStyle w:val="BodyText"/>
              <w:jc w:val="right"/>
            </w:pPr>
            <w:r>
              <w:t>10.7</w:t>
            </w:r>
          </w:p>
        </w:tc>
      </w:tr>
      <w:tr w:rsidR="0049641D" w:rsidRPr="005133CA" w14:paraId="4EB62F4B" w14:textId="77777777" w:rsidTr="000178E1">
        <w:trPr>
          <w:trHeight w:val="431"/>
        </w:trPr>
        <w:tc>
          <w:tcPr>
            <w:tcW w:w="5093" w:type="dxa"/>
          </w:tcPr>
          <w:p w14:paraId="64DAF26F" w14:textId="77777777" w:rsidR="0049641D" w:rsidRPr="005133CA" w:rsidRDefault="0049641D" w:rsidP="0049641D">
            <w:pPr>
              <w:pStyle w:val="BodyText"/>
            </w:pPr>
            <w:r w:rsidRPr="005133CA">
              <w:t>Casual</w:t>
            </w:r>
          </w:p>
        </w:tc>
        <w:tc>
          <w:tcPr>
            <w:tcW w:w="2127" w:type="dxa"/>
            <w:shd w:val="clear" w:color="auto" w:fill="auto"/>
          </w:tcPr>
          <w:p w14:paraId="3E938299" w14:textId="01B6B829" w:rsidR="0049641D" w:rsidRPr="005133CA" w:rsidRDefault="00424602" w:rsidP="0049641D">
            <w:pPr>
              <w:pStyle w:val="BodyText"/>
              <w:jc w:val="right"/>
            </w:pPr>
            <w:r>
              <w:t>0</w:t>
            </w:r>
          </w:p>
        </w:tc>
        <w:tc>
          <w:tcPr>
            <w:tcW w:w="2294" w:type="dxa"/>
            <w:shd w:val="clear" w:color="auto" w:fill="auto"/>
          </w:tcPr>
          <w:p w14:paraId="3C0609E3" w14:textId="10DA9E2E" w:rsidR="0049641D" w:rsidRPr="005133CA" w:rsidRDefault="00424602" w:rsidP="0049641D">
            <w:pPr>
              <w:pStyle w:val="BodyText"/>
              <w:jc w:val="right"/>
            </w:pPr>
            <w:r>
              <w:t>0</w:t>
            </w:r>
          </w:p>
        </w:tc>
      </w:tr>
    </w:tbl>
    <w:p w14:paraId="3E412451" w14:textId="77777777" w:rsidR="0049641D" w:rsidRPr="005133CA" w:rsidRDefault="0049641D" w:rsidP="0049641D">
      <w:pPr>
        <w:rPr>
          <w:sz w:val="12"/>
          <w:szCs w:val="12"/>
        </w:rPr>
      </w:pPr>
    </w:p>
    <w:tbl>
      <w:tblPr>
        <w:tblW w:w="9514"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4" w:space="0" w:color="969696" w:themeColor="accent3"/>
          <w:insideV w:val="single" w:sz="4" w:space="0" w:color="969696" w:themeColor="accent3"/>
        </w:tblBorders>
        <w:tblLook w:val="04A0" w:firstRow="1" w:lastRow="0" w:firstColumn="1" w:lastColumn="0" w:noHBand="0" w:noVBand="1"/>
      </w:tblPr>
      <w:tblGrid>
        <w:gridCol w:w="5093"/>
        <w:gridCol w:w="2127"/>
        <w:gridCol w:w="2294"/>
      </w:tblGrid>
      <w:tr w:rsidR="0049641D" w:rsidRPr="005133CA" w14:paraId="44CCD372" w14:textId="77777777">
        <w:trPr>
          <w:cantSplit/>
          <w:trHeight w:val="431"/>
          <w:tblHeader/>
        </w:trPr>
        <w:tc>
          <w:tcPr>
            <w:tcW w:w="5093" w:type="dxa"/>
            <w:shd w:val="clear" w:color="auto" w:fill="595959" w:themeFill="text1" w:themeFillTint="A6"/>
          </w:tcPr>
          <w:p w14:paraId="641B099F" w14:textId="77777777" w:rsidR="0049641D" w:rsidRPr="005133CA" w:rsidRDefault="0049641D" w:rsidP="00CA24B6">
            <w:pPr>
              <w:pStyle w:val="DECTableheader"/>
              <w:rPr>
                <w:b/>
                <w:bCs/>
              </w:rPr>
            </w:pPr>
            <w:r w:rsidRPr="005133CA">
              <w:t>Occupation types by FTE</w:t>
            </w:r>
          </w:p>
          <w:p w14:paraId="7C4CFC90" w14:textId="77777777" w:rsidR="0049641D" w:rsidRPr="005133CA" w:rsidRDefault="0049641D" w:rsidP="00CA24B6">
            <w:pPr>
              <w:pStyle w:val="DECTableheader"/>
              <w:rPr>
                <w:b/>
              </w:rPr>
            </w:pPr>
          </w:p>
        </w:tc>
        <w:tc>
          <w:tcPr>
            <w:tcW w:w="2127" w:type="dxa"/>
            <w:shd w:val="clear" w:color="auto" w:fill="595959" w:themeFill="text1" w:themeFillTint="A6"/>
          </w:tcPr>
          <w:p w14:paraId="30821E6B" w14:textId="77777777" w:rsidR="0049641D" w:rsidRPr="005133CA" w:rsidRDefault="0049641D" w:rsidP="00CA24B6">
            <w:pPr>
              <w:pStyle w:val="DECTableheader"/>
              <w:rPr>
                <w:b/>
              </w:rPr>
            </w:pPr>
            <w:r w:rsidRPr="005133CA">
              <w:t>Full-time equivalent</w:t>
            </w:r>
          </w:p>
        </w:tc>
        <w:tc>
          <w:tcPr>
            <w:tcW w:w="2294" w:type="dxa"/>
            <w:shd w:val="clear" w:color="auto" w:fill="595959" w:themeFill="text1" w:themeFillTint="A6"/>
          </w:tcPr>
          <w:p w14:paraId="0AD5BD53" w14:textId="77777777" w:rsidR="0049641D" w:rsidRPr="005133CA" w:rsidRDefault="0049641D" w:rsidP="00CA24B6">
            <w:pPr>
              <w:pStyle w:val="DECTableheader"/>
              <w:rPr>
                <w:b/>
              </w:rPr>
            </w:pPr>
            <w:r w:rsidRPr="005133CA">
              <w:t>Percentage of total workforce</w:t>
            </w:r>
            <w:r w:rsidRPr="005133CA">
              <w:br/>
              <w:t>(calculated on FTE)</w:t>
            </w:r>
          </w:p>
        </w:tc>
      </w:tr>
      <w:tr w:rsidR="0049641D" w:rsidRPr="005133CA" w14:paraId="09A8BF39" w14:textId="77777777" w:rsidTr="000178E1">
        <w:trPr>
          <w:trHeight w:val="431"/>
        </w:trPr>
        <w:tc>
          <w:tcPr>
            <w:tcW w:w="5093" w:type="dxa"/>
          </w:tcPr>
          <w:p w14:paraId="00D8A265" w14:textId="77777777" w:rsidR="0049641D" w:rsidRPr="005133CA" w:rsidRDefault="0049641D" w:rsidP="0049641D">
            <w:pPr>
              <w:pStyle w:val="BodyText"/>
            </w:pPr>
            <w:r w:rsidRPr="005133CA">
              <w:t>Frontline</w:t>
            </w:r>
          </w:p>
        </w:tc>
        <w:tc>
          <w:tcPr>
            <w:tcW w:w="2127" w:type="dxa"/>
            <w:shd w:val="clear" w:color="auto" w:fill="auto"/>
          </w:tcPr>
          <w:p w14:paraId="11DAB856" w14:textId="6A62CD03" w:rsidR="0049641D" w:rsidRPr="005133CA" w:rsidRDefault="007207C7" w:rsidP="0049641D">
            <w:pPr>
              <w:pStyle w:val="BodyText"/>
              <w:jc w:val="right"/>
            </w:pPr>
            <w:r w:rsidRPr="000178E1">
              <w:t>197</w:t>
            </w:r>
            <w:r>
              <w:t>.1</w:t>
            </w:r>
          </w:p>
        </w:tc>
        <w:tc>
          <w:tcPr>
            <w:tcW w:w="2294" w:type="dxa"/>
            <w:shd w:val="clear" w:color="auto" w:fill="auto"/>
          </w:tcPr>
          <w:p w14:paraId="0EDE8533" w14:textId="6D9F1846" w:rsidR="0049641D" w:rsidRPr="005133CA" w:rsidRDefault="007207C7" w:rsidP="0049641D">
            <w:pPr>
              <w:pStyle w:val="BodyText"/>
              <w:jc w:val="right"/>
            </w:pPr>
            <w:r w:rsidRPr="000178E1">
              <w:t>29</w:t>
            </w:r>
            <w:r>
              <w:t>.6</w:t>
            </w:r>
          </w:p>
        </w:tc>
      </w:tr>
      <w:tr w:rsidR="0049641D" w:rsidRPr="005133CA" w14:paraId="44EF2075" w14:textId="77777777" w:rsidTr="000178E1">
        <w:trPr>
          <w:trHeight w:val="431"/>
        </w:trPr>
        <w:tc>
          <w:tcPr>
            <w:tcW w:w="5093" w:type="dxa"/>
          </w:tcPr>
          <w:p w14:paraId="29BCA6B1" w14:textId="77777777" w:rsidR="0049641D" w:rsidRPr="005133CA" w:rsidDel="00914007" w:rsidRDefault="0049641D" w:rsidP="0049641D">
            <w:pPr>
              <w:pStyle w:val="BodyText"/>
            </w:pPr>
            <w:r w:rsidRPr="005133CA">
              <w:t>Corporate</w:t>
            </w:r>
          </w:p>
        </w:tc>
        <w:tc>
          <w:tcPr>
            <w:tcW w:w="2127" w:type="dxa"/>
            <w:shd w:val="clear" w:color="auto" w:fill="auto"/>
          </w:tcPr>
          <w:p w14:paraId="4553A03E" w14:textId="29BA2334" w:rsidR="0049641D" w:rsidRPr="005133CA" w:rsidRDefault="00BA2C57" w:rsidP="0049641D">
            <w:pPr>
              <w:pStyle w:val="BodyText"/>
              <w:jc w:val="right"/>
            </w:pPr>
            <w:r w:rsidRPr="000178E1">
              <w:t>473</w:t>
            </w:r>
            <w:r>
              <w:t>.0</w:t>
            </w:r>
          </w:p>
        </w:tc>
        <w:tc>
          <w:tcPr>
            <w:tcW w:w="2294" w:type="dxa"/>
            <w:shd w:val="clear" w:color="auto" w:fill="auto"/>
          </w:tcPr>
          <w:p w14:paraId="343734BE" w14:textId="201AB407" w:rsidR="0049641D" w:rsidRPr="005133CA" w:rsidRDefault="00BA2C57" w:rsidP="0049641D">
            <w:pPr>
              <w:pStyle w:val="BodyText"/>
              <w:jc w:val="right"/>
            </w:pPr>
            <w:r w:rsidRPr="000178E1">
              <w:t>70</w:t>
            </w:r>
            <w:r>
              <w:t>.4</w:t>
            </w:r>
          </w:p>
        </w:tc>
      </w:tr>
    </w:tbl>
    <w:p w14:paraId="24BD14A1" w14:textId="77777777" w:rsidR="0049641D" w:rsidRPr="005133CA" w:rsidRDefault="0049641D" w:rsidP="0049641D">
      <w:pPr>
        <w:spacing w:before="0" w:after="160" w:line="259" w:lineRule="auto"/>
        <w:rPr>
          <w:sz w:val="12"/>
          <w:szCs w:val="12"/>
        </w:rPr>
      </w:pPr>
    </w:p>
    <w:tbl>
      <w:tblPr>
        <w:tblW w:w="9514"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4" w:space="0" w:color="969696" w:themeColor="accent3"/>
          <w:insideV w:val="single" w:sz="4" w:space="0" w:color="969696" w:themeColor="accent3"/>
        </w:tblBorders>
        <w:tblLook w:val="04A0" w:firstRow="1" w:lastRow="0" w:firstColumn="1" w:lastColumn="0" w:noHBand="0" w:noVBand="1"/>
      </w:tblPr>
      <w:tblGrid>
        <w:gridCol w:w="5093"/>
        <w:gridCol w:w="2127"/>
        <w:gridCol w:w="2294"/>
      </w:tblGrid>
      <w:tr w:rsidR="0049641D" w:rsidRPr="005133CA" w14:paraId="32E1E694" w14:textId="77777777">
        <w:trPr>
          <w:cantSplit/>
          <w:trHeight w:val="431"/>
          <w:tblHeader/>
        </w:trPr>
        <w:tc>
          <w:tcPr>
            <w:tcW w:w="5093" w:type="dxa"/>
            <w:shd w:val="clear" w:color="auto" w:fill="595959" w:themeFill="text1" w:themeFillTint="A6"/>
          </w:tcPr>
          <w:p w14:paraId="04CD1C17" w14:textId="77777777" w:rsidR="0049641D" w:rsidRPr="005133CA" w:rsidRDefault="0049641D" w:rsidP="00CA24B6">
            <w:pPr>
              <w:pStyle w:val="DECTableheader"/>
              <w:rPr>
                <w:b/>
              </w:rPr>
            </w:pPr>
            <w:r w:rsidRPr="005133CA">
              <w:t>Appointment type by FTE</w:t>
            </w:r>
          </w:p>
        </w:tc>
        <w:tc>
          <w:tcPr>
            <w:tcW w:w="2127" w:type="dxa"/>
            <w:shd w:val="clear" w:color="auto" w:fill="595959" w:themeFill="text1" w:themeFillTint="A6"/>
          </w:tcPr>
          <w:p w14:paraId="4BBB494A" w14:textId="77777777" w:rsidR="0049641D" w:rsidRPr="005133CA" w:rsidRDefault="0049641D" w:rsidP="00CA24B6">
            <w:pPr>
              <w:pStyle w:val="DECTableheader"/>
              <w:rPr>
                <w:b/>
              </w:rPr>
            </w:pPr>
            <w:r w:rsidRPr="005133CA">
              <w:t>Full-time equivalent</w:t>
            </w:r>
          </w:p>
        </w:tc>
        <w:tc>
          <w:tcPr>
            <w:tcW w:w="2294" w:type="dxa"/>
            <w:shd w:val="clear" w:color="auto" w:fill="595959" w:themeFill="text1" w:themeFillTint="A6"/>
          </w:tcPr>
          <w:p w14:paraId="6AF778CB" w14:textId="77777777" w:rsidR="0049641D" w:rsidRPr="005133CA" w:rsidRDefault="0049641D" w:rsidP="00CA24B6">
            <w:pPr>
              <w:pStyle w:val="DECTableheader"/>
              <w:rPr>
                <w:b/>
              </w:rPr>
            </w:pPr>
            <w:r w:rsidRPr="005133CA">
              <w:t>Percentage of total workforce</w:t>
            </w:r>
            <w:r w:rsidRPr="005133CA">
              <w:br/>
              <w:t>(calculated on FTE)</w:t>
            </w:r>
          </w:p>
        </w:tc>
      </w:tr>
      <w:tr w:rsidR="0049641D" w:rsidRPr="005133CA" w14:paraId="3752D4B7" w14:textId="77777777" w:rsidTr="000178E1">
        <w:trPr>
          <w:trHeight w:val="431"/>
        </w:trPr>
        <w:tc>
          <w:tcPr>
            <w:tcW w:w="5093" w:type="dxa"/>
          </w:tcPr>
          <w:p w14:paraId="1F5785B9" w14:textId="77777777" w:rsidR="0049641D" w:rsidRPr="005133CA" w:rsidRDefault="0049641D" w:rsidP="0049641D">
            <w:pPr>
              <w:pStyle w:val="BodyText"/>
            </w:pPr>
            <w:r w:rsidRPr="005133CA">
              <w:t>Permanent</w:t>
            </w:r>
          </w:p>
        </w:tc>
        <w:tc>
          <w:tcPr>
            <w:tcW w:w="2127" w:type="dxa"/>
            <w:shd w:val="clear" w:color="auto" w:fill="auto"/>
          </w:tcPr>
          <w:p w14:paraId="7BB1C865" w14:textId="69968041" w:rsidR="0049641D" w:rsidRPr="005133CA" w:rsidRDefault="000B759B" w:rsidP="0049641D">
            <w:pPr>
              <w:pStyle w:val="BodyText"/>
              <w:jc w:val="right"/>
            </w:pPr>
            <w:r>
              <w:t>586.</w:t>
            </w:r>
            <w:r w:rsidRPr="000178E1">
              <w:t>4</w:t>
            </w:r>
          </w:p>
        </w:tc>
        <w:tc>
          <w:tcPr>
            <w:tcW w:w="2294" w:type="dxa"/>
            <w:shd w:val="clear" w:color="auto" w:fill="auto"/>
          </w:tcPr>
          <w:p w14:paraId="6E61C1C0" w14:textId="3A11C532" w:rsidR="0049641D" w:rsidRPr="005133CA" w:rsidRDefault="000B759B" w:rsidP="0049641D">
            <w:pPr>
              <w:pStyle w:val="BodyText"/>
              <w:jc w:val="right"/>
            </w:pPr>
            <w:r w:rsidRPr="000178E1">
              <w:t>87</w:t>
            </w:r>
            <w:r>
              <w:t>.5</w:t>
            </w:r>
          </w:p>
        </w:tc>
      </w:tr>
      <w:tr w:rsidR="0049641D" w:rsidRPr="005133CA" w14:paraId="74BC3BFE" w14:textId="77777777" w:rsidTr="000178E1">
        <w:trPr>
          <w:trHeight w:val="431"/>
        </w:trPr>
        <w:tc>
          <w:tcPr>
            <w:tcW w:w="5093" w:type="dxa"/>
          </w:tcPr>
          <w:p w14:paraId="7FB754F5" w14:textId="77777777" w:rsidR="0049641D" w:rsidRPr="005133CA" w:rsidRDefault="0049641D" w:rsidP="0049641D">
            <w:pPr>
              <w:pStyle w:val="BodyText"/>
            </w:pPr>
            <w:r w:rsidRPr="005133CA">
              <w:t>Temporary</w:t>
            </w:r>
          </w:p>
        </w:tc>
        <w:tc>
          <w:tcPr>
            <w:tcW w:w="2127" w:type="dxa"/>
            <w:shd w:val="clear" w:color="auto" w:fill="auto"/>
          </w:tcPr>
          <w:p w14:paraId="37432B19" w14:textId="1AE94C08" w:rsidR="0049641D" w:rsidRPr="005133CA" w:rsidRDefault="000B759B" w:rsidP="0049641D">
            <w:pPr>
              <w:pStyle w:val="BodyText"/>
              <w:jc w:val="right"/>
            </w:pPr>
            <w:r w:rsidRPr="000178E1">
              <w:t>62</w:t>
            </w:r>
            <w:r>
              <w:t>.3</w:t>
            </w:r>
          </w:p>
        </w:tc>
        <w:tc>
          <w:tcPr>
            <w:tcW w:w="2294" w:type="dxa"/>
            <w:shd w:val="clear" w:color="auto" w:fill="auto"/>
          </w:tcPr>
          <w:p w14:paraId="26D92DBC" w14:textId="3AD778B0" w:rsidR="0049641D" w:rsidRPr="005133CA" w:rsidRDefault="000B759B" w:rsidP="0049641D">
            <w:pPr>
              <w:pStyle w:val="BodyText"/>
              <w:jc w:val="right"/>
            </w:pPr>
            <w:r w:rsidRPr="000178E1">
              <w:t>9</w:t>
            </w:r>
            <w:r>
              <w:t>.4</w:t>
            </w:r>
          </w:p>
        </w:tc>
      </w:tr>
      <w:tr w:rsidR="0049641D" w:rsidRPr="005133CA" w14:paraId="3FE3C8FA" w14:textId="77777777" w:rsidTr="000178E1">
        <w:trPr>
          <w:trHeight w:val="431"/>
        </w:trPr>
        <w:tc>
          <w:tcPr>
            <w:tcW w:w="5093" w:type="dxa"/>
          </w:tcPr>
          <w:p w14:paraId="7456700A" w14:textId="77777777" w:rsidR="0049641D" w:rsidRPr="005133CA" w:rsidRDefault="0049641D" w:rsidP="0049641D">
            <w:pPr>
              <w:pStyle w:val="BodyText"/>
            </w:pPr>
            <w:r w:rsidRPr="005133CA">
              <w:t>Casual</w:t>
            </w:r>
          </w:p>
        </w:tc>
        <w:tc>
          <w:tcPr>
            <w:tcW w:w="2127" w:type="dxa"/>
            <w:shd w:val="clear" w:color="auto" w:fill="auto"/>
          </w:tcPr>
          <w:p w14:paraId="331517B6" w14:textId="169CE886" w:rsidR="0049641D" w:rsidRPr="005133CA" w:rsidRDefault="00424602" w:rsidP="0049641D">
            <w:pPr>
              <w:pStyle w:val="BodyText"/>
              <w:jc w:val="right"/>
            </w:pPr>
            <w:r w:rsidRPr="000178E1">
              <w:t>0</w:t>
            </w:r>
          </w:p>
        </w:tc>
        <w:tc>
          <w:tcPr>
            <w:tcW w:w="2294" w:type="dxa"/>
            <w:shd w:val="clear" w:color="auto" w:fill="auto"/>
          </w:tcPr>
          <w:p w14:paraId="4B3B6022" w14:textId="26E7A420" w:rsidR="0049641D" w:rsidRPr="005133CA" w:rsidRDefault="00424602" w:rsidP="0049641D">
            <w:pPr>
              <w:pStyle w:val="BodyText"/>
              <w:jc w:val="right"/>
            </w:pPr>
            <w:r w:rsidRPr="000178E1">
              <w:t>0</w:t>
            </w:r>
          </w:p>
        </w:tc>
      </w:tr>
      <w:tr w:rsidR="0049641D" w:rsidRPr="005133CA" w14:paraId="3A3D2564" w14:textId="77777777" w:rsidTr="000178E1">
        <w:trPr>
          <w:trHeight w:val="431"/>
        </w:trPr>
        <w:tc>
          <w:tcPr>
            <w:tcW w:w="5093" w:type="dxa"/>
          </w:tcPr>
          <w:p w14:paraId="20A1E362" w14:textId="77777777" w:rsidR="0049641D" w:rsidRPr="005133CA" w:rsidRDefault="0049641D" w:rsidP="0049641D">
            <w:pPr>
              <w:pStyle w:val="BodyText"/>
            </w:pPr>
            <w:r w:rsidRPr="005133CA">
              <w:t>Contract</w:t>
            </w:r>
          </w:p>
        </w:tc>
        <w:tc>
          <w:tcPr>
            <w:tcW w:w="2127" w:type="dxa"/>
            <w:shd w:val="clear" w:color="auto" w:fill="auto"/>
          </w:tcPr>
          <w:p w14:paraId="7D9CE1CB" w14:textId="688C536D" w:rsidR="0049641D" w:rsidRPr="005133CA" w:rsidRDefault="000B759B" w:rsidP="0049641D">
            <w:pPr>
              <w:pStyle w:val="BodyText"/>
              <w:jc w:val="right"/>
            </w:pPr>
            <w:r w:rsidRPr="000178E1">
              <w:t>21</w:t>
            </w:r>
            <w:r>
              <w:t>.5</w:t>
            </w:r>
          </w:p>
        </w:tc>
        <w:tc>
          <w:tcPr>
            <w:tcW w:w="2294" w:type="dxa"/>
            <w:shd w:val="clear" w:color="auto" w:fill="auto"/>
          </w:tcPr>
          <w:p w14:paraId="068F159F" w14:textId="1B1EDD34" w:rsidR="0049641D" w:rsidRPr="005133CA" w:rsidRDefault="000B759B" w:rsidP="0049641D">
            <w:pPr>
              <w:pStyle w:val="BodyText"/>
              <w:jc w:val="right"/>
            </w:pPr>
            <w:r w:rsidRPr="000178E1">
              <w:t>3</w:t>
            </w:r>
            <w:r>
              <w:t>.1</w:t>
            </w:r>
          </w:p>
        </w:tc>
      </w:tr>
    </w:tbl>
    <w:p w14:paraId="56D042BF" w14:textId="77777777" w:rsidR="0049641D" w:rsidRPr="005133CA" w:rsidRDefault="0049641D" w:rsidP="00F45E90">
      <w:pPr>
        <w:pStyle w:val="DECHeading4"/>
      </w:pPr>
      <w:bookmarkStart w:id="565" w:name="_Toc172808568"/>
      <w:bookmarkStart w:id="566" w:name="_Toc174605707"/>
      <w:bookmarkStart w:id="567" w:name="_Toc176424845"/>
      <w:bookmarkStart w:id="568" w:name="_Toc176425004"/>
      <w:r w:rsidRPr="005133CA">
        <w:lastRenderedPageBreak/>
        <w:t>Table 3: Gender</w:t>
      </w:r>
      <w:bookmarkEnd w:id="565"/>
      <w:bookmarkEnd w:id="566"/>
      <w:bookmarkEnd w:id="567"/>
      <w:bookmarkEnd w:id="568"/>
    </w:p>
    <w:tbl>
      <w:tblPr>
        <w:tblW w:w="9515"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4" w:space="0" w:color="969696" w:themeColor="accent3"/>
          <w:insideV w:val="single" w:sz="4" w:space="0" w:color="969696" w:themeColor="accent3"/>
        </w:tblBorders>
        <w:tblLayout w:type="fixed"/>
        <w:tblLook w:val="04A0" w:firstRow="1" w:lastRow="0" w:firstColumn="1" w:lastColumn="0" w:noHBand="0" w:noVBand="1"/>
      </w:tblPr>
      <w:tblGrid>
        <w:gridCol w:w="5098"/>
        <w:gridCol w:w="2127"/>
        <w:gridCol w:w="2290"/>
      </w:tblGrid>
      <w:tr w:rsidR="00F55F91" w:rsidRPr="005133CA" w14:paraId="48CF1308" w14:textId="15A679B9" w:rsidTr="000E2CC2">
        <w:trPr>
          <w:cantSplit/>
          <w:trHeight w:val="454"/>
          <w:tblHeader/>
        </w:trPr>
        <w:tc>
          <w:tcPr>
            <w:tcW w:w="5098" w:type="dxa"/>
            <w:shd w:val="clear" w:color="auto" w:fill="595959" w:themeFill="accent2" w:themeFillShade="80"/>
          </w:tcPr>
          <w:p w14:paraId="0E9D75ED" w14:textId="77777777" w:rsidR="00F55F91" w:rsidRPr="005133CA" w:rsidRDefault="00F55F91" w:rsidP="00CA24B6">
            <w:pPr>
              <w:pStyle w:val="DECTableheader"/>
              <w:rPr>
                <w:b/>
              </w:rPr>
            </w:pPr>
            <w:r w:rsidRPr="005133CA">
              <w:t>Gender</w:t>
            </w:r>
          </w:p>
        </w:tc>
        <w:tc>
          <w:tcPr>
            <w:tcW w:w="2127" w:type="dxa"/>
            <w:shd w:val="clear" w:color="auto" w:fill="595959" w:themeFill="accent2" w:themeFillShade="80"/>
          </w:tcPr>
          <w:p w14:paraId="49C1C516" w14:textId="77777777" w:rsidR="00F55F91" w:rsidRPr="005133CA" w:rsidRDefault="00F55F91" w:rsidP="00CA24B6">
            <w:pPr>
              <w:pStyle w:val="DECTableheader"/>
              <w:rPr>
                <w:b/>
              </w:rPr>
            </w:pPr>
            <w:r w:rsidRPr="005133CA">
              <w:t>Number (headcount)</w:t>
            </w:r>
          </w:p>
        </w:tc>
        <w:tc>
          <w:tcPr>
            <w:tcW w:w="2290" w:type="dxa"/>
            <w:shd w:val="clear" w:color="auto" w:fill="595959" w:themeFill="accent2" w:themeFillShade="80"/>
          </w:tcPr>
          <w:p w14:paraId="29B2BB7A" w14:textId="117E6A51" w:rsidR="00F55F91" w:rsidRPr="005133CA" w:rsidRDefault="00F55F91" w:rsidP="00CA24B6">
            <w:pPr>
              <w:pStyle w:val="DECTableheader"/>
              <w:rPr>
                <w:b/>
              </w:rPr>
            </w:pPr>
            <w:r w:rsidRPr="005133CA">
              <w:t>Percentage of total workforce (calculated on headcount)</w:t>
            </w:r>
          </w:p>
        </w:tc>
      </w:tr>
      <w:tr w:rsidR="00F55F91" w:rsidRPr="005133CA" w14:paraId="189DD866" w14:textId="2F4A5DB7" w:rsidTr="000E2CC2">
        <w:trPr>
          <w:trHeight w:val="454"/>
        </w:trPr>
        <w:tc>
          <w:tcPr>
            <w:tcW w:w="5098" w:type="dxa"/>
          </w:tcPr>
          <w:p w14:paraId="4B1A0055" w14:textId="77777777" w:rsidR="00F55F91" w:rsidRPr="005133CA" w:rsidRDefault="00F55F91" w:rsidP="0049641D">
            <w:pPr>
              <w:pStyle w:val="BodyText"/>
            </w:pPr>
            <w:r w:rsidRPr="005133CA">
              <w:t>Man</w:t>
            </w:r>
          </w:p>
        </w:tc>
        <w:tc>
          <w:tcPr>
            <w:tcW w:w="2127" w:type="dxa"/>
            <w:shd w:val="clear" w:color="auto" w:fill="auto"/>
          </w:tcPr>
          <w:p w14:paraId="3F8BA255" w14:textId="30EF6A02" w:rsidR="00F55F91" w:rsidRPr="000178E1" w:rsidRDefault="00F55F91" w:rsidP="0049641D">
            <w:pPr>
              <w:pStyle w:val="BodyText"/>
              <w:jc w:val="right"/>
            </w:pPr>
            <w:r w:rsidRPr="000178E1">
              <w:t>320</w:t>
            </w:r>
          </w:p>
        </w:tc>
        <w:tc>
          <w:tcPr>
            <w:tcW w:w="2290" w:type="dxa"/>
            <w:shd w:val="clear" w:color="auto" w:fill="auto"/>
          </w:tcPr>
          <w:p w14:paraId="6ADF6E78" w14:textId="6BC28DE4" w:rsidR="00F55F91" w:rsidRPr="000178E1" w:rsidRDefault="00F55F91" w:rsidP="0049641D">
            <w:pPr>
              <w:pStyle w:val="BodyText"/>
              <w:jc w:val="right"/>
            </w:pPr>
            <w:r w:rsidRPr="000178E1">
              <w:t>45.5</w:t>
            </w:r>
          </w:p>
        </w:tc>
      </w:tr>
      <w:tr w:rsidR="00F55F91" w:rsidRPr="005133CA" w14:paraId="3E1857E6" w14:textId="10EC0CDA" w:rsidTr="000E2CC2">
        <w:trPr>
          <w:trHeight w:val="454"/>
        </w:trPr>
        <w:tc>
          <w:tcPr>
            <w:tcW w:w="5098" w:type="dxa"/>
          </w:tcPr>
          <w:p w14:paraId="7A837C9F" w14:textId="77777777" w:rsidR="00F55F91" w:rsidRPr="005133CA" w:rsidRDefault="00F55F91" w:rsidP="0049641D">
            <w:pPr>
              <w:pStyle w:val="BodyText"/>
            </w:pPr>
            <w:r w:rsidRPr="005133CA">
              <w:t>Woman</w:t>
            </w:r>
          </w:p>
        </w:tc>
        <w:tc>
          <w:tcPr>
            <w:tcW w:w="2127" w:type="dxa"/>
            <w:shd w:val="clear" w:color="auto" w:fill="auto"/>
          </w:tcPr>
          <w:p w14:paraId="2150C91D" w14:textId="21CA4264" w:rsidR="00F55F91" w:rsidRPr="000178E1" w:rsidRDefault="00F55F91" w:rsidP="0049641D">
            <w:pPr>
              <w:pStyle w:val="BodyText"/>
              <w:jc w:val="right"/>
            </w:pPr>
            <w:r w:rsidRPr="000178E1">
              <w:t>381</w:t>
            </w:r>
          </w:p>
        </w:tc>
        <w:tc>
          <w:tcPr>
            <w:tcW w:w="2290" w:type="dxa"/>
            <w:shd w:val="clear" w:color="auto" w:fill="auto"/>
          </w:tcPr>
          <w:p w14:paraId="33401FFF" w14:textId="6761B2CB" w:rsidR="00F55F91" w:rsidRPr="000178E1" w:rsidRDefault="00F55F91" w:rsidP="0049641D">
            <w:pPr>
              <w:pStyle w:val="BodyText"/>
              <w:jc w:val="right"/>
            </w:pPr>
            <w:r w:rsidRPr="000178E1">
              <w:t>54.2</w:t>
            </w:r>
          </w:p>
        </w:tc>
      </w:tr>
      <w:tr w:rsidR="00F55F91" w:rsidRPr="005133CA" w14:paraId="3F182E12" w14:textId="7130E5DF" w:rsidTr="000E2CC2">
        <w:trPr>
          <w:trHeight w:val="454"/>
        </w:trPr>
        <w:tc>
          <w:tcPr>
            <w:tcW w:w="5098" w:type="dxa"/>
          </w:tcPr>
          <w:p w14:paraId="46F0D95D" w14:textId="77777777" w:rsidR="00F55F91" w:rsidRPr="005133CA" w:rsidRDefault="00F55F91" w:rsidP="0049641D">
            <w:pPr>
              <w:pStyle w:val="BodyText"/>
            </w:pPr>
            <w:r w:rsidRPr="005133CA">
              <w:t>Non-binary</w:t>
            </w:r>
          </w:p>
        </w:tc>
        <w:tc>
          <w:tcPr>
            <w:tcW w:w="2127" w:type="dxa"/>
            <w:shd w:val="clear" w:color="auto" w:fill="auto"/>
          </w:tcPr>
          <w:p w14:paraId="20CF9137" w14:textId="2A1505FE" w:rsidR="00F55F91" w:rsidRPr="000178E1" w:rsidRDefault="00F55F91" w:rsidP="0049641D">
            <w:pPr>
              <w:pStyle w:val="BodyText"/>
              <w:jc w:val="right"/>
            </w:pPr>
            <w:r w:rsidRPr="000178E1">
              <w:t>2</w:t>
            </w:r>
          </w:p>
        </w:tc>
        <w:tc>
          <w:tcPr>
            <w:tcW w:w="2290" w:type="dxa"/>
            <w:shd w:val="clear" w:color="auto" w:fill="auto"/>
          </w:tcPr>
          <w:p w14:paraId="5602A8F2" w14:textId="4FBC3D23" w:rsidR="00F55F91" w:rsidRPr="000178E1" w:rsidRDefault="00F55F91" w:rsidP="0049641D">
            <w:pPr>
              <w:pStyle w:val="BodyText"/>
              <w:jc w:val="right"/>
            </w:pPr>
            <w:r w:rsidRPr="000178E1">
              <w:t>0.3</w:t>
            </w:r>
          </w:p>
        </w:tc>
      </w:tr>
    </w:tbl>
    <w:p w14:paraId="74309845" w14:textId="77777777" w:rsidR="0049641D" w:rsidRPr="005133CA" w:rsidRDefault="0049641D" w:rsidP="00F45E90">
      <w:pPr>
        <w:pStyle w:val="DECHeading4"/>
      </w:pPr>
      <w:bookmarkStart w:id="569" w:name="_Toc172808569"/>
      <w:bookmarkStart w:id="570" w:name="_Toc174605708"/>
      <w:bookmarkStart w:id="571" w:name="_Toc176424846"/>
      <w:bookmarkStart w:id="572" w:name="_Toc176425005"/>
      <w:r w:rsidRPr="005133CA">
        <w:t>Table 4: Diversity target group data</w:t>
      </w:r>
      <w:bookmarkEnd w:id="569"/>
      <w:bookmarkEnd w:id="570"/>
      <w:bookmarkEnd w:id="571"/>
      <w:bookmarkEnd w:id="572"/>
    </w:p>
    <w:tbl>
      <w:tblPr>
        <w:tblW w:w="9514"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4" w:space="0" w:color="969696" w:themeColor="accent3"/>
          <w:insideV w:val="single" w:sz="4" w:space="0" w:color="969696" w:themeColor="accent3"/>
        </w:tblBorders>
        <w:tblLook w:val="04A0" w:firstRow="1" w:lastRow="0" w:firstColumn="1" w:lastColumn="0" w:noHBand="0" w:noVBand="1"/>
      </w:tblPr>
      <w:tblGrid>
        <w:gridCol w:w="5098"/>
        <w:gridCol w:w="2127"/>
        <w:gridCol w:w="2289"/>
      </w:tblGrid>
      <w:tr w:rsidR="0049641D" w:rsidRPr="005133CA" w14:paraId="29664321" w14:textId="77777777">
        <w:trPr>
          <w:cantSplit/>
          <w:trHeight w:val="454"/>
          <w:tblHeader/>
        </w:trPr>
        <w:tc>
          <w:tcPr>
            <w:tcW w:w="5098" w:type="dxa"/>
            <w:shd w:val="clear" w:color="auto" w:fill="595959" w:themeFill="text1" w:themeFillTint="A6"/>
          </w:tcPr>
          <w:p w14:paraId="074E86E1" w14:textId="77777777" w:rsidR="0049641D" w:rsidRPr="005133CA" w:rsidRDefault="0049641D" w:rsidP="00CA24B6">
            <w:pPr>
              <w:pStyle w:val="DECTableheader"/>
              <w:rPr>
                <w:b/>
              </w:rPr>
            </w:pPr>
            <w:r w:rsidRPr="005133CA">
              <w:t xml:space="preserve">Diversity group </w:t>
            </w:r>
          </w:p>
        </w:tc>
        <w:tc>
          <w:tcPr>
            <w:tcW w:w="2127" w:type="dxa"/>
            <w:shd w:val="clear" w:color="auto" w:fill="595959" w:themeFill="text1" w:themeFillTint="A6"/>
          </w:tcPr>
          <w:p w14:paraId="6A992A4C" w14:textId="77777777" w:rsidR="0049641D" w:rsidRPr="005133CA" w:rsidRDefault="0049641D" w:rsidP="00CA24B6">
            <w:pPr>
              <w:pStyle w:val="DECTableheader"/>
              <w:rPr>
                <w:b/>
              </w:rPr>
            </w:pPr>
            <w:r w:rsidRPr="005133CA">
              <w:t xml:space="preserve">Number </w:t>
            </w:r>
            <w:r w:rsidRPr="005133CA">
              <w:br/>
              <w:t>(headcount)</w:t>
            </w:r>
          </w:p>
        </w:tc>
        <w:tc>
          <w:tcPr>
            <w:tcW w:w="2289" w:type="dxa"/>
            <w:shd w:val="clear" w:color="auto" w:fill="595959" w:themeFill="text1" w:themeFillTint="A6"/>
          </w:tcPr>
          <w:p w14:paraId="10F8872B" w14:textId="77777777" w:rsidR="0049641D" w:rsidRPr="005133CA" w:rsidRDefault="0049641D" w:rsidP="00CA24B6">
            <w:pPr>
              <w:pStyle w:val="DECTableheader"/>
              <w:rPr>
                <w:b/>
              </w:rPr>
            </w:pPr>
            <w:r w:rsidRPr="005133CA">
              <w:t>Percentage of total workforce</w:t>
            </w:r>
            <w:r w:rsidRPr="005133CA">
              <w:br/>
              <w:t>(calculated on headcount)</w:t>
            </w:r>
          </w:p>
        </w:tc>
      </w:tr>
      <w:tr w:rsidR="0049641D" w:rsidRPr="005133CA" w14:paraId="055151D6" w14:textId="77777777" w:rsidTr="000178E1">
        <w:trPr>
          <w:trHeight w:val="454"/>
        </w:trPr>
        <w:tc>
          <w:tcPr>
            <w:tcW w:w="5098" w:type="dxa"/>
          </w:tcPr>
          <w:p w14:paraId="532A1FE7" w14:textId="77777777" w:rsidR="0049641D" w:rsidRPr="005133CA" w:rsidRDefault="0049641D" w:rsidP="0049641D">
            <w:pPr>
              <w:pStyle w:val="BodyText"/>
            </w:pPr>
            <w:r w:rsidRPr="005133CA">
              <w:t>Women</w:t>
            </w:r>
          </w:p>
        </w:tc>
        <w:tc>
          <w:tcPr>
            <w:tcW w:w="2127" w:type="dxa"/>
            <w:shd w:val="clear" w:color="auto" w:fill="auto"/>
          </w:tcPr>
          <w:p w14:paraId="1216D5BC" w14:textId="038257A9" w:rsidR="0049641D" w:rsidRPr="000178E1" w:rsidRDefault="00DE7BA7" w:rsidP="0049641D">
            <w:pPr>
              <w:pStyle w:val="BodyText"/>
              <w:jc w:val="right"/>
            </w:pPr>
            <w:r w:rsidRPr="000178E1">
              <w:t>3</w:t>
            </w:r>
            <w:r w:rsidR="005B304A" w:rsidRPr="000178E1">
              <w:t>81</w:t>
            </w:r>
          </w:p>
        </w:tc>
        <w:tc>
          <w:tcPr>
            <w:tcW w:w="2289" w:type="dxa"/>
            <w:shd w:val="clear" w:color="auto" w:fill="auto"/>
          </w:tcPr>
          <w:p w14:paraId="11124798" w14:textId="3A69B01B" w:rsidR="0049641D" w:rsidRPr="000178E1" w:rsidRDefault="005B304A" w:rsidP="0049641D">
            <w:pPr>
              <w:pStyle w:val="BodyText"/>
              <w:jc w:val="right"/>
            </w:pPr>
            <w:r w:rsidRPr="000178E1">
              <w:t>54.2</w:t>
            </w:r>
          </w:p>
        </w:tc>
      </w:tr>
      <w:tr w:rsidR="0049641D" w:rsidRPr="005133CA" w14:paraId="1BC11CCC" w14:textId="77777777" w:rsidTr="000178E1">
        <w:trPr>
          <w:trHeight w:val="454"/>
        </w:trPr>
        <w:tc>
          <w:tcPr>
            <w:tcW w:w="5098" w:type="dxa"/>
          </w:tcPr>
          <w:p w14:paraId="1BBD3A63" w14:textId="77777777" w:rsidR="0049641D" w:rsidRPr="005133CA" w:rsidRDefault="0049641D" w:rsidP="0049641D">
            <w:pPr>
              <w:pStyle w:val="BodyText"/>
            </w:pPr>
            <w:r w:rsidRPr="005133CA">
              <w:t>Aboriginal and Torres Strait Islander peoples</w:t>
            </w:r>
          </w:p>
        </w:tc>
        <w:tc>
          <w:tcPr>
            <w:tcW w:w="2127" w:type="dxa"/>
            <w:shd w:val="clear" w:color="auto" w:fill="auto"/>
          </w:tcPr>
          <w:p w14:paraId="4575B1EB" w14:textId="0395E11E" w:rsidR="0049641D" w:rsidRPr="000178E1" w:rsidRDefault="00DA49FB" w:rsidP="0049641D">
            <w:pPr>
              <w:pStyle w:val="BodyText"/>
              <w:jc w:val="right"/>
            </w:pPr>
            <w:r w:rsidRPr="000178E1">
              <w:t>6</w:t>
            </w:r>
          </w:p>
        </w:tc>
        <w:tc>
          <w:tcPr>
            <w:tcW w:w="2289" w:type="dxa"/>
            <w:shd w:val="clear" w:color="auto" w:fill="auto"/>
          </w:tcPr>
          <w:p w14:paraId="4F3768ED" w14:textId="27E9DF31" w:rsidR="0049641D" w:rsidRPr="000178E1" w:rsidRDefault="00DA49FB" w:rsidP="0049641D">
            <w:pPr>
              <w:pStyle w:val="BodyText"/>
              <w:jc w:val="right"/>
            </w:pPr>
            <w:r w:rsidRPr="000178E1">
              <w:t>0.85</w:t>
            </w:r>
          </w:p>
        </w:tc>
      </w:tr>
      <w:tr w:rsidR="0049641D" w:rsidRPr="005133CA" w14:paraId="0CA1349F" w14:textId="77777777" w:rsidTr="000178E1">
        <w:trPr>
          <w:trHeight w:val="454"/>
        </w:trPr>
        <w:tc>
          <w:tcPr>
            <w:tcW w:w="5098" w:type="dxa"/>
          </w:tcPr>
          <w:p w14:paraId="5A7A89A3" w14:textId="77777777" w:rsidR="0049641D" w:rsidRPr="005133CA" w:rsidRDefault="0049641D" w:rsidP="0049641D">
            <w:pPr>
              <w:pStyle w:val="BodyText"/>
            </w:pPr>
            <w:r w:rsidRPr="005133CA">
              <w:t>People with disability</w:t>
            </w:r>
          </w:p>
        </w:tc>
        <w:tc>
          <w:tcPr>
            <w:tcW w:w="2127" w:type="dxa"/>
            <w:shd w:val="clear" w:color="auto" w:fill="auto"/>
          </w:tcPr>
          <w:p w14:paraId="29FF0FA7" w14:textId="5224237B" w:rsidR="0049641D" w:rsidRPr="000178E1" w:rsidRDefault="00B67860" w:rsidP="0049641D">
            <w:pPr>
              <w:pStyle w:val="BodyText"/>
              <w:jc w:val="right"/>
            </w:pPr>
            <w:r w:rsidRPr="000178E1">
              <w:t>52</w:t>
            </w:r>
          </w:p>
        </w:tc>
        <w:tc>
          <w:tcPr>
            <w:tcW w:w="2289" w:type="dxa"/>
            <w:shd w:val="clear" w:color="auto" w:fill="auto"/>
          </w:tcPr>
          <w:p w14:paraId="3908408D" w14:textId="4F7206DD" w:rsidR="0049641D" w:rsidRPr="000178E1" w:rsidRDefault="00B67860" w:rsidP="0049641D">
            <w:pPr>
              <w:pStyle w:val="BodyText"/>
              <w:jc w:val="right"/>
            </w:pPr>
            <w:r w:rsidRPr="000178E1">
              <w:t>7.40</w:t>
            </w:r>
          </w:p>
        </w:tc>
      </w:tr>
      <w:tr w:rsidR="0049641D" w:rsidRPr="005133CA" w14:paraId="7EB09D06" w14:textId="77777777" w:rsidTr="000178E1">
        <w:trPr>
          <w:trHeight w:val="454"/>
        </w:trPr>
        <w:tc>
          <w:tcPr>
            <w:tcW w:w="5098" w:type="dxa"/>
          </w:tcPr>
          <w:p w14:paraId="1F6C719C" w14:textId="647E3CAD" w:rsidR="0049641D" w:rsidRPr="005133CA" w:rsidRDefault="0049641D" w:rsidP="0049641D">
            <w:pPr>
              <w:pStyle w:val="BodyText"/>
            </w:pPr>
            <w:r w:rsidRPr="005133CA">
              <w:t>Culturally and Linguistically Diverse – Speak a language at home other than English, including Aboriginal and Torres Strait Islander / Australian South Sea Islander languages</w:t>
            </w:r>
          </w:p>
        </w:tc>
        <w:tc>
          <w:tcPr>
            <w:tcW w:w="2127" w:type="dxa"/>
            <w:shd w:val="clear" w:color="auto" w:fill="auto"/>
          </w:tcPr>
          <w:p w14:paraId="1E4F29D7" w14:textId="59EAA45E" w:rsidR="0049641D" w:rsidRPr="000178E1" w:rsidRDefault="00F248AD" w:rsidP="0049641D">
            <w:pPr>
              <w:pStyle w:val="BodyText"/>
              <w:jc w:val="right"/>
            </w:pPr>
            <w:r w:rsidRPr="000178E1">
              <w:t>72</w:t>
            </w:r>
          </w:p>
        </w:tc>
        <w:tc>
          <w:tcPr>
            <w:tcW w:w="2289" w:type="dxa"/>
            <w:shd w:val="clear" w:color="auto" w:fill="auto"/>
          </w:tcPr>
          <w:p w14:paraId="5E04F179" w14:textId="30464A33" w:rsidR="0049641D" w:rsidRPr="000178E1" w:rsidRDefault="00F248AD" w:rsidP="0049641D">
            <w:pPr>
              <w:pStyle w:val="BodyText"/>
              <w:jc w:val="right"/>
            </w:pPr>
            <w:r w:rsidRPr="000178E1">
              <w:t>10.2</w:t>
            </w:r>
          </w:p>
        </w:tc>
      </w:tr>
    </w:tbl>
    <w:p w14:paraId="051FDE56" w14:textId="77777777" w:rsidR="0049641D" w:rsidRPr="005133CA" w:rsidRDefault="0049641D" w:rsidP="00F45E90">
      <w:pPr>
        <w:pStyle w:val="DECHeading4"/>
      </w:pPr>
      <w:bookmarkStart w:id="573" w:name="_Toc172808570"/>
      <w:bookmarkStart w:id="574" w:name="_Toc174605709"/>
      <w:bookmarkStart w:id="575" w:name="_Toc176424847"/>
      <w:bookmarkStart w:id="576" w:name="_Toc176425006"/>
      <w:r w:rsidRPr="005133CA">
        <w:t>Table 5: Target group data for women in leadership roles</w:t>
      </w:r>
      <w:bookmarkEnd w:id="573"/>
      <w:bookmarkEnd w:id="574"/>
      <w:bookmarkEnd w:id="575"/>
      <w:bookmarkEnd w:id="576"/>
    </w:p>
    <w:tbl>
      <w:tblPr>
        <w:tblW w:w="9514"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4" w:space="0" w:color="969696" w:themeColor="accent3"/>
          <w:insideV w:val="single" w:sz="4" w:space="0" w:color="969696" w:themeColor="accent3"/>
        </w:tblBorders>
        <w:tblLook w:val="04A0" w:firstRow="1" w:lastRow="0" w:firstColumn="1" w:lastColumn="0" w:noHBand="0" w:noVBand="1"/>
      </w:tblPr>
      <w:tblGrid>
        <w:gridCol w:w="5098"/>
        <w:gridCol w:w="2127"/>
        <w:gridCol w:w="2289"/>
      </w:tblGrid>
      <w:tr w:rsidR="0049641D" w:rsidRPr="005133CA" w14:paraId="7BC35BDB" w14:textId="77777777">
        <w:trPr>
          <w:cantSplit/>
          <w:trHeight w:val="454"/>
          <w:tblHeader/>
        </w:trPr>
        <w:tc>
          <w:tcPr>
            <w:tcW w:w="5098" w:type="dxa"/>
            <w:shd w:val="clear" w:color="auto" w:fill="595959" w:themeFill="text1" w:themeFillTint="A6"/>
          </w:tcPr>
          <w:p w14:paraId="32A13706" w14:textId="77777777" w:rsidR="0049641D" w:rsidRPr="005133CA" w:rsidRDefault="0049641D" w:rsidP="00CA24B6">
            <w:pPr>
              <w:pStyle w:val="DECTableheader"/>
              <w:rPr>
                <w:b/>
              </w:rPr>
            </w:pPr>
            <w:r w:rsidRPr="005133CA">
              <w:t>Women in leadership roles</w:t>
            </w:r>
          </w:p>
        </w:tc>
        <w:tc>
          <w:tcPr>
            <w:tcW w:w="2127" w:type="dxa"/>
            <w:shd w:val="clear" w:color="auto" w:fill="595959" w:themeFill="text1" w:themeFillTint="A6"/>
          </w:tcPr>
          <w:p w14:paraId="6DC8BA58" w14:textId="77777777" w:rsidR="0049641D" w:rsidRPr="005133CA" w:rsidRDefault="0049641D" w:rsidP="00CA24B6">
            <w:pPr>
              <w:pStyle w:val="DECTableheader"/>
              <w:rPr>
                <w:b/>
              </w:rPr>
            </w:pPr>
            <w:r w:rsidRPr="005133CA">
              <w:t>Women</w:t>
            </w:r>
            <w:r w:rsidRPr="005133CA">
              <w:br/>
              <w:t>(Headcount)</w:t>
            </w:r>
          </w:p>
        </w:tc>
        <w:tc>
          <w:tcPr>
            <w:tcW w:w="2289" w:type="dxa"/>
            <w:shd w:val="clear" w:color="auto" w:fill="595959" w:themeFill="text1" w:themeFillTint="A6"/>
          </w:tcPr>
          <w:p w14:paraId="48A1A1A7" w14:textId="77777777" w:rsidR="0049641D" w:rsidRPr="005133CA" w:rsidRDefault="0049641D" w:rsidP="00CA24B6">
            <w:pPr>
              <w:pStyle w:val="DECTableheader"/>
              <w:rPr>
                <w:b/>
              </w:rPr>
            </w:pPr>
            <w:r w:rsidRPr="005133CA">
              <w:t>Women as percentage of total leadership cohort (calculated on head count)</w:t>
            </w:r>
          </w:p>
        </w:tc>
      </w:tr>
      <w:tr w:rsidR="0049641D" w:rsidRPr="005133CA" w14:paraId="54E071B6" w14:textId="77777777" w:rsidTr="000178E1">
        <w:trPr>
          <w:trHeight w:val="454"/>
        </w:trPr>
        <w:tc>
          <w:tcPr>
            <w:tcW w:w="5098" w:type="dxa"/>
          </w:tcPr>
          <w:p w14:paraId="10A7D8BF" w14:textId="77777777" w:rsidR="0049641D" w:rsidRPr="005133CA" w:rsidRDefault="0049641D" w:rsidP="0049641D">
            <w:pPr>
              <w:pStyle w:val="BodyText"/>
            </w:pPr>
            <w:r w:rsidRPr="005133CA">
              <w:t>Senior Officers (</w:t>
            </w:r>
            <w:r>
              <w:t>c</w:t>
            </w:r>
            <w:r w:rsidRPr="005133CA">
              <w:t>lassified and s155 equivalent combined)</w:t>
            </w:r>
          </w:p>
        </w:tc>
        <w:tc>
          <w:tcPr>
            <w:tcW w:w="2127" w:type="dxa"/>
            <w:shd w:val="clear" w:color="auto" w:fill="auto"/>
          </w:tcPr>
          <w:p w14:paraId="1232D85A" w14:textId="0A5149C2" w:rsidR="0049641D" w:rsidRPr="000178E1" w:rsidRDefault="00E529DB" w:rsidP="0049641D">
            <w:pPr>
              <w:pStyle w:val="BodyText"/>
              <w:jc w:val="right"/>
            </w:pPr>
            <w:r w:rsidRPr="000178E1">
              <w:t>30</w:t>
            </w:r>
          </w:p>
        </w:tc>
        <w:tc>
          <w:tcPr>
            <w:tcW w:w="2289" w:type="dxa"/>
            <w:shd w:val="clear" w:color="auto" w:fill="auto"/>
          </w:tcPr>
          <w:p w14:paraId="43A2BAAE" w14:textId="109FA3A6" w:rsidR="0049641D" w:rsidRPr="000178E1" w:rsidRDefault="001F3725" w:rsidP="0049641D">
            <w:pPr>
              <w:pStyle w:val="BodyText"/>
              <w:jc w:val="right"/>
            </w:pPr>
            <w:r w:rsidRPr="000178E1">
              <w:t>57.7</w:t>
            </w:r>
          </w:p>
        </w:tc>
      </w:tr>
      <w:tr w:rsidR="0049641D" w:rsidRPr="005133CA" w14:paraId="430483A1" w14:textId="77777777" w:rsidTr="000178E1">
        <w:trPr>
          <w:trHeight w:val="454"/>
        </w:trPr>
        <w:tc>
          <w:tcPr>
            <w:tcW w:w="5098" w:type="dxa"/>
          </w:tcPr>
          <w:p w14:paraId="41773E6A" w14:textId="77777777" w:rsidR="0049641D" w:rsidRPr="005133CA" w:rsidRDefault="0049641D" w:rsidP="0049641D">
            <w:pPr>
              <w:pStyle w:val="BodyText"/>
            </w:pPr>
            <w:r w:rsidRPr="005133CA">
              <w:t>Senior Executive Service and Chief Executives (</w:t>
            </w:r>
            <w:r>
              <w:t>c</w:t>
            </w:r>
            <w:r w:rsidRPr="005133CA">
              <w:t>lassified and s155 equivalent combined)</w:t>
            </w:r>
          </w:p>
        </w:tc>
        <w:tc>
          <w:tcPr>
            <w:tcW w:w="2127" w:type="dxa"/>
            <w:shd w:val="clear" w:color="auto" w:fill="auto"/>
          </w:tcPr>
          <w:p w14:paraId="16A2468C" w14:textId="21D8C92B" w:rsidR="0049641D" w:rsidRPr="000178E1" w:rsidRDefault="0065694F" w:rsidP="0049641D">
            <w:pPr>
              <w:pStyle w:val="BodyText"/>
              <w:jc w:val="right"/>
            </w:pPr>
            <w:r w:rsidRPr="000178E1">
              <w:t>18</w:t>
            </w:r>
          </w:p>
        </w:tc>
        <w:tc>
          <w:tcPr>
            <w:tcW w:w="2289" w:type="dxa"/>
            <w:shd w:val="clear" w:color="auto" w:fill="auto"/>
          </w:tcPr>
          <w:p w14:paraId="6A791AC2" w14:textId="282B5DDC" w:rsidR="0049641D" w:rsidRPr="000178E1" w:rsidRDefault="0065694F" w:rsidP="0049641D">
            <w:pPr>
              <w:pStyle w:val="BodyText"/>
              <w:jc w:val="right"/>
            </w:pPr>
            <w:r w:rsidRPr="000178E1">
              <w:t>62.1</w:t>
            </w:r>
          </w:p>
        </w:tc>
      </w:tr>
    </w:tbl>
    <w:p w14:paraId="4E003607" w14:textId="18799BF6" w:rsidR="003F0A31" w:rsidRDefault="003F0A31" w:rsidP="00F45E90">
      <w:pPr>
        <w:pStyle w:val="DECHeading3"/>
        <w:rPr>
          <w:rFonts w:eastAsia="Calibri" w:cs="Calibri"/>
          <w:highlight w:val="green"/>
        </w:rPr>
      </w:pPr>
      <w:bookmarkStart w:id="577" w:name="_Early_retirement,_redundancy"/>
      <w:bookmarkStart w:id="578" w:name="_Toc111189228"/>
      <w:bookmarkStart w:id="579" w:name="_Toc138317856"/>
      <w:bookmarkStart w:id="580" w:name="_Toc172794890"/>
      <w:bookmarkStart w:id="581" w:name="_Toc172806438"/>
      <w:bookmarkStart w:id="582" w:name="_Toc172806724"/>
      <w:bookmarkStart w:id="583" w:name="_Toc172808571"/>
      <w:bookmarkStart w:id="584" w:name="_Toc174605710"/>
      <w:bookmarkStart w:id="585" w:name="_Toc176424848"/>
      <w:bookmarkStart w:id="586" w:name="_Toc176425007"/>
      <w:bookmarkEnd w:id="577"/>
      <w:r w:rsidRPr="002C5281">
        <w:t xml:space="preserve">Early retirement, </w:t>
      </w:r>
      <w:proofErr w:type="gramStart"/>
      <w:r w:rsidRPr="002C5281">
        <w:t>redundancy</w:t>
      </w:r>
      <w:proofErr w:type="gramEnd"/>
      <w:r w:rsidRPr="002C5281">
        <w:t xml:space="preserve"> and retrenchment</w:t>
      </w:r>
      <w:bookmarkEnd w:id="578"/>
      <w:bookmarkEnd w:id="579"/>
      <w:bookmarkEnd w:id="580"/>
      <w:bookmarkEnd w:id="581"/>
      <w:bookmarkEnd w:id="582"/>
      <w:bookmarkEnd w:id="583"/>
      <w:bookmarkEnd w:id="584"/>
      <w:bookmarkEnd w:id="585"/>
      <w:bookmarkEnd w:id="586"/>
    </w:p>
    <w:p w14:paraId="79257CF6" w14:textId="1C959C17" w:rsidR="003F0A31" w:rsidRPr="00CD50C7" w:rsidRDefault="001E61E6" w:rsidP="007D5C38">
      <w:pPr>
        <w:pStyle w:val="BodyText"/>
        <w:rPr>
          <w:rFonts w:eastAsia="Calibri" w:cs="Calibri"/>
          <w:b/>
          <w:sz w:val="18"/>
          <w:szCs w:val="18"/>
        </w:rPr>
      </w:pPr>
      <w:r w:rsidRPr="00CD50C7">
        <w:t>N</w:t>
      </w:r>
      <w:r w:rsidR="003F0A31" w:rsidRPr="00CD50C7">
        <w:t>o redundancy/early retirement/retrenchment packages were paid during the period.</w:t>
      </w:r>
      <w:r w:rsidR="003F0A31" w:rsidRPr="00CD50C7">
        <w:rPr>
          <w:rFonts w:eastAsia="Calibri" w:cs="Calibri"/>
          <w:b/>
          <w:sz w:val="18"/>
          <w:szCs w:val="18"/>
        </w:rPr>
        <w:t xml:space="preserve"> </w:t>
      </w:r>
    </w:p>
    <w:p w14:paraId="424B98A6" w14:textId="309D6566" w:rsidR="00350593" w:rsidRDefault="00343168" w:rsidP="0026370B">
      <w:pPr>
        <w:pStyle w:val="DECHeading2"/>
      </w:pPr>
      <w:r>
        <w:rPr>
          <w:rFonts w:eastAsia="Calibri" w:cs="Calibri"/>
          <w:b/>
          <w:color w:val="0070C0"/>
          <w:sz w:val="18"/>
          <w:szCs w:val="18"/>
        </w:rPr>
        <w:br w:type="page"/>
      </w:r>
      <w:bookmarkStart w:id="587" w:name="_Strategic_workforce_planning"/>
      <w:bookmarkStart w:id="588" w:name="_Toc111189229"/>
      <w:bookmarkStart w:id="589" w:name="_Toc138317857"/>
      <w:bookmarkStart w:id="590" w:name="_Toc172794891"/>
      <w:bookmarkStart w:id="591" w:name="_Toc172806439"/>
      <w:bookmarkStart w:id="592" w:name="_Toc172806725"/>
      <w:bookmarkStart w:id="593" w:name="_Toc172808572"/>
      <w:bookmarkStart w:id="594" w:name="_Toc174605711"/>
      <w:bookmarkStart w:id="595" w:name="_Toc176424849"/>
      <w:bookmarkStart w:id="596" w:name="_Toc176425008"/>
      <w:bookmarkEnd w:id="587"/>
      <w:r w:rsidR="00350593" w:rsidRPr="006A1CB3">
        <w:lastRenderedPageBreak/>
        <w:t>Strategic workforce planning</w:t>
      </w:r>
      <w:bookmarkEnd w:id="588"/>
      <w:bookmarkEnd w:id="589"/>
      <w:r w:rsidR="002E676F">
        <w:t xml:space="preserve"> and performance</w:t>
      </w:r>
      <w:bookmarkEnd w:id="590"/>
      <w:bookmarkEnd w:id="591"/>
      <w:bookmarkEnd w:id="592"/>
      <w:bookmarkEnd w:id="593"/>
      <w:bookmarkEnd w:id="594"/>
      <w:bookmarkEnd w:id="595"/>
      <w:bookmarkEnd w:id="596"/>
      <w:r w:rsidR="00350593">
        <w:t xml:space="preserve"> </w:t>
      </w:r>
    </w:p>
    <w:p w14:paraId="367BB0E6" w14:textId="20DEAAC1" w:rsidR="00BE58E8" w:rsidRPr="00CD50C7" w:rsidRDefault="00BE58E8" w:rsidP="0026370B">
      <w:pPr>
        <w:pStyle w:val="DECHeading3"/>
      </w:pPr>
      <w:bookmarkStart w:id="597" w:name="_Toc174605712"/>
      <w:bookmarkStart w:id="598" w:name="_Toc176424850"/>
      <w:bookmarkStart w:id="599" w:name="_Toc176425009"/>
      <w:bookmarkStart w:id="600" w:name="_Toc172806440"/>
      <w:bookmarkStart w:id="601" w:name="_Toc172806726"/>
      <w:bookmarkStart w:id="602" w:name="_Toc172808573"/>
      <w:r w:rsidRPr="008239F9">
        <w:t>Key achievements</w:t>
      </w:r>
      <w:bookmarkEnd w:id="597"/>
      <w:bookmarkEnd w:id="598"/>
      <w:bookmarkEnd w:id="599"/>
    </w:p>
    <w:bookmarkEnd w:id="600"/>
    <w:bookmarkEnd w:id="601"/>
    <w:bookmarkEnd w:id="602"/>
    <w:p w14:paraId="423E351B" w14:textId="73E8CF8C" w:rsidR="00BE58E8" w:rsidRDefault="00BE58E8" w:rsidP="00BE58E8">
      <w:r>
        <w:t>In 2023</w:t>
      </w:r>
      <w:r w:rsidR="00B17A6D">
        <w:t>–</w:t>
      </w:r>
      <w:r>
        <w:t xml:space="preserve">24, our department developed a new </w:t>
      </w:r>
      <w:r w:rsidRPr="003D59F3">
        <w:rPr>
          <w:i/>
        </w:rPr>
        <w:t xml:space="preserve">Strategic Workforce Plan </w:t>
      </w:r>
      <w:r w:rsidR="00CD35AE" w:rsidRPr="003D59F3">
        <w:rPr>
          <w:i/>
          <w:iCs/>
        </w:rPr>
        <w:t>2024–2028</w:t>
      </w:r>
      <w:r>
        <w:t xml:space="preserve"> </w:t>
      </w:r>
      <w:r w:rsidR="005F1455">
        <w:t>(SWP)</w:t>
      </w:r>
      <w:r>
        <w:t xml:space="preserve"> to help us build a workforce that delivers on our purpose: New Energy. Less Carbon. More Jobs. A Clean Economy – together.   </w:t>
      </w:r>
    </w:p>
    <w:p w14:paraId="67882692" w14:textId="77777777" w:rsidR="00BE58E8" w:rsidRDefault="00BE58E8" w:rsidP="00BE58E8">
      <w:r>
        <w:t xml:space="preserve">The department has: </w:t>
      </w:r>
    </w:p>
    <w:p w14:paraId="6D3CA01A" w14:textId="328040A0" w:rsidR="00BE58E8" w:rsidRDefault="00E72C64" w:rsidP="00113DF0">
      <w:pPr>
        <w:pStyle w:val="ListParagraph"/>
        <w:numPr>
          <w:ilvl w:val="0"/>
          <w:numId w:val="21"/>
        </w:numPr>
        <w:spacing w:before="0" w:after="160" w:line="256" w:lineRule="auto"/>
        <w:contextualSpacing/>
      </w:pPr>
      <w:r>
        <w:t>e</w:t>
      </w:r>
      <w:r w:rsidR="00BE58E8">
        <w:t>nsured that strategic workforce planning is driven by leaders and integrated with organisational planning by:</w:t>
      </w:r>
    </w:p>
    <w:p w14:paraId="49D70952" w14:textId="439317FF" w:rsidR="00BE58E8" w:rsidRDefault="000E6BDC" w:rsidP="00113DF0">
      <w:pPr>
        <w:pStyle w:val="ListParagraph"/>
        <w:numPr>
          <w:ilvl w:val="0"/>
          <w:numId w:val="20"/>
        </w:numPr>
        <w:spacing w:before="0" w:after="160" w:line="256" w:lineRule="auto"/>
        <w:contextualSpacing/>
      </w:pPr>
      <w:r>
        <w:t>a</w:t>
      </w:r>
      <w:r w:rsidR="00BE58E8">
        <w:t xml:space="preserve">ligning the department’s SWP with the objectives and strategies of the department’s </w:t>
      </w:r>
      <w:r w:rsidR="003F1D1E">
        <w:t>s</w:t>
      </w:r>
      <w:r w:rsidR="00BE58E8">
        <w:t xml:space="preserve">trategic </w:t>
      </w:r>
      <w:r w:rsidR="003F1D1E">
        <w:t>p</w:t>
      </w:r>
      <w:r w:rsidR="00BE58E8">
        <w:t>lan</w:t>
      </w:r>
      <w:r w:rsidR="00BC1DB8">
        <w:t>.</w:t>
      </w:r>
    </w:p>
    <w:p w14:paraId="598D5CA3" w14:textId="119BD65F" w:rsidR="00BE58E8" w:rsidRDefault="00CA52DE" w:rsidP="00113DF0">
      <w:pPr>
        <w:pStyle w:val="ListParagraph"/>
        <w:numPr>
          <w:ilvl w:val="0"/>
          <w:numId w:val="20"/>
        </w:numPr>
        <w:spacing w:before="0" w:after="160" w:line="256" w:lineRule="auto"/>
        <w:contextualSpacing/>
      </w:pPr>
      <w:r>
        <w:t>l</w:t>
      </w:r>
      <w:r w:rsidR="00BE58E8">
        <w:t>inking the SWP to key strategies from other department workforce</w:t>
      </w:r>
      <w:r w:rsidR="00571143">
        <w:t>-</w:t>
      </w:r>
      <w:r w:rsidR="00BE58E8">
        <w:t xml:space="preserve">related plans including the </w:t>
      </w:r>
      <w:r w:rsidR="002C3D13" w:rsidRPr="00FA61A7">
        <w:rPr>
          <w:i/>
        </w:rPr>
        <w:t xml:space="preserve">Equity, Diversity, </w:t>
      </w:r>
      <w:proofErr w:type="gramStart"/>
      <w:r w:rsidR="002C3D13" w:rsidRPr="00FA61A7">
        <w:rPr>
          <w:i/>
        </w:rPr>
        <w:t>Respect</w:t>
      </w:r>
      <w:proofErr w:type="gramEnd"/>
      <w:r w:rsidR="002C3D13" w:rsidRPr="00FA61A7">
        <w:rPr>
          <w:i/>
        </w:rPr>
        <w:t xml:space="preserve"> and Inclusion Plan 2024</w:t>
      </w:r>
      <w:r w:rsidR="002C3D13" w:rsidRPr="00FA61A7">
        <w:rPr>
          <w:i/>
          <w:iCs/>
        </w:rPr>
        <w:t>–</w:t>
      </w:r>
      <w:r w:rsidR="002C3D13" w:rsidRPr="00FA61A7">
        <w:rPr>
          <w:i/>
        </w:rPr>
        <w:t>2026</w:t>
      </w:r>
      <w:r w:rsidR="00BE58E8">
        <w:t xml:space="preserve"> and </w:t>
      </w:r>
      <w:r w:rsidR="00DE41AB" w:rsidRPr="00175120">
        <w:rPr>
          <w:i/>
        </w:rPr>
        <w:t>Reframing the Relationship Plan 2024</w:t>
      </w:r>
      <w:r w:rsidR="00DE41AB" w:rsidRPr="00175120">
        <w:rPr>
          <w:i/>
          <w:iCs/>
        </w:rPr>
        <w:t>–</w:t>
      </w:r>
      <w:r w:rsidR="00DE41AB" w:rsidRPr="00175120">
        <w:rPr>
          <w:i/>
        </w:rPr>
        <w:t>2026</w:t>
      </w:r>
      <w:r w:rsidR="00BC1DB8">
        <w:t>.</w:t>
      </w:r>
    </w:p>
    <w:p w14:paraId="1F27CEDB" w14:textId="278DB286" w:rsidR="00BE58E8" w:rsidRPr="003E3D9A" w:rsidRDefault="00CA52DE" w:rsidP="00113DF0">
      <w:pPr>
        <w:pStyle w:val="ListParagraph"/>
        <w:numPr>
          <w:ilvl w:val="0"/>
          <w:numId w:val="20"/>
        </w:numPr>
        <w:spacing w:before="0" w:after="160" w:line="256" w:lineRule="auto"/>
        <w:contextualSpacing/>
      </w:pPr>
      <w:r>
        <w:t>l</w:t>
      </w:r>
      <w:r w:rsidR="00BE58E8">
        <w:t xml:space="preserve">inking the SWP </w:t>
      </w:r>
      <w:r w:rsidR="00BE58E8" w:rsidRPr="003E3D9A">
        <w:t xml:space="preserve">to other key sector-wide strategic workforce initiatives that are being delivered through the </w:t>
      </w:r>
      <w:r w:rsidR="00BE58E8" w:rsidRPr="00012976">
        <w:rPr>
          <w:i/>
          <w:iCs/>
        </w:rPr>
        <w:t>Even better public sector for Queensland strategy</w:t>
      </w:r>
      <w:r w:rsidR="00BE58E8" w:rsidRPr="003E3D9A">
        <w:t xml:space="preserve">, </w:t>
      </w:r>
      <w:r w:rsidR="00BE58E8" w:rsidRPr="00012976">
        <w:rPr>
          <w:i/>
          <w:iCs/>
        </w:rPr>
        <w:t xml:space="preserve">Queensland </w:t>
      </w:r>
      <w:r w:rsidR="007071DB">
        <w:rPr>
          <w:i/>
          <w:iCs/>
        </w:rPr>
        <w:t>G</w:t>
      </w:r>
      <w:r w:rsidR="00BE58E8" w:rsidRPr="00012976">
        <w:rPr>
          <w:i/>
          <w:iCs/>
        </w:rPr>
        <w:t>overnment reconciliation action plan</w:t>
      </w:r>
      <w:r w:rsidR="00BE58E8" w:rsidRPr="003E3D9A">
        <w:t xml:space="preserve">, </w:t>
      </w:r>
      <w:r w:rsidR="00BE58E8" w:rsidRPr="00012976">
        <w:rPr>
          <w:i/>
          <w:iCs/>
        </w:rPr>
        <w:t>Queensland public sector inclusion and diversity strategy</w:t>
      </w:r>
      <w:r w:rsidR="00BE58E8" w:rsidRPr="003E3D9A">
        <w:t xml:space="preserve">, </w:t>
      </w:r>
      <w:r w:rsidR="00BE58E8" w:rsidRPr="00012976">
        <w:rPr>
          <w:i/>
          <w:iCs/>
        </w:rPr>
        <w:t>Managing the risk of psychosocial hazards at work Code of Practice</w:t>
      </w:r>
      <w:r w:rsidR="00BE58E8" w:rsidRPr="003E3D9A">
        <w:t>, and associated plans.</w:t>
      </w:r>
    </w:p>
    <w:p w14:paraId="553761C7" w14:textId="77777777" w:rsidR="00BE58E8" w:rsidRDefault="00BE58E8" w:rsidP="00CD50C7">
      <w:pPr>
        <w:pStyle w:val="ListParagraph"/>
        <w:numPr>
          <w:ilvl w:val="0"/>
          <w:numId w:val="0"/>
        </w:numPr>
        <w:ind w:left="360"/>
      </w:pPr>
    </w:p>
    <w:p w14:paraId="48AEEE4D" w14:textId="1FE1F270" w:rsidR="00BE58E8" w:rsidRDefault="00E72C64" w:rsidP="00113DF0">
      <w:pPr>
        <w:pStyle w:val="ListParagraph"/>
        <w:numPr>
          <w:ilvl w:val="0"/>
          <w:numId w:val="21"/>
        </w:numPr>
        <w:spacing w:before="0" w:after="160" w:line="256" w:lineRule="auto"/>
        <w:contextualSpacing/>
      </w:pPr>
      <w:r>
        <w:t>i</w:t>
      </w:r>
      <w:r w:rsidR="00BE58E8">
        <w:t>mplemented strategies to address workforce challenges and create a skilled workforce by:</w:t>
      </w:r>
    </w:p>
    <w:p w14:paraId="5CA03D06" w14:textId="4A18838A" w:rsidR="00BE58E8" w:rsidRPr="00FA4D4D" w:rsidRDefault="00DF1D50" w:rsidP="00113DF0">
      <w:pPr>
        <w:pStyle w:val="ListParagraph"/>
        <w:numPr>
          <w:ilvl w:val="0"/>
          <w:numId w:val="22"/>
        </w:numPr>
        <w:spacing w:before="0" w:after="160" w:line="256" w:lineRule="auto"/>
        <w:contextualSpacing/>
      </w:pPr>
      <w:r>
        <w:t>delivering</w:t>
      </w:r>
      <w:r w:rsidRPr="00306F84">
        <w:t xml:space="preserve"> </w:t>
      </w:r>
      <w:r w:rsidR="00BE58E8" w:rsidRPr="00306F84">
        <w:t xml:space="preserve">a departmental graduate program </w:t>
      </w:r>
      <w:r w:rsidR="00AB2AA5">
        <w:t>with</w:t>
      </w:r>
      <w:r w:rsidR="00BE58E8" w:rsidRPr="00306F84">
        <w:t xml:space="preserve"> 19 graduates across a range of disciplines </w:t>
      </w:r>
    </w:p>
    <w:p w14:paraId="058D1DA9" w14:textId="4F87D610" w:rsidR="00BE58E8" w:rsidRPr="00FA4D4D" w:rsidRDefault="00CA52DE" w:rsidP="00113DF0">
      <w:pPr>
        <w:pStyle w:val="ListParagraph"/>
        <w:numPr>
          <w:ilvl w:val="0"/>
          <w:numId w:val="22"/>
        </w:numPr>
        <w:spacing w:before="0" w:after="160" w:line="256" w:lineRule="auto"/>
        <w:contextualSpacing/>
      </w:pPr>
      <w:r>
        <w:t>e</w:t>
      </w:r>
      <w:r w:rsidR="00BE58E8">
        <w:t xml:space="preserve">nhancing workforce metrics and analytics to improve organisational insights and data driven </w:t>
      </w:r>
      <w:proofErr w:type="gramStart"/>
      <w:r w:rsidR="00BE58E8">
        <w:t>decision-making</w:t>
      </w:r>
      <w:proofErr w:type="gramEnd"/>
    </w:p>
    <w:p w14:paraId="11B79DCF" w14:textId="2B2B3F41" w:rsidR="00BE58E8" w:rsidRDefault="00CA52DE" w:rsidP="00113DF0">
      <w:pPr>
        <w:pStyle w:val="ListParagraph"/>
        <w:numPr>
          <w:ilvl w:val="0"/>
          <w:numId w:val="22"/>
        </w:numPr>
        <w:spacing w:before="0" w:after="160" w:line="256" w:lineRule="auto"/>
        <w:contextualSpacing/>
      </w:pPr>
      <w:r>
        <w:t>o</w:t>
      </w:r>
      <w:r w:rsidR="00BE58E8" w:rsidRPr="00FA4D4D">
        <w:t xml:space="preserve">ffering formal </w:t>
      </w:r>
      <w:r w:rsidR="00BE58E8">
        <w:t xml:space="preserve">learning programs to develop </w:t>
      </w:r>
      <w:r w:rsidR="00BE58E8" w:rsidRPr="00FA4D4D">
        <w:t xml:space="preserve">leadership capability through </w:t>
      </w:r>
      <w:r w:rsidR="00BE58E8">
        <w:t xml:space="preserve">a range of </w:t>
      </w:r>
      <w:r w:rsidR="00BE58E8" w:rsidRPr="00FA4D4D">
        <w:t xml:space="preserve">external providers including the Queensland University of Technology, Australian and New Zealand School of Government, </w:t>
      </w:r>
      <w:r w:rsidR="00CA0C44">
        <w:t>and</w:t>
      </w:r>
      <w:r w:rsidR="00BE58E8" w:rsidRPr="00FA4D4D">
        <w:t xml:space="preserve"> Institute of Managers and Leaders</w:t>
      </w:r>
    </w:p>
    <w:p w14:paraId="4C2DD7A1" w14:textId="4272F9C9" w:rsidR="00BE58E8" w:rsidRPr="00FA4D4D" w:rsidRDefault="00CA52DE" w:rsidP="00113DF0">
      <w:pPr>
        <w:pStyle w:val="ListParagraph"/>
        <w:numPr>
          <w:ilvl w:val="0"/>
          <w:numId w:val="22"/>
        </w:numPr>
        <w:spacing w:before="0" w:after="160" w:line="256" w:lineRule="auto"/>
        <w:contextualSpacing/>
      </w:pPr>
      <w:r>
        <w:t>d</w:t>
      </w:r>
      <w:r w:rsidR="00BE58E8">
        <w:t xml:space="preserve">elivering the Griffith University MATE bystander prevention program to help build a healthy and respectful workplace through the facilitation of a suite of six webinars. </w:t>
      </w:r>
    </w:p>
    <w:p w14:paraId="15B615A1" w14:textId="77777777" w:rsidR="00BE58E8" w:rsidRDefault="00BE58E8" w:rsidP="00170271">
      <w:pPr>
        <w:pStyle w:val="ListParagraph"/>
        <w:numPr>
          <w:ilvl w:val="0"/>
          <w:numId w:val="0"/>
        </w:numPr>
        <w:ind w:left="360"/>
      </w:pPr>
    </w:p>
    <w:p w14:paraId="056888AD" w14:textId="425DD3D2" w:rsidR="00BE58E8" w:rsidRDefault="00E72C64" w:rsidP="00113DF0">
      <w:pPr>
        <w:pStyle w:val="ListParagraph"/>
        <w:numPr>
          <w:ilvl w:val="0"/>
          <w:numId w:val="21"/>
        </w:numPr>
        <w:spacing w:before="0" w:after="160" w:line="256" w:lineRule="auto"/>
        <w:contextualSpacing/>
      </w:pPr>
      <w:r>
        <w:t>a</w:t>
      </w:r>
      <w:r w:rsidR="00BE58E8">
        <w:t>dopted contemporary talent acquisition approaches by:</w:t>
      </w:r>
    </w:p>
    <w:p w14:paraId="164FF764" w14:textId="2DCF89C0" w:rsidR="00BE58E8" w:rsidRDefault="00BC1DB8" w:rsidP="00113DF0">
      <w:pPr>
        <w:pStyle w:val="ListParagraph"/>
        <w:numPr>
          <w:ilvl w:val="0"/>
          <w:numId w:val="23"/>
        </w:numPr>
        <w:spacing w:before="0" w:after="160" w:line="256" w:lineRule="auto"/>
        <w:contextualSpacing/>
      </w:pPr>
      <w:r>
        <w:t>d</w:t>
      </w:r>
      <w:r w:rsidR="00BE58E8">
        <w:t xml:space="preserve">eveloping and implementing an Employee Value Proposition </w:t>
      </w:r>
      <w:r w:rsidR="00477321">
        <w:t>(EVP)</w:t>
      </w:r>
      <w:r w:rsidR="00BE58E8">
        <w:t xml:space="preserve"> to attract and retain current and future employees by incorporating EVP elements into recruitment collateral and attraction </w:t>
      </w:r>
      <w:proofErr w:type="gramStart"/>
      <w:r w:rsidR="00BE58E8">
        <w:t>campaigns</w:t>
      </w:r>
      <w:proofErr w:type="gramEnd"/>
    </w:p>
    <w:p w14:paraId="23486F66" w14:textId="3A4D278B" w:rsidR="00BE58E8" w:rsidRDefault="00BC1DB8" w:rsidP="00113DF0">
      <w:pPr>
        <w:pStyle w:val="ListParagraph"/>
        <w:numPr>
          <w:ilvl w:val="0"/>
          <w:numId w:val="23"/>
        </w:numPr>
        <w:spacing w:before="0" w:after="160" w:line="256" w:lineRule="auto"/>
        <w:contextualSpacing/>
      </w:pPr>
      <w:r>
        <w:t>d</w:t>
      </w:r>
      <w:r w:rsidR="00BE58E8">
        <w:t xml:space="preserve">eveloping and strengthening partnerships with not-for-profit organisations such as RSL </w:t>
      </w:r>
      <w:r w:rsidR="006C74E0">
        <w:t xml:space="preserve">Queensland </w:t>
      </w:r>
      <w:r w:rsidR="00BE58E8">
        <w:t xml:space="preserve">to promote employment opportunities </w:t>
      </w:r>
      <w:r w:rsidR="00005161">
        <w:t>and</w:t>
      </w:r>
      <w:r w:rsidR="0042462F">
        <w:t xml:space="preserve"> attract a more diverse </w:t>
      </w:r>
      <w:proofErr w:type="gramStart"/>
      <w:r w:rsidR="0042462F">
        <w:t>workforce</w:t>
      </w:r>
      <w:proofErr w:type="gramEnd"/>
    </w:p>
    <w:p w14:paraId="2CE65E38" w14:textId="57580E44" w:rsidR="00BE58E8" w:rsidRDefault="00BC1DB8" w:rsidP="00113DF0">
      <w:pPr>
        <w:pStyle w:val="ListParagraph"/>
        <w:numPr>
          <w:ilvl w:val="0"/>
          <w:numId w:val="22"/>
        </w:numPr>
        <w:spacing w:before="0" w:after="160" w:line="256" w:lineRule="auto"/>
        <w:contextualSpacing/>
      </w:pPr>
      <w:r>
        <w:t>p</w:t>
      </w:r>
      <w:r w:rsidR="00BE58E8">
        <w:t xml:space="preserve">artnering with Job Access – a national disability recruitment coordinator to deliver a disability employment seminar for public and private sector </w:t>
      </w:r>
      <w:proofErr w:type="gramStart"/>
      <w:r w:rsidR="00BE58E8">
        <w:t>organisations</w:t>
      </w:r>
      <w:proofErr w:type="gramEnd"/>
    </w:p>
    <w:p w14:paraId="4C813274" w14:textId="309BA7EE" w:rsidR="0078669D" w:rsidRDefault="00BC1DB8" w:rsidP="00113DF0">
      <w:pPr>
        <w:pStyle w:val="ListParagraph"/>
        <w:numPr>
          <w:ilvl w:val="0"/>
          <w:numId w:val="22"/>
        </w:numPr>
        <w:spacing w:before="0" w:after="160" w:line="256" w:lineRule="auto"/>
        <w:contextualSpacing/>
      </w:pPr>
      <w:r>
        <w:t>p</w:t>
      </w:r>
      <w:r w:rsidR="00BE58E8">
        <w:t>artnering with tertiary institutions and schools to provide student placement opportunities</w:t>
      </w:r>
      <w:r w:rsidR="00E72C64">
        <w:t>.</w:t>
      </w:r>
    </w:p>
    <w:p w14:paraId="5BC33ACD" w14:textId="77777777" w:rsidR="005E652A" w:rsidRDefault="005E652A" w:rsidP="005E652A">
      <w:pPr>
        <w:pStyle w:val="ListParagraph"/>
        <w:numPr>
          <w:ilvl w:val="0"/>
          <w:numId w:val="0"/>
        </w:numPr>
        <w:spacing w:before="0" w:after="160" w:line="256" w:lineRule="auto"/>
        <w:ind w:left="720"/>
        <w:contextualSpacing/>
      </w:pPr>
    </w:p>
    <w:p w14:paraId="15B6AF94" w14:textId="7B42E1D8" w:rsidR="00BE58E8" w:rsidRDefault="00E72C64" w:rsidP="00113DF0">
      <w:pPr>
        <w:pStyle w:val="ListParagraph"/>
        <w:numPr>
          <w:ilvl w:val="0"/>
          <w:numId w:val="21"/>
        </w:numPr>
        <w:spacing w:before="0" w:after="160" w:line="256" w:lineRule="auto"/>
        <w:contextualSpacing/>
      </w:pPr>
      <w:r>
        <w:t>c</w:t>
      </w:r>
      <w:r w:rsidR="00BE58E8">
        <w:t>ontinued to build strategic workforce planning capability in the department by</w:t>
      </w:r>
      <w:r w:rsidR="005E652A">
        <w:t>:</w:t>
      </w:r>
    </w:p>
    <w:p w14:paraId="1C7A6AF4" w14:textId="27F2DB9B" w:rsidR="00BE58E8" w:rsidRDefault="00BC1DB8" w:rsidP="00113DF0">
      <w:pPr>
        <w:pStyle w:val="ListParagraph"/>
        <w:numPr>
          <w:ilvl w:val="0"/>
          <w:numId w:val="22"/>
        </w:numPr>
        <w:spacing w:before="0" w:after="160" w:line="256" w:lineRule="auto"/>
        <w:contextualSpacing/>
      </w:pPr>
      <w:r>
        <w:t>c</w:t>
      </w:r>
      <w:r w:rsidR="00BE58E8">
        <w:t>ollaborating as a member of the whole-of-sector Strategic Workforce Planning Working Group led by the Public Sector Commission</w:t>
      </w:r>
    </w:p>
    <w:p w14:paraId="1F65D03C" w14:textId="7EB2BCD7" w:rsidR="00BE58E8" w:rsidRDefault="00BC1DB8" w:rsidP="00113DF0">
      <w:pPr>
        <w:pStyle w:val="ListParagraph"/>
        <w:numPr>
          <w:ilvl w:val="0"/>
          <w:numId w:val="22"/>
        </w:numPr>
        <w:spacing w:before="0" w:after="160" w:line="256" w:lineRule="auto"/>
        <w:contextualSpacing/>
      </w:pPr>
      <w:r>
        <w:t>p</w:t>
      </w:r>
      <w:r w:rsidR="00BE58E8">
        <w:t>roviding formal strategic workforce planning training to all Human Resources employees</w:t>
      </w:r>
      <w:r w:rsidR="00D50AAB">
        <w:t>.</w:t>
      </w:r>
    </w:p>
    <w:p w14:paraId="1FF24D1D" w14:textId="77777777" w:rsidR="00BE58E8" w:rsidRDefault="00BE58E8" w:rsidP="00CD50C7">
      <w:pPr>
        <w:pStyle w:val="ListParagraph"/>
        <w:numPr>
          <w:ilvl w:val="0"/>
          <w:numId w:val="0"/>
        </w:numPr>
        <w:ind w:left="360"/>
      </w:pPr>
    </w:p>
    <w:p w14:paraId="1BCEED8E" w14:textId="13AB7234" w:rsidR="006274F5" w:rsidRDefault="00E24CDA" w:rsidP="00113DF0">
      <w:pPr>
        <w:pStyle w:val="ListParagraph"/>
        <w:numPr>
          <w:ilvl w:val="0"/>
          <w:numId w:val="21"/>
        </w:numPr>
      </w:pPr>
      <w:r>
        <w:t>prioritised</w:t>
      </w:r>
      <w:r w:rsidR="00607BA9">
        <w:t xml:space="preserve"> the health and wellbeing of our people by:</w:t>
      </w:r>
    </w:p>
    <w:p w14:paraId="60AC012B" w14:textId="3CCDDA32" w:rsidR="00607BA9" w:rsidRDefault="00E24CDA" w:rsidP="00113DF0">
      <w:pPr>
        <w:pStyle w:val="ListParagraph"/>
        <w:numPr>
          <w:ilvl w:val="1"/>
          <w:numId w:val="21"/>
        </w:numPr>
      </w:pPr>
      <w:r>
        <w:t>establishing a new</w:t>
      </w:r>
      <w:r w:rsidR="007050E9">
        <w:t xml:space="preserve"> workplace</w:t>
      </w:r>
      <w:r>
        <w:t xml:space="preserve"> health and wellbeing policy framework</w:t>
      </w:r>
    </w:p>
    <w:p w14:paraId="4DB65C74" w14:textId="69E86759" w:rsidR="00E24CDA" w:rsidRDefault="001977D9" w:rsidP="00113DF0">
      <w:pPr>
        <w:pStyle w:val="ListParagraph"/>
        <w:numPr>
          <w:ilvl w:val="1"/>
          <w:numId w:val="21"/>
        </w:numPr>
      </w:pPr>
      <w:r>
        <w:t>adopt</w:t>
      </w:r>
      <w:r w:rsidR="009267FB">
        <w:t>ing</w:t>
      </w:r>
      <w:r>
        <w:t xml:space="preserve"> a</w:t>
      </w:r>
      <w:r w:rsidR="00FA28E9">
        <w:t xml:space="preserve"> </w:t>
      </w:r>
      <w:r w:rsidR="009267FB">
        <w:t>core value of ‘Healthy and respectful workplace’</w:t>
      </w:r>
      <w:r w:rsidR="00FA28E9">
        <w:t>, in addition to the five public service values</w:t>
      </w:r>
    </w:p>
    <w:p w14:paraId="5872AA61" w14:textId="4D6AFE93" w:rsidR="0012534E" w:rsidRDefault="0012534E" w:rsidP="00113DF0">
      <w:pPr>
        <w:pStyle w:val="ListParagraph"/>
        <w:numPr>
          <w:ilvl w:val="1"/>
          <w:numId w:val="21"/>
        </w:numPr>
      </w:pPr>
      <w:r>
        <w:t xml:space="preserve">delivering initiatives and strategies that centre </w:t>
      </w:r>
      <w:r w:rsidR="007D3DFF">
        <w:t xml:space="preserve">on </w:t>
      </w:r>
      <w:r>
        <w:t>the health and wellbeing of employees</w:t>
      </w:r>
      <w:r w:rsidR="00E524B7">
        <w:t>,</w:t>
      </w:r>
      <w:r w:rsidR="00656F3D">
        <w:t xml:space="preserve"> including </w:t>
      </w:r>
      <w:r w:rsidR="007D3DFF">
        <w:t>physical well</w:t>
      </w:r>
      <w:r w:rsidR="00A32706">
        <w:t>being such as skin cancer checks</w:t>
      </w:r>
      <w:r w:rsidR="000E120D">
        <w:t xml:space="preserve"> and the promotion of </w:t>
      </w:r>
      <w:r w:rsidR="00656F3D">
        <w:t>equity and diversity</w:t>
      </w:r>
      <w:r w:rsidR="000E120D">
        <w:t>,</w:t>
      </w:r>
      <w:r w:rsidR="00656F3D" w:rsidDel="000E120D">
        <w:t xml:space="preserve"> </w:t>
      </w:r>
      <w:r w:rsidR="00E524B7">
        <w:t xml:space="preserve">ensuring a </w:t>
      </w:r>
      <w:r w:rsidR="000E120D">
        <w:t xml:space="preserve">healthy, </w:t>
      </w:r>
      <w:proofErr w:type="gramStart"/>
      <w:r w:rsidR="00E524B7">
        <w:t>respectful</w:t>
      </w:r>
      <w:proofErr w:type="gramEnd"/>
      <w:r w:rsidR="00E524B7">
        <w:t xml:space="preserve"> and inclusive workplace.</w:t>
      </w:r>
    </w:p>
    <w:p w14:paraId="309EA047" w14:textId="359626F5" w:rsidR="001B3BF9" w:rsidRDefault="00361708" w:rsidP="0026370B">
      <w:pPr>
        <w:pStyle w:val="DECHeading3"/>
      </w:pPr>
      <w:bookmarkStart w:id="603" w:name="_Toc172794892"/>
      <w:bookmarkStart w:id="604" w:name="_Toc172806441"/>
      <w:bookmarkStart w:id="605" w:name="_Toc172806727"/>
      <w:bookmarkStart w:id="606" w:name="_Toc172808574"/>
      <w:bookmarkStart w:id="607" w:name="_Toc174605713"/>
      <w:bookmarkStart w:id="608" w:name="_Toc176424851"/>
      <w:bookmarkStart w:id="609" w:name="_Toc176425010"/>
      <w:r>
        <w:lastRenderedPageBreak/>
        <w:t xml:space="preserve">Equity, </w:t>
      </w:r>
      <w:proofErr w:type="gramStart"/>
      <w:r w:rsidR="004561F7">
        <w:t>d</w:t>
      </w:r>
      <w:r>
        <w:t>iversity</w:t>
      </w:r>
      <w:proofErr w:type="gramEnd"/>
      <w:r>
        <w:t xml:space="preserve"> and </w:t>
      </w:r>
      <w:r w:rsidR="004561F7">
        <w:t>i</w:t>
      </w:r>
      <w:r>
        <w:t>nclusion</w:t>
      </w:r>
      <w:bookmarkEnd w:id="603"/>
      <w:bookmarkEnd w:id="604"/>
      <w:bookmarkEnd w:id="605"/>
      <w:bookmarkEnd w:id="606"/>
      <w:bookmarkEnd w:id="607"/>
      <w:bookmarkEnd w:id="608"/>
      <w:bookmarkEnd w:id="609"/>
      <w:r w:rsidR="00A663AF">
        <w:t xml:space="preserve"> </w:t>
      </w:r>
      <w:bookmarkStart w:id="610" w:name="_People_and_performance"/>
      <w:bookmarkStart w:id="611" w:name="_Inclusion_and_Diversity"/>
      <w:bookmarkStart w:id="612" w:name="_Equity,_Diversity_and"/>
      <w:bookmarkEnd w:id="610"/>
      <w:bookmarkEnd w:id="611"/>
      <w:bookmarkEnd w:id="612"/>
    </w:p>
    <w:p w14:paraId="65E27B1E" w14:textId="4D41A38A" w:rsidR="00AF611D" w:rsidRPr="00CD50C7" w:rsidRDefault="009D168E" w:rsidP="006D7047">
      <w:pPr>
        <w:pStyle w:val="BodyText"/>
      </w:pPr>
      <w:r w:rsidRPr="00CD50C7">
        <w:t>In</w:t>
      </w:r>
      <w:r w:rsidRPr="00CD50C7" w:rsidDel="0069185A">
        <w:t xml:space="preserve"> </w:t>
      </w:r>
      <w:r w:rsidR="0069185A" w:rsidRPr="00CD50C7">
        <w:t>2023</w:t>
      </w:r>
      <w:r w:rsidR="00DD51EE">
        <w:t>–</w:t>
      </w:r>
      <w:r w:rsidR="0069185A" w:rsidRPr="00CD50C7">
        <w:t>24</w:t>
      </w:r>
      <w:r w:rsidRPr="00CD50C7">
        <w:t xml:space="preserve">, we continued to build on our commitment to </w:t>
      </w:r>
      <w:r w:rsidR="00A277B6" w:rsidRPr="00CD50C7">
        <w:t>actively progress equity and diversity</w:t>
      </w:r>
      <w:r w:rsidR="00C74E10" w:rsidRPr="00CD50C7">
        <w:t xml:space="preserve">, promote a culture of </w:t>
      </w:r>
      <w:r w:rsidR="0076688C" w:rsidRPr="00CD50C7">
        <w:t xml:space="preserve">respect and inclusion and </w:t>
      </w:r>
      <w:r w:rsidR="001E14AC" w:rsidRPr="00CD50C7">
        <w:t>support the health and wellbeing of our workforce.</w:t>
      </w:r>
    </w:p>
    <w:p w14:paraId="301F8656" w14:textId="30B0FB71" w:rsidR="009D168E" w:rsidRPr="00CD50C7" w:rsidRDefault="00AF611D" w:rsidP="006D7047">
      <w:pPr>
        <w:pStyle w:val="BodyText"/>
      </w:pPr>
      <w:r w:rsidRPr="00CD50C7">
        <w:t>As part of this co</w:t>
      </w:r>
      <w:r w:rsidR="00396D3C" w:rsidRPr="00CD50C7">
        <w:t>mmitment, t</w:t>
      </w:r>
      <w:r w:rsidR="006D7047" w:rsidRPr="00CD50C7">
        <w:t>he department</w:t>
      </w:r>
      <w:r w:rsidR="006D7047" w:rsidRPr="00CD50C7" w:rsidDel="00396D3C">
        <w:t xml:space="preserve"> </w:t>
      </w:r>
      <w:r w:rsidR="003632B6" w:rsidRPr="00CD50C7">
        <w:t xml:space="preserve">continued </w:t>
      </w:r>
      <w:r w:rsidR="006D7047" w:rsidRPr="00CD50C7">
        <w:t xml:space="preserve">to </w:t>
      </w:r>
      <w:r w:rsidR="002C7A26" w:rsidRPr="00CD50C7">
        <w:t xml:space="preserve">work towards </w:t>
      </w:r>
      <w:r w:rsidR="006D7047" w:rsidRPr="00CD50C7">
        <w:t>the sector-wide diversity targets for 2023–2026</w:t>
      </w:r>
      <w:r w:rsidR="00C13B98" w:rsidRPr="00CD50C7">
        <w:t xml:space="preserve"> to</w:t>
      </w:r>
      <w:r w:rsidR="00A23288" w:rsidRPr="00CD50C7">
        <w:t xml:space="preserve"> improve representation and </w:t>
      </w:r>
      <w:r w:rsidR="002F3933" w:rsidRPr="00CD50C7">
        <w:t>employment outcomes for</w:t>
      </w:r>
      <w:r w:rsidR="002119E6" w:rsidRPr="00CD50C7">
        <w:t xml:space="preserve"> Aboriginal </w:t>
      </w:r>
      <w:r w:rsidR="00DD7EA3" w:rsidRPr="00CD50C7">
        <w:t>people</w:t>
      </w:r>
      <w:r w:rsidR="00F87109">
        <w:t>s</w:t>
      </w:r>
      <w:r w:rsidR="00DD7EA3" w:rsidRPr="00CD50C7">
        <w:t xml:space="preserve"> and Torres Str</w:t>
      </w:r>
      <w:r w:rsidR="009212D5" w:rsidRPr="00CD50C7">
        <w:t xml:space="preserve">ait Islander </w:t>
      </w:r>
      <w:r w:rsidR="004A0FC7" w:rsidRPr="00CD50C7">
        <w:t>people</w:t>
      </w:r>
      <w:r w:rsidR="00F87109">
        <w:t>s</w:t>
      </w:r>
      <w:r w:rsidR="004A0FC7" w:rsidRPr="00CD50C7">
        <w:t>, people with disability, people from culturally and linguistically diverse backgrounds, and women</w:t>
      </w:r>
      <w:r w:rsidR="006D7047" w:rsidRPr="00CD50C7">
        <w:t>.</w:t>
      </w:r>
    </w:p>
    <w:p w14:paraId="44716F47" w14:textId="42359E68" w:rsidR="009D168E" w:rsidRPr="00CD50C7" w:rsidRDefault="009D168E" w:rsidP="006D7047">
      <w:pPr>
        <w:ind w:left="360" w:hanging="360"/>
      </w:pPr>
      <w:r w:rsidRPr="00CD50C7">
        <w:t xml:space="preserve">To support this </w:t>
      </w:r>
      <w:r w:rsidRPr="00CD50C7" w:rsidDel="006E42C1">
        <w:t>commitment</w:t>
      </w:r>
      <w:r w:rsidRPr="00CD50C7">
        <w:t>:</w:t>
      </w:r>
    </w:p>
    <w:p w14:paraId="130ECE1F" w14:textId="12E70E62" w:rsidR="00717C78" w:rsidRPr="00CD50C7" w:rsidRDefault="00D50AAB" w:rsidP="08D58E34">
      <w:pPr>
        <w:pStyle w:val="Bulletsround"/>
        <w:keepLines/>
      </w:pPr>
      <w:r>
        <w:t>T</w:t>
      </w:r>
      <w:r w:rsidR="003D26D9">
        <w:t xml:space="preserve">he Equal by 30 </w:t>
      </w:r>
      <w:r w:rsidR="00242467">
        <w:t>campaign</w:t>
      </w:r>
      <w:r w:rsidR="00C622E1">
        <w:t xml:space="preserve"> </w:t>
      </w:r>
      <w:r w:rsidR="003077BA">
        <w:t>was launched</w:t>
      </w:r>
      <w:r w:rsidR="00C622E1">
        <w:t xml:space="preserve"> </w:t>
      </w:r>
      <w:r w:rsidR="004C6E34">
        <w:t xml:space="preserve">to </w:t>
      </w:r>
      <w:r w:rsidR="005A12D6">
        <w:t xml:space="preserve">accelerate </w:t>
      </w:r>
      <w:r w:rsidR="003D129E">
        <w:t>gender equity</w:t>
      </w:r>
      <w:r w:rsidR="00466A11">
        <w:t xml:space="preserve">, </w:t>
      </w:r>
      <w:r w:rsidR="005A12D6">
        <w:t>promote</w:t>
      </w:r>
      <w:r w:rsidR="003D26D9">
        <w:t xml:space="preserve"> equal pay, </w:t>
      </w:r>
      <w:proofErr w:type="gramStart"/>
      <w:r w:rsidR="003D26D9">
        <w:t>leadership</w:t>
      </w:r>
      <w:proofErr w:type="gramEnd"/>
      <w:r w:rsidR="003D26D9">
        <w:t xml:space="preserve"> and opportunit</w:t>
      </w:r>
      <w:r w:rsidR="00681447">
        <w:t>ies for women</w:t>
      </w:r>
      <w:r w:rsidR="003D26D9">
        <w:t xml:space="preserve"> in the clean energy sector by 2030</w:t>
      </w:r>
      <w:r w:rsidR="0026799A">
        <w:t xml:space="preserve">. </w:t>
      </w:r>
      <w:r w:rsidR="00F310D1">
        <w:t>The department</w:t>
      </w:r>
      <w:r w:rsidR="00372C48">
        <w:t xml:space="preserve"> also</w:t>
      </w:r>
      <w:r w:rsidR="00F310D1">
        <w:t xml:space="preserve"> </w:t>
      </w:r>
      <w:r w:rsidR="006D33FC">
        <w:t xml:space="preserve">focused </w:t>
      </w:r>
      <w:r w:rsidR="00EB60D1">
        <w:t xml:space="preserve">internally </w:t>
      </w:r>
      <w:r w:rsidR="006D33FC">
        <w:t xml:space="preserve">on </w:t>
      </w:r>
      <w:r w:rsidR="00D6677E">
        <w:t>gender inclusive recruitment</w:t>
      </w:r>
      <w:r w:rsidR="00A153A6">
        <w:t xml:space="preserve"> and increasing participation of women at all levels and job types</w:t>
      </w:r>
      <w:r w:rsidR="00270697">
        <w:t>.</w:t>
      </w:r>
      <w:r w:rsidR="000A743F">
        <w:t xml:space="preserve"> </w:t>
      </w:r>
      <w:r w:rsidR="00B40F40">
        <w:t>As of 30 June 2024</w:t>
      </w:r>
      <w:r w:rsidR="00A21A0E">
        <w:t>,</w:t>
      </w:r>
      <w:r w:rsidR="000A743F">
        <w:t xml:space="preserve"> the </w:t>
      </w:r>
      <w:r w:rsidR="006C1D07">
        <w:t xml:space="preserve">organisation’s </w:t>
      </w:r>
      <w:r w:rsidR="000A743F">
        <w:t>workforce</w:t>
      </w:r>
      <w:r w:rsidR="00663398">
        <w:t xml:space="preserve"> comprised </w:t>
      </w:r>
      <w:r w:rsidR="7AE16B50">
        <w:t>54.2</w:t>
      </w:r>
      <w:r w:rsidR="00565605">
        <w:t xml:space="preserve"> per cent</w:t>
      </w:r>
      <w:r w:rsidR="00663398">
        <w:t xml:space="preserve"> women</w:t>
      </w:r>
      <w:r w:rsidR="0041416E">
        <w:t xml:space="preserve">. </w:t>
      </w:r>
      <w:r w:rsidR="65FE7FC0">
        <w:t>Overall, t</w:t>
      </w:r>
      <w:r w:rsidR="001465FE" w:rsidRPr="00CD50C7">
        <w:t xml:space="preserve">he </w:t>
      </w:r>
      <w:r w:rsidR="001465FE">
        <w:t xml:space="preserve">target </w:t>
      </w:r>
      <w:r w:rsidR="00E54406">
        <w:t xml:space="preserve">of 50 </w:t>
      </w:r>
      <w:r w:rsidR="00565605">
        <w:t>per cent</w:t>
      </w:r>
      <w:r w:rsidR="00E54406">
        <w:t xml:space="preserve"> </w:t>
      </w:r>
      <w:r w:rsidR="00F320E5">
        <w:t>represen</w:t>
      </w:r>
      <w:r w:rsidR="00BB51A5">
        <w:t>t</w:t>
      </w:r>
      <w:r w:rsidR="00E54406">
        <w:t xml:space="preserve">ation </w:t>
      </w:r>
      <w:r w:rsidR="00F320E5">
        <w:t>of women</w:t>
      </w:r>
      <w:r w:rsidR="00BB51A5">
        <w:t xml:space="preserve"> </w:t>
      </w:r>
      <w:r w:rsidR="00903AE8">
        <w:t xml:space="preserve">at the Senior Officer (SO) level and above </w:t>
      </w:r>
      <w:r w:rsidR="001465FE">
        <w:t xml:space="preserve">was </w:t>
      </w:r>
      <w:r w:rsidR="007E4FE3">
        <w:t>successfully met or exceeded</w:t>
      </w:r>
      <w:r w:rsidR="00C33613" w:rsidRPr="00CD50C7">
        <w:t xml:space="preserve">. </w:t>
      </w:r>
    </w:p>
    <w:p w14:paraId="12D4B06A" w14:textId="77777777" w:rsidR="00CA524F" w:rsidRPr="00CA524F" w:rsidRDefault="00CA524F" w:rsidP="007A178F">
      <w:pPr>
        <w:pStyle w:val="Bulletsround"/>
        <w:keepLines/>
        <w:numPr>
          <w:ilvl w:val="0"/>
          <w:numId w:val="0"/>
        </w:numPr>
        <w:rPr>
          <w:color w:val="0070C0"/>
        </w:rPr>
      </w:pPr>
    </w:p>
    <w:tbl>
      <w:tblPr>
        <w:tblStyle w:val="TableGrid1"/>
        <w:tblW w:w="9072" w:type="dxa"/>
        <w:tblInd w:w="279" w:type="dxa"/>
        <w:tblLayout w:type="fixed"/>
        <w:tblLook w:val="04A0" w:firstRow="1" w:lastRow="0" w:firstColumn="1" w:lastColumn="0" w:noHBand="0" w:noVBand="1"/>
      </w:tblPr>
      <w:tblGrid>
        <w:gridCol w:w="1418"/>
        <w:gridCol w:w="1276"/>
        <w:gridCol w:w="1275"/>
        <w:gridCol w:w="1276"/>
        <w:gridCol w:w="1276"/>
        <w:gridCol w:w="1276"/>
        <w:gridCol w:w="1275"/>
      </w:tblGrid>
      <w:tr w:rsidR="00BC48BA" w:rsidRPr="0003617C" w14:paraId="6750FC64" w14:textId="62AD5762" w:rsidTr="000E2CC2">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D9D9D9"/>
          </w:tcPr>
          <w:p w14:paraId="2299D6C2" w14:textId="53382C96" w:rsidR="00BC48BA" w:rsidRPr="003B1ED0" w:rsidRDefault="00BC48BA" w:rsidP="00D216FF">
            <w:pPr>
              <w:spacing w:before="0" w:after="0"/>
              <w:rPr>
                <w:rFonts w:eastAsia="Calibri" w:cs="Arial"/>
                <w:sz w:val="18"/>
                <w:szCs w:val="18"/>
              </w:rPr>
            </w:pPr>
            <w:r w:rsidRPr="003B1ED0">
              <w:rPr>
                <w:rFonts w:eastAsia="Calibri" w:cs="Arial"/>
                <w:sz w:val="18"/>
                <w:szCs w:val="18"/>
              </w:rPr>
              <w:t>Actual as of 30 June 2024</w:t>
            </w:r>
          </w:p>
          <w:p w14:paraId="17D5719D" w14:textId="77777777" w:rsidR="00BC48BA" w:rsidRPr="003B1ED0" w:rsidRDefault="00BC48BA" w:rsidP="00D216FF">
            <w:pPr>
              <w:spacing w:before="0" w:after="0"/>
              <w:rPr>
                <w:rFonts w:eastAsia="Calibri"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727447E3"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Women in leadership - SO</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14:paraId="71F6B49E"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Women in leadership – SES2</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07BF3A2"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Women in leadership – SES3</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4E3E466C"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Women in leadership – SES4</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6207C65"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Women in leadership - CEO</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2EFE42CA" w14:textId="73E8A2E4" w:rsidR="00BC48BA" w:rsidRPr="003B1ED0" w:rsidRDefault="00BC48BA" w:rsidP="00D216FF">
            <w:pPr>
              <w:spacing w:before="0" w:after="0"/>
              <w:jc w:val="center"/>
              <w:rPr>
                <w:rFonts w:eastAsia="Calibri" w:cs="Arial"/>
                <w:sz w:val="18"/>
                <w:szCs w:val="18"/>
              </w:rPr>
            </w:pPr>
            <w:r>
              <w:rPr>
                <w:rFonts w:eastAsia="Calibri" w:cs="Arial"/>
                <w:sz w:val="18"/>
                <w:szCs w:val="18"/>
              </w:rPr>
              <w:t>Total</w:t>
            </w:r>
            <w:r w:rsidR="00781983">
              <w:rPr>
                <w:rFonts w:eastAsia="Calibri" w:cs="Arial"/>
                <w:sz w:val="18"/>
                <w:szCs w:val="18"/>
              </w:rPr>
              <w:t xml:space="preserve"> Women in leadership</w:t>
            </w:r>
          </w:p>
        </w:tc>
      </w:tr>
      <w:tr w:rsidR="00BC48BA" w:rsidRPr="0003617C" w14:paraId="4F95B4C8" w14:textId="3756E6B7" w:rsidTr="000E2CC2">
        <w:trPr>
          <w:trHeight w:val="275"/>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8EF7008" w14:textId="77777777" w:rsidR="00BC48BA" w:rsidRPr="003B1ED0" w:rsidRDefault="00BC48BA" w:rsidP="00D216FF">
            <w:pPr>
              <w:spacing w:before="0" w:after="0"/>
              <w:rPr>
                <w:rFonts w:eastAsia="Calibri" w:cs="Arial"/>
                <w:sz w:val="18"/>
                <w:szCs w:val="18"/>
              </w:rPr>
            </w:pPr>
            <w:r w:rsidRPr="003B1ED0">
              <w:rPr>
                <w:rFonts w:eastAsia="Calibri" w:cs="Arial"/>
                <w:sz w:val="18"/>
                <w:szCs w:val="18"/>
              </w:rPr>
              <w:t>Target</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04A9A55F"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D9D9D9"/>
            <w:hideMark/>
          </w:tcPr>
          <w:p w14:paraId="7B39E568"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50%</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722B3F3"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50%</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095E6425"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50%</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534A474" w14:textId="77777777" w:rsidR="00BC48BA" w:rsidRPr="003B1ED0" w:rsidRDefault="00BC48BA" w:rsidP="00D216FF">
            <w:pPr>
              <w:spacing w:before="0" w:after="0"/>
              <w:jc w:val="center"/>
              <w:rPr>
                <w:rFonts w:eastAsia="Calibri" w:cs="Arial"/>
                <w:sz w:val="18"/>
                <w:szCs w:val="18"/>
              </w:rPr>
            </w:pPr>
            <w:r w:rsidRPr="003B1ED0">
              <w:rPr>
                <w:rFonts w:eastAsia="Calibri" w:cs="Arial"/>
                <w:sz w:val="18"/>
                <w:szCs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1BDDC63C" w14:textId="25276F56" w:rsidR="00BC48BA" w:rsidRPr="003B1ED0" w:rsidRDefault="00781983" w:rsidP="00D216FF">
            <w:pPr>
              <w:spacing w:before="0" w:after="0"/>
              <w:jc w:val="center"/>
              <w:rPr>
                <w:rFonts w:eastAsia="Calibri" w:cs="Arial"/>
                <w:sz w:val="18"/>
                <w:szCs w:val="18"/>
              </w:rPr>
            </w:pPr>
            <w:r>
              <w:rPr>
                <w:rFonts w:eastAsia="Calibri" w:cs="Arial"/>
                <w:sz w:val="18"/>
                <w:szCs w:val="18"/>
              </w:rPr>
              <w:t>N/A</w:t>
            </w:r>
          </w:p>
        </w:tc>
      </w:tr>
      <w:tr w:rsidR="00F55F91" w:rsidRPr="0003617C" w14:paraId="5DB15EDA" w14:textId="1AED8B16" w:rsidTr="00F55F91">
        <w:trPr>
          <w:trHeight w:val="300"/>
        </w:trPr>
        <w:tc>
          <w:tcPr>
            <w:tcW w:w="1418" w:type="dxa"/>
            <w:tcBorders>
              <w:top w:val="single" w:sz="4" w:space="0" w:color="auto"/>
              <w:left w:val="single" w:sz="4" w:space="0" w:color="auto"/>
              <w:bottom w:val="single" w:sz="4" w:space="0" w:color="auto"/>
              <w:right w:val="single" w:sz="4" w:space="0" w:color="auto"/>
            </w:tcBorders>
            <w:vAlign w:val="center"/>
          </w:tcPr>
          <w:p w14:paraId="3D4530CD" w14:textId="77777777" w:rsidR="00BC48BA" w:rsidRPr="003B1ED0" w:rsidRDefault="00BC48BA" w:rsidP="00781983">
            <w:pPr>
              <w:spacing w:before="0" w:after="0"/>
              <w:rPr>
                <w:rFonts w:eastAsia="Calibri" w:cs="Arial"/>
                <w:b/>
                <w:sz w:val="18"/>
                <w:szCs w:val="18"/>
              </w:rPr>
            </w:pPr>
            <w:r w:rsidRPr="003B1ED0">
              <w:rPr>
                <w:rFonts w:eastAsia="Calibri" w:cs="Arial"/>
                <w:b/>
                <w:sz w:val="18"/>
                <w:szCs w:val="18"/>
              </w:rPr>
              <w:t xml:space="preserve">Department </w:t>
            </w:r>
          </w:p>
        </w:tc>
        <w:tc>
          <w:tcPr>
            <w:tcW w:w="1276" w:type="dxa"/>
            <w:tcBorders>
              <w:top w:val="single" w:sz="4" w:space="0" w:color="auto"/>
              <w:left w:val="single" w:sz="4" w:space="0" w:color="auto"/>
              <w:bottom w:val="single" w:sz="4" w:space="0" w:color="auto"/>
              <w:right w:val="single" w:sz="4" w:space="0" w:color="auto"/>
            </w:tcBorders>
            <w:vAlign w:val="center"/>
          </w:tcPr>
          <w:p w14:paraId="226E01A4" w14:textId="77777777" w:rsidR="00BC48BA" w:rsidRPr="003B1ED0" w:rsidRDefault="00BC48BA" w:rsidP="00781983">
            <w:pPr>
              <w:spacing w:before="0" w:after="0"/>
              <w:jc w:val="center"/>
              <w:rPr>
                <w:rFonts w:eastAsia="Calibri" w:cs="Arial"/>
                <w:b/>
                <w:sz w:val="18"/>
                <w:szCs w:val="18"/>
              </w:rPr>
            </w:pPr>
            <w:r w:rsidRPr="003B1ED0">
              <w:rPr>
                <w:rFonts w:eastAsia="Calibri" w:cs="Arial"/>
                <w:b/>
                <w:sz w:val="18"/>
                <w:szCs w:val="18"/>
              </w:rPr>
              <w:t>57.7%</w:t>
            </w:r>
          </w:p>
        </w:tc>
        <w:tc>
          <w:tcPr>
            <w:tcW w:w="1275" w:type="dxa"/>
            <w:tcBorders>
              <w:top w:val="single" w:sz="4" w:space="0" w:color="auto"/>
              <w:left w:val="single" w:sz="4" w:space="0" w:color="auto"/>
              <w:bottom w:val="single" w:sz="4" w:space="0" w:color="auto"/>
              <w:right w:val="single" w:sz="4" w:space="0" w:color="auto"/>
            </w:tcBorders>
            <w:vAlign w:val="center"/>
          </w:tcPr>
          <w:p w14:paraId="7141A9E5" w14:textId="77777777" w:rsidR="00BC48BA" w:rsidRPr="003B1ED0" w:rsidRDefault="00BC48BA" w:rsidP="00781983">
            <w:pPr>
              <w:spacing w:before="0" w:after="0"/>
              <w:jc w:val="center"/>
              <w:rPr>
                <w:rFonts w:eastAsia="Calibri" w:cs="Arial"/>
                <w:b/>
                <w:sz w:val="18"/>
                <w:szCs w:val="18"/>
              </w:rPr>
            </w:pPr>
            <w:r w:rsidRPr="003B1ED0">
              <w:rPr>
                <w:rFonts w:eastAsia="Calibri" w:cs="Arial"/>
                <w:b/>
                <w:sz w:val="18"/>
                <w:szCs w:val="18"/>
              </w:rPr>
              <w:t>63.2%</w:t>
            </w:r>
          </w:p>
        </w:tc>
        <w:tc>
          <w:tcPr>
            <w:tcW w:w="1276" w:type="dxa"/>
            <w:tcBorders>
              <w:top w:val="single" w:sz="4" w:space="0" w:color="auto"/>
              <w:left w:val="single" w:sz="4" w:space="0" w:color="auto"/>
              <w:bottom w:val="single" w:sz="4" w:space="0" w:color="auto"/>
              <w:right w:val="single" w:sz="4" w:space="0" w:color="auto"/>
            </w:tcBorders>
            <w:vAlign w:val="center"/>
          </w:tcPr>
          <w:p w14:paraId="7F1FB4AB" w14:textId="77777777" w:rsidR="00BC48BA" w:rsidRPr="003B1ED0" w:rsidRDefault="00BC48BA" w:rsidP="00781983">
            <w:pPr>
              <w:spacing w:before="0" w:after="0"/>
              <w:jc w:val="center"/>
              <w:rPr>
                <w:rFonts w:eastAsia="Calibri" w:cs="Arial"/>
                <w:b/>
                <w:sz w:val="18"/>
                <w:szCs w:val="18"/>
              </w:rPr>
            </w:pPr>
            <w:r w:rsidRPr="003B1ED0">
              <w:rPr>
                <w:rFonts w:eastAsia="Calibri" w:cs="Arial"/>
                <w:b/>
                <w:sz w:val="18"/>
                <w:szCs w:val="18"/>
              </w:rPr>
              <w:t>71.4%</w:t>
            </w:r>
          </w:p>
        </w:tc>
        <w:tc>
          <w:tcPr>
            <w:tcW w:w="1276" w:type="dxa"/>
            <w:tcBorders>
              <w:top w:val="single" w:sz="4" w:space="0" w:color="auto"/>
              <w:left w:val="single" w:sz="4" w:space="0" w:color="auto"/>
              <w:bottom w:val="single" w:sz="4" w:space="0" w:color="auto"/>
              <w:right w:val="single" w:sz="4" w:space="0" w:color="auto"/>
            </w:tcBorders>
            <w:vAlign w:val="center"/>
          </w:tcPr>
          <w:p w14:paraId="7E62F556" w14:textId="77777777" w:rsidR="00BC48BA" w:rsidRPr="003B1ED0" w:rsidRDefault="00BC48BA" w:rsidP="00781983">
            <w:pPr>
              <w:spacing w:before="0" w:after="0"/>
              <w:jc w:val="center"/>
              <w:rPr>
                <w:rFonts w:eastAsia="Calibri" w:cs="Arial"/>
                <w:b/>
                <w:sz w:val="18"/>
                <w:szCs w:val="18"/>
              </w:rPr>
            </w:pPr>
            <w:r w:rsidRPr="003B1ED0">
              <w:rPr>
                <w:rFonts w:eastAsia="Calibri" w:cs="Arial"/>
                <w:b/>
                <w:sz w:val="18"/>
                <w:szCs w:val="18"/>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356ACFC4" w14:textId="77777777" w:rsidR="00BC48BA" w:rsidRPr="003B1ED0" w:rsidRDefault="00BC48BA" w:rsidP="00781983">
            <w:pPr>
              <w:spacing w:before="0" w:after="0"/>
              <w:jc w:val="center"/>
              <w:rPr>
                <w:rFonts w:eastAsia="Calibri" w:cs="Arial"/>
                <w:b/>
                <w:sz w:val="18"/>
                <w:szCs w:val="18"/>
              </w:rPr>
            </w:pPr>
            <w:r w:rsidRPr="003B1ED0">
              <w:rPr>
                <w:rFonts w:eastAsia="Calibri" w:cs="Arial"/>
                <w:b/>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5FD7A46" w14:textId="1C1F5171" w:rsidR="00BC48BA" w:rsidRPr="003B1ED0" w:rsidRDefault="00781983" w:rsidP="00781983">
            <w:pPr>
              <w:spacing w:before="0" w:after="0"/>
              <w:jc w:val="center"/>
              <w:rPr>
                <w:rFonts w:eastAsia="Calibri" w:cs="Arial"/>
                <w:b/>
                <w:sz w:val="18"/>
                <w:szCs w:val="18"/>
              </w:rPr>
            </w:pPr>
            <w:r>
              <w:rPr>
                <w:rFonts w:eastAsia="Calibri" w:cs="Arial"/>
                <w:b/>
                <w:sz w:val="18"/>
                <w:szCs w:val="18"/>
              </w:rPr>
              <w:t>59.3%</w:t>
            </w:r>
          </w:p>
        </w:tc>
      </w:tr>
    </w:tbl>
    <w:p w14:paraId="5ACB6102" w14:textId="77777777" w:rsidR="00210159" w:rsidRDefault="00210159" w:rsidP="00CD50C7">
      <w:pPr>
        <w:pStyle w:val="Bulletsround"/>
        <w:keepLines/>
        <w:numPr>
          <w:ilvl w:val="0"/>
          <w:numId w:val="0"/>
        </w:numPr>
        <w:rPr>
          <w:color w:val="0070C0"/>
        </w:rPr>
      </w:pPr>
    </w:p>
    <w:p w14:paraId="32892FB4" w14:textId="44257A35" w:rsidR="00963975" w:rsidRPr="00CD50C7" w:rsidRDefault="00D50AAB" w:rsidP="00113DF0">
      <w:pPr>
        <w:pStyle w:val="Bulletsround"/>
        <w:keepLines/>
        <w:numPr>
          <w:ilvl w:val="0"/>
          <w:numId w:val="14"/>
        </w:numPr>
        <w:ind w:left="360"/>
      </w:pPr>
      <w:r>
        <w:t>W</w:t>
      </w:r>
      <w:r w:rsidR="003077BA" w:rsidRPr="00CD50C7">
        <w:t xml:space="preserve">e </w:t>
      </w:r>
      <w:r w:rsidR="00143458" w:rsidRPr="00CD50C7">
        <w:t>conducted</w:t>
      </w:r>
      <w:r w:rsidR="000570D5" w:rsidRPr="00CD50C7">
        <w:t xml:space="preserve"> </w:t>
      </w:r>
      <w:r w:rsidR="000F686E">
        <w:t>four</w:t>
      </w:r>
      <w:r w:rsidR="000570D5" w:rsidRPr="00CD50C7">
        <w:t xml:space="preserve"> </w:t>
      </w:r>
      <w:r w:rsidR="007C71E7" w:rsidRPr="00CD50C7">
        <w:t xml:space="preserve">senior </w:t>
      </w:r>
      <w:r w:rsidR="000570D5" w:rsidRPr="00CD50C7">
        <w:t>executive recruitment activities</w:t>
      </w:r>
      <w:r w:rsidR="007E659C" w:rsidRPr="00CD50C7">
        <w:t xml:space="preserve"> </w:t>
      </w:r>
      <w:r w:rsidR="006878AE" w:rsidRPr="00CD50C7">
        <w:t>in 2023</w:t>
      </w:r>
      <w:r w:rsidR="007F080A">
        <w:t>–</w:t>
      </w:r>
      <w:r w:rsidR="006878AE" w:rsidRPr="00CD50C7">
        <w:t xml:space="preserve">24 </w:t>
      </w:r>
      <w:r w:rsidR="00977027" w:rsidRPr="00CD50C7">
        <w:t>with</w:t>
      </w:r>
      <w:r w:rsidR="007E659C" w:rsidRPr="00CD50C7">
        <w:t xml:space="preserve"> </w:t>
      </w:r>
      <w:r w:rsidR="000F686E">
        <w:t>three</w:t>
      </w:r>
      <w:r w:rsidR="000A7635" w:rsidRPr="00CD50C7">
        <w:t xml:space="preserve"> women </w:t>
      </w:r>
      <w:r w:rsidR="00E91E04" w:rsidRPr="00CD50C7">
        <w:t>successful</w:t>
      </w:r>
      <w:r w:rsidR="00A639EC" w:rsidRPr="00CD50C7">
        <w:t>ly</w:t>
      </w:r>
      <w:r w:rsidR="00E91E04" w:rsidRPr="00CD50C7">
        <w:t xml:space="preserve"> securing </w:t>
      </w:r>
      <w:r w:rsidR="00203CED" w:rsidRPr="00CD50C7">
        <w:t>a</w:t>
      </w:r>
      <w:r w:rsidR="00E91E04" w:rsidRPr="00CD50C7">
        <w:t xml:space="preserve"> role</w:t>
      </w:r>
      <w:r w:rsidR="00E22BF6" w:rsidRPr="00CD50C7">
        <w:t xml:space="preserve"> from a total of 186 candidates</w:t>
      </w:r>
      <w:r w:rsidR="00035FCB">
        <w:t>.</w:t>
      </w:r>
    </w:p>
    <w:p w14:paraId="75C3EB49" w14:textId="7B32DBCD" w:rsidR="000F199C" w:rsidRPr="00CD50C7" w:rsidRDefault="00D50AAB" w:rsidP="00113DF0">
      <w:pPr>
        <w:pStyle w:val="Bulletsround"/>
        <w:keepLines/>
        <w:numPr>
          <w:ilvl w:val="0"/>
          <w:numId w:val="14"/>
        </w:numPr>
        <w:ind w:left="360"/>
      </w:pPr>
      <w:r>
        <w:t>T</w:t>
      </w:r>
      <w:r w:rsidR="000F199C" w:rsidRPr="00CD50C7">
        <w:t xml:space="preserve">he Women in Leadership network </w:t>
      </w:r>
      <w:r w:rsidR="003077BA" w:rsidRPr="00CD50C7">
        <w:t xml:space="preserve">continued </w:t>
      </w:r>
      <w:r w:rsidR="000F199C" w:rsidRPr="00CD50C7">
        <w:t xml:space="preserve">to enable collaboration and a shared journey with current, </w:t>
      </w:r>
      <w:proofErr w:type="gramStart"/>
      <w:r w:rsidR="000F199C" w:rsidRPr="00CD50C7">
        <w:t>emerging</w:t>
      </w:r>
      <w:proofErr w:type="gramEnd"/>
      <w:r w:rsidR="000F199C" w:rsidRPr="00CD50C7">
        <w:t xml:space="preserve"> and future executive leaders</w:t>
      </w:r>
      <w:r w:rsidR="00035FCB">
        <w:t>.</w:t>
      </w:r>
    </w:p>
    <w:p w14:paraId="5E6A939A" w14:textId="6736B0DD" w:rsidR="00C36161" w:rsidRPr="00CD50C7" w:rsidRDefault="00D50AAB" w:rsidP="00113DF0">
      <w:pPr>
        <w:pStyle w:val="Bulletsround"/>
        <w:keepLines/>
        <w:numPr>
          <w:ilvl w:val="0"/>
          <w:numId w:val="14"/>
        </w:numPr>
        <w:ind w:left="360"/>
      </w:pPr>
      <w:r>
        <w:t>T</w:t>
      </w:r>
      <w:r w:rsidR="00E379D8" w:rsidRPr="00CD50C7">
        <w:t>he</w:t>
      </w:r>
      <w:r w:rsidR="00B65FDC" w:rsidRPr="00CD50C7">
        <w:t xml:space="preserve"> Equity and Diversity wo</w:t>
      </w:r>
      <w:r w:rsidR="00DF4F00" w:rsidRPr="00CD50C7">
        <w:t>r</w:t>
      </w:r>
      <w:r w:rsidR="00B65FDC" w:rsidRPr="00CD50C7">
        <w:t xml:space="preserve">kforce audit </w:t>
      </w:r>
      <w:r w:rsidR="00D94FB8" w:rsidRPr="00CD50C7">
        <w:t>inform</w:t>
      </w:r>
      <w:r w:rsidR="00D749C3" w:rsidRPr="00CD50C7">
        <w:t>ed</w:t>
      </w:r>
      <w:r w:rsidR="00D94FB8" w:rsidRPr="00CD50C7">
        <w:t xml:space="preserve"> the </w:t>
      </w:r>
      <w:r w:rsidR="004D0641" w:rsidRPr="00FA61A7">
        <w:rPr>
          <w:i/>
        </w:rPr>
        <w:t xml:space="preserve">Equity, Diversity, </w:t>
      </w:r>
      <w:proofErr w:type="gramStart"/>
      <w:r w:rsidR="004D0641" w:rsidRPr="00FA61A7">
        <w:rPr>
          <w:i/>
        </w:rPr>
        <w:t>Respect</w:t>
      </w:r>
      <w:proofErr w:type="gramEnd"/>
      <w:r w:rsidR="004D0641" w:rsidRPr="00FA61A7">
        <w:rPr>
          <w:i/>
        </w:rPr>
        <w:t xml:space="preserve"> and Inclusion Plan 2024</w:t>
      </w:r>
      <w:r w:rsidR="006046EC" w:rsidRPr="00FA61A7">
        <w:rPr>
          <w:i/>
          <w:iCs/>
        </w:rPr>
        <w:t>–</w:t>
      </w:r>
      <w:r w:rsidR="004D0641" w:rsidRPr="00FA61A7">
        <w:rPr>
          <w:i/>
        </w:rPr>
        <w:t>2026</w:t>
      </w:r>
      <w:r w:rsidR="009F5267" w:rsidRPr="00CD50C7">
        <w:t xml:space="preserve">. This plan </w:t>
      </w:r>
      <w:r w:rsidR="00E06D66" w:rsidRPr="00CD50C7">
        <w:t>focus</w:t>
      </w:r>
      <w:r w:rsidR="00011B3C" w:rsidRPr="00CD50C7">
        <w:t>es</w:t>
      </w:r>
      <w:r w:rsidR="00E06D66" w:rsidRPr="00CD50C7">
        <w:t xml:space="preserve"> on </w:t>
      </w:r>
      <w:r w:rsidR="006B3A26" w:rsidRPr="00CD50C7">
        <w:t xml:space="preserve">developing a workforce </w:t>
      </w:r>
      <w:r w:rsidR="00D11AAA" w:rsidRPr="00CD50C7">
        <w:t xml:space="preserve">which </w:t>
      </w:r>
      <w:r w:rsidR="006B3A26" w:rsidRPr="00CD50C7">
        <w:t xml:space="preserve">is reflective of the Queensland community, </w:t>
      </w:r>
      <w:r w:rsidR="001726B4" w:rsidRPr="00CD50C7">
        <w:t>foster</w:t>
      </w:r>
      <w:r w:rsidR="00F33E52" w:rsidRPr="00CD50C7">
        <w:t>ing</w:t>
      </w:r>
      <w:r w:rsidR="00E912EB" w:rsidRPr="00CD50C7">
        <w:t xml:space="preserve"> </w:t>
      </w:r>
      <w:r w:rsidR="00DC6F25" w:rsidRPr="00CD50C7">
        <w:t xml:space="preserve">a culture </w:t>
      </w:r>
      <w:r w:rsidR="008C3B23" w:rsidRPr="00CD50C7">
        <w:t xml:space="preserve">based on </w:t>
      </w:r>
      <w:r w:rsidR="00BE288A" w:rsidRPr="00CD50C7">
        <w:t>equal participation</w:t>
      </w:r>
      <w:r w:rsidR="000E2F8C" w:rsidRPr="00CD50C7">
        <w:t xml:space="preserve"> and</w:t>
      </w:r>
      <w:r w:rsidR="00BE4348" w:rsidRPr="00CD50C7">
        <w:t xml:space="preserve"> overcoming barriers</w:t>
      </w:r>
      <w:r w:rsidR="00BF5B3A" w:rsidRPr="00CD50C7">
        <w:t xml:space="preserve"> </w:t>
      </w:r>
      <w:r w:rsidR="00C70103" w:rsidRPr="00CD50C7">
        <w:t xml:space="preserve">to </w:t>
      </w:r>
      <w:r w:rsidR="00BF5B3A" w:rsidRPr="00CD50C7">
        <w:t xml:space="preserve">ensure </w:t>
      </w:r>
      <w:r w:rsidR="000D325F" w:rsidRPr="00CD50C7">
        <w:t xml:space="preserve">everyone feels safe, </w:t>
      </w:r>
      <w:proofErr w:type="gramStart"/>
      <w:r w:rsidR="000D325F" w:rsidRPr="00CD50C7">
        <w:t>valued</w:t>
      </w:r>
      <w:proofErr w:type="gramEnd"/>
      <w:r w:rsidR="00BF5B3A" w:rsidRPr="00CD50C7">
        <w:t xml:space="preserve"> </w:t>
      </w:r>
      <w:r w:rsidR="005A6C30" w:rsidRPr="00CD50C7">
        <w:t>and accepted</w:t>
      </w:r>
      <w:r w:rsidR="00035FCB">
        <w:t>.</w:t>
      </w:r>
    </w:p>
    <w:p w14:paraId="0375FA78" w14:textId="59D110E2" w:rsidR="009D168E" w:rsidRPr="00CD50C7" w:rsidRDefault="00D50AAB" w:rsidP="00113DF0">
      <w:pPr>
        <w:pStyle w:val="Bulletsround"/>
        <w:keepLines/>
        <w:numPr>
          <w:ilvl w:val="0"/>
          <w:numId w:val="14"/>
        </w:numPr>
        <w:ind w:left="360"/>
      </w:pPr>
      <w:r>
        <w:t>W</w:t>
      </w:r>
      <w:r w:rsidR="009C2C1C" w:rsidRPr="00CD50C7">
        <w:t>e</w:t>
      </w:r>
      <w:r w:rsidR="009D168E" w:rsidRPr="00CD50C7">
        <w:t xml:space="preserve"> access</w:t>
      </w:r>
      <w:r w:rsidR="00CA524F" w:rsidRPr="00CD50C7">
        <w:t>ed</w:t>
      </w:r>
      <w:r w:rsidR="009D168E" w:rsidRPr="00CD50C7">
        <w:t xml:space="preserve"> </w:t>
      </w:r>
      <w:r w:rsidR="00CA524F" w:rsidRPr="00CD50C7">
        <w:t>diverse</w:t>
      </w:r>
      <w:r w:rsidR="009D168E" w:rsidRPr="00CD50C7">
        <w:t xml:space="preserve"> talent by connecting with our external partners including RSL Queensland</w:t>
      </w:r>
      <w:r w:rsidR="009D168E" w:rsidRPr="00CD50C7" w:rsidDel="00947B18">
        <w:t xml:space="preserve"> </w:t>
      </w:r>
      <w:r w:rsidR="009D168E" w:rsidRPr="00CD50C7">
        <w:t xml:space="preserve">and Job Access, a national hub for workplace and employment information for people with </w:t>
      </w:r>
      <w:r w:rsidR="00281A3F" w:rsidRPr="00CD50C7">
        <w:t>disability</w:t>
      </w:r>
      <w:r w:rsidR="00281A3F">
        <w:t xml:space="preserve"> and</w:t>
      </w:r>
      <w:r w:rsidR="008C601F" w:rsidRPr="00CD50C7">
        <w:t xml:space="preserve"> support</w:t>
      </w:r>
      <w:r w:rsidR="00895D17">
        <w:t>ed</w:t>
      </w:r>
      <w:r w:rsidR="009D168E" w:rsidRPr="00CD50C7" w:rsidDel="00895D17">
        <w:t xml:space="preserve"> </w:t>
      </w:r>
      <w:r w:rsidR="009D168E" w:rsidRPr="00CD50C7">
        <w:t xml:space="preserve">the </w:t>
      </w:r>
      <w:r w:rsidR="00895D17">
        <w:t xml:space="preserve">departmental </w:t>
      </w:r>
      <w:r w:rsidR="009D168E" w:rsidRPr="00CD50C7">
        <w:t xml:space="preserve">Disability Champion and </w:t>
      </w:r>
      <w:r w:rsidR="00823C9D" w:rsidRPr="00CD50C7">
        <w:t xml:space="preserve">the </w:t>
      </w:r>
      <w:r w:rsidR="009D168E" w:rsidRPr="00CD50C7">
        <w:t xml:space="preserve">Disability Network to </w:t>
      </w:r>
      <w:r w:rsidR="00974FCD" w:rsidRPr="00CD50C7">
        <w:t xml:space="preserve">inspire </w:t>
      </w:r>
      <w:r w:rsidR="009D168E" w:rsidRPr="00CD50C7">
        <w:t>positive change and increase accessibility</w:t>
      </w:r>
      <w:r w:rsidR="00035FCB">
        <w:t>.</w:t>
      </w:r>
    </w:p>
    <w:p w14:paraId="7154862F" w14:textId="7D1FFCE3" w:rsidR="00477B1C" w:rsidRPr="00CD50C7" w:rsidRDefault="00D50AAB" w:rsidP="00113DF0">
      <w:pPr>
        <w:pStyle w:val="Bulletsround"/>
        <w:keepLines/>
        <w:numPr>
          <w:ilvl w:val="0"/>
          <w:numId w:val="18"/>
        </w:numPr>
        <w:ind w:left="360"/>
      </w:pPr>
      <w:r>
        <w:t>T</w:t>
      </w:r>
      <w:r w:rsidR="00DB1F23" w:rsidRPr="00CD50C7">
        <w:t xml:space="preserve">he ‘Driving disability employment seminar’ </w:t>
      </w:r>
      <w:r w:rsidR="00664651" w:rsidRPr="00CD50C7">
        <w:t xml:space="preserve">was delivered </w:t>
      </w:r>
      <w:r w:rsidR="00DB1F23" w:rsidRPr="00CD50C7">
        <w:t>in partnership with Job Access</w:t>
      </w:r>
      <w:r w:rsidR="00DA1718" w:rsidRPr="00CD50C7">
        <w:t xml:space="preserve"> </w:t>
      </w:r>
      <w:r w:rsidR="004E1C16" w:rsidRPr="00CD50C7">
        <w:t xml:space="preserve">to over 100 </w:t>
      </w:r>
      <w:r w:rsidR="009D000D" w:rsidRPr="00CD50C7">
        <w:t>attendees from public and private sector agencies</w:t>
      </w:r>
      <w:r w:rsidR="00CD3D6E" w:rsidRPr="00CD50C7">
        <w:t xml:space="preserve"> and organisations</w:t>
      </w:r>
      <w:r w:rsidR="00432547" w:rsidRPr="00CD50C7">
        <w:t xml:space="preserve"> </w:t>
      </w:r>
      <w:r w:rsidR="00EA2E9A" w:rsidRPr="00CD50C7">
        <w:t xml:space="preserve">introduced </w:t>
      </w:r>
      <w:r w:rsidR="000C7439" w:rsidRPr="00CD50C7">
        <w:t xml:space="preserve">the Equity, Diversity, </w:t>
      </w:r>
      <w:proofErr w:type="gramStart"/>
      <w:r w:rsidR="000C7439" w:rsidRPr="00CD50C7">
        <w:t>Respect</w:t>
      </w:r>
      <w:proofErr w:type="gramEnd"/>
      <w:r w:rsidR="000C7439" w:rsidRPr="00CD50C7">
        <w:t xml:space="preserve"> and Inclusion Champion </w:t>
      </w:r>
      <w:r w:rsidR="00342315" w:rsidRPr="00CD50C7">
        <w:t xml:space="preserve">to </w:t>
      </w:r>
      <w:r w:rsidR="008D52CD" w:rsidRPr="00CD50C7">
        <w:t xml:space="preserve">lead an Employee Refence Group </w:t>
      </w:r>
      <w:r w:rsidR="00FF7C93" w:rsidRPr="00CD50C7">
        <w:t>and</w:t>
      </w:r>
      <w:r w:rsidR="00C30703" w:rsidRPr="00CD50C7">
        <w:t xml:space="preserve"> build on </w:t>
      </w:r>
      <w:r w:rsidR="00A72CA5" w:rsidRPr="00CD50C7">
        <w:t xml:space="preserve">shaping </w:t>
      </w:r>
      <w:r w:rsidR="00553DB2" w:rsidRPr="00CD50C7">
        <w:t xml:space="preserve">a </w:t>
      </w:r>
      <w:r w:rsidR="0075718B" w:rsidRPr="00CD50C7">
        <w:t>positive</w:t>
      </w:r>
      <w:r w:rsidR="00192A6F" w:rsidRPr="00CD50C7">
        <w:t>, healthy and r</w:t>
      </w:r>
      <w:r w:rsidR="00F60C0A" w:rsidRPr="00CD50C7">
        <w:t>espectful</w:t>
      </w:r>
      <w:r w:rsidR="0075718B" w:rsidRPr="00CD50C7">
        <w:t xml:space="preserve"> </w:t>
      </w:r>
      <w:r w:rsidR="00046173" w:rsidRPr="00CD50C7">
        <w:t xml:space="preserve">workplace </w:t>
      </w:r>
      <w:r w:rsidR="00553DB2" w:rsidRPr="00CD50C7">
        <w:t>culture</w:t>
      </w:r>
      <w:r w:rsidR="006E6598" w:rsidRPr="00CD50C7">
        <w:t>.</w:t>
      </w:r>
      <w:r w:rsidR="00553DB2" w:rsidRPr="00CD50C7">
        <w:t xml:space="preserve"> </w:t>
      </w:r>
      <w:r w:rsidR="008D52CD" w:rsidRPr="00CD50C7">
        <w:t xml:space="preserve"> </w:t>
      </w:r>
    </w:p>
    <w:p w14:paraId="78A42634" w14:textId="77777777" w:rsidR="009D168E" w:rsidRPr="00CD50C7" w:rsidRDefault="009D168E" w:rsidP="00CD50C7">
      <w:pPr>
        <w:pStyle w:val="Bulletsround"/>
        <w:keepLines/>
        <w:numPr>
          <w:ilvl w:val="0"/>
          <w:numId w:val="0"/>
        </w:numPr>
      </w:pPr>
      <w:r w:rsidRPr="00CD50C7">
        <w:t>To build knowledge and understanding:</w:t>
      </w:r>
    </w:p>
    <w:p w14:paraId="4C5A9618" w14:textId="49D32F56" w:rsidR="009D168E" w:rsidRPr="00CD50C7" w:rsidRDefault="00D50AAB" w:rsidP="00113DF0">
      <w:pPr>
        <w:pStyle w:val="Bulletsround"/>
        <w:keepLines/>
        <w:numPr>
          <w:ilvl w:val="0"/>
          <w:numId w:val="14"/>
        </w:numPr>
        <w:ind w:left="364"/>
      </w:pPr>
      <w:r>
        <w:t>S</w:t>
      </w:r>
      <w:r w:rsidR="009D168E" w:rsidRPr="00CD50C7">
        <w:t xml:space="preserve">taff were provided access to contemporary research, </w:t>
      </w:r>
      <w:proofErr w:type="gramStart"/>
      <w:r w:rsidR="009D168E" w:rsidRPr="00CD50C7">
        <w:t>resources</w:t>
      </w:r>
      <w:proofErr w:type="gramEnd"/>
      <w:r w:rsidR="009D168E" w:rsidRPr="00CD50C7">
        <w:t xml:space="preserve"> and webinars via the department's membership of the Diversity Council of Australia</w:t>
      </w:r>
      <w:r w:rsidR="00035FCB">
        <w:t>.</w:t>
      </w:r>
    </w:p>
    <w:p w14:paraId="4A3D04A3" w14:textId="456C8150" w:rsidR="009D168E" w:rsidRPr="00CD50C7" w:rsidRDefault="00D50AAB" w:rsidP="00113DF0">
      <w:pPr>
        <w:pStyle w:val="Bulletsround"/>
        <w:keepLines/>
        <w:numPr>
          <w:ilvl w:val="0"/>
          <w:numId w:val="14"/>
        </w:numPr>
        <w:ind w:left="364"/>
      </w:pPr>
      <w:r>
        <w:t>W</w:t>
      </w:r>
      <w:r w:rsidR="009D168E" w:rsidRPr="00CD50C7">
        <w:t xml:space="preserve">e affirmed our commitment to a diverse and inclusive workplace by celebrating and promoting significant events, including NAIDOC Week, Disability Action Week and Multicultural </w:t>
      </w:r>
      <w:r w:rsidR="002C2DBD" w:rsidRPr="00CD50C7">
        <w:t xml:space="preserve">Queensland </w:t>
      </w:r>
      <w:r w:rsidR="009D168E" w:rsidRPr="00CD50C7">
        <w:t>Month.</w:t>
      </w:r>
    </w:p>
    <w:p w14:paraId="51DB5F52" w14:textId="77777777" w:rsidR="00274120" w:rsidDel="00A36F95" w:rsidRDefault="00274120" w:rsidP="009D168E">
      <w:pPr>
        <w:pStyle w:val="BodyText"/>
      </w:pPr>
    </w:p>
    <w:p w14:paraId="49636576" w14:textId="77777777" w:rsidR="00F6175D" w:rsidRDefault="00F6175D" w:rsidP="009D168E">
      <w:pPr>
        <w:pStyle w:val="BodyText"/>
      </w:pPr>
    </w:p>
    <w:p w14:paraId="21E7CCF7" w14:textId="32335932" w:rsidR="009D168E" w:rsidRPr="00CD50C7" w:rsidRDefault="009D168E" w:rsidP="009D168E">
      <w:pPr>
        <w:pStyle w:val="BodyText"/>
      </w:pPr>
      <w:r w:rsidRPr="00CD50C7">
        <w:lastRenderedPageBreak/>
        <w:t>To continue developing cultural capability:</w:t>
      </w:r>
    </w:p>
    <w:p w14:paraId="6C3CC76B" w14:textId="557D3051" w:rsidR="00B4005E" w:rsidRPr="00CD50C7" w:rsidRDefault="00D50AAB" w:rsidP="00113DF0">
      <w:pPr>
        <w:pStyle w:val="Bulletsround"/>
        <w:keepLines/>
        <w:numPr>
          <w:ilvl w:val="0"/>
          <w:numId w:val="14"/>
        </w:numPr>
        <w:ind w:left="284"/>
      </w:pPr>
      <w:r>
        <w:t>T</w:t>
      </w:r>
      <w:r w:rsidR="00A56953" w:rsidRPr="00CD50C7">
        <w:t xml:space="preserve">he </w:t>
      </w:r>
      <w:r w:rsidR="00A56953" w:rsidRPr="00175120">
        <w:rPr>
          <w:i/>
        </w:rPr>
        <w:t>Reframing the Relationship Plan 2024</w:t>
      </w:r>
      <w:r w:rsidR="00175120" w:rsidRPr="00175120">
        <w:rPr>
          <w:i/>
          <w:iCs/>
        </w:rPr>
        <w:t>–</w:t>
      </w:r>
      <w:r w:rsidR="00A56953" w:rsidRPr="00175120">
        <w:rPr>
          <w:i/>
        </w:rPr>
        <w:t>2026</w:t>
      </w:r>
      <w:r w:rsidR="00A56953" w:rsidRPr="00CD50C7">
        <w:t xml:space="preserve"> </w:t>
      </w:r>
      <w:r w:rsidR="009A50C8" w:rsidRPr="00CD50C7">
        <w:t>was launched</w:t>
      </w:r>
      <w:r w:rsidR="00876798" w:rsidRPr="00CD50C7">
        <w:t xml:space="preserve">. The plan </w:t>
      </w:r>
      <w:r w:rsidR="00F0681A" w:rsidRPr="00CD50C7">
        <w:t>outline</w:t>
      </w:r>
      <w:r w:rsidR="00876798" w:rsidRPr="00CD50C7">
        <w:t>s</w:t>
      </w:r>
      <w:r w:rsidR="00F0681A" w:rsidRPr="00CD50C7">
        <w:t xml:space="preserve"> actions and commitments to </w:t>
      </w:r>
      <w:r w:rsidR="006039E8" w:rsidRPr="00CD50C7">
        <w:t xml:space="preserve">Aboriginal peoples and Torres Strait Islander peoples </w:t>
      </w:r>
      <w:r w:rsidR="00CA524F" w:rsidRPr="00CD50C7">
        <w:t xml:space="preserve">by moving forward together </w:t>
      </w:r>
      <w:r w:rsidR="004C5871" w:rsidRPr="00CD50C7">
        <w:t xml:space="preserve">with </w:t>
      </w:r>
      <w:r w:rsidR="00AA4D8C" w:rsidRPr="00CD50C7">
        <w:t>mutual respect, recognition</w:t>
      </w:r>
      <w:r w:rsidR="00BD0693">
        <w:t>,</w:t>
      </w:r>
      <w:r w:rsidR="00AA4D8C" w:rsidRPr="00CD50C7">
        <w:t xml:space="preserve"> and a willingness to speak the truth</w:t>
      </w:r>
      <w:r w:rsidR="003F1348" w:rsidRPr="00CD50C7">
        <w:t xml:space="preserve"> </w:t>
      </w:r>
      <w:r w:rsidR="00EE5141" w:rsidRPr="00CD50C7">
        <w:t>and support self-determination</w:t>
      </w:r>
      <w:r w:rsidR="00035FCB">
        <w:t>.</w:t>
      </w:r>
      <w:r w:rsidR="00960950" w:rsidRPr="00CD50C7">
        <w:t xml:space="preserve"> </w:t>
      </w:r>
      <w:r w:rsidR="00A56953" w:rsidRPr="00CD50C7">
        <w:t xml:space="preserve"> </w:t>
      </w:r>
    </w:p>
    <w:p w14:paraId="530E9CBC" w14:textId="3D2E5F7F" w:rsidR="009D168E" w:rsidRPr="00CD50C7" w:rsidRDefault="00D50AAB" w:rsidP="00113DF0">
      <w:pPr>
        <w:pStyle w:val="Bulletsround"/>
        <w:keepLines/>
        <w:numPr>
          <w:ilvl w:val="0"/>
          <w:numId w:val="14"/>
        </w:numPr>
        <w:ind w:left="284"/>
      </w:pPr>
      <w:r>
        <w:t>T</w:t>
      </w:r>
      <w:r w:rsidR="009D168E" w:rsidRPr="00CD50C7">
        <w:t xml:space="preserve">he </w:t>
      </w:r>
      <w:r w:rsidR="00AC63C3" w:rsidRPr="00CD50C7">
        <w:t xml:space="preserve">department contributed to the </w:t>
      </w:r>
      <w:r w:rsidR="009D168E" w:rsidRPr="00CD50C7">
        <w:t xml:space="preserve">Public Sector Commissions’ Aboriginal and Torres Strait Islander Career Pathways </w:t>
      </w:r>
      <w:r w:rsidR="00AC63C3" w:rsidRPr="00CD50C7">
        <w:t xml:space="preserve">training </w:t>
      </w:r>
      <w:r w:rsidR="009D168E" w:rsidRPr="00CD50C7">
        <w:t>program</w:t>
      </w:r>
      <w:r w:rsidR="00035FCB">
        <w:t>.</w:t>
      </w:r>
    </w:p>
    <w:p w14:paraId="4F58AA55" w14:textId="0F7D89B1" w:rsidR="005E5E6C" w:rsidRPr="00CD50C7" w:rsidRDefault="00D50AAB" w:rsidP="00113DF0">
      <w:pPr>
        <w:pStyle w:val="Bulletsround"/>
        <w:keepLines/>
        <w:numPr>
          <w:ilvl w:val="0"/>
          <w:numId w:val="14"/>
        </w:numPr>
        <w:ind w:left="284"/>
      </w:pPr>
      <w:r>
        <w:t>T</w:t>
      </w:r>
      <w:r w:rsidR="005E5E6C" w:rsidRPr="00CD50C7">
        <w:t xml:space="preserve">he ‘Racism </w:t>
      </w:r>
      <w:r w:rsidR="005F71AB" w:rsidRPr="00CD50C7">
        <w:t>–</w:t>
      </w:r>
      <w:r w:rsidR="00542ACE" w:rsidRPr="00CD50C7">
        <w:t xml:space="preserve"> </w:t>
      </w:r>
      <w:r w:rsidR="005F71AB" w:rsidRPr="00CD50C7">
        <w:t>It stops with me</w:t>
      </w:r>
      <w:r w:rsidR="002D0795" w:rsidRPr="00CD50C7">
        <w:t>’</w:t>
      </w:r>
      <w:r w:rsidR="005F71AB" w:rsidRPr="00CD50C7">
        <w:t xml:space="preserve"> campaign</w:t>
      </w:r>
      <w:r w:rsidR="00274851" w:rsidRPr="00CD50C7">
        <w:t xml:space="preserve"> was accessible to all </w:t>
      </w:r>
      <w:r w:rsidR="005C3332" w:rsidRPr="00CD50C7">
        <w:t>employees</w:t>
      </w:r>
      <w:r w:rsidR="00035FCB">
        <w:t>.</w:t>
      </w:r>
    </w:p>
    <w:p w14:paraId="42AA0D19" w14:textId="59457D4E" w:rsidR="00361708" w:rsidRPr="006E03E9" w:rsidRDefault="00D50AAB" w:rsidP="00113DF0">
      <w:pPr>
        <w:pStyle w:val="Bulletsround"/>
        <w:keepLines/>
        <w:numPr>
          <w:ilvl w:val="0"/>
          <w:numId w:val="14"/>
        </w:numPr>
        <w:ind w:left="284"/>
      </w:pPr>
      <w:r>
        <w:t>A</w:t>
      </w:r>
      <w:r w:rsidR="009D168E" w:rsidRPr="00CD50C7">
        <w:t xml:space="preserve">ll employees were </w:t>
      </w:r>
      <w:r w:rsidR="005C3332" w:rsidRPr="00CD50C7">
        <w:t xml:space="preserve">also </w:t>
      </w:r>
      <w:r w:rsidR="009D168E" w:rsidRPr="00CD50C7">
        <w:t>required to complete a mandatory SBS First Nations online training module.</w:t>
      </w:r>
    </w:p>
    <w:p w14:paraId="1B7F4BEB" w14:textId="2B072991" w:rsidR="00F0727F" w:rsidRPr="009E5AD2" w:rsidRDefault="00B27B1F" w:rsidP="0026370B">
      <w:pPr>
        <w:pStyle w:val="DECHeading3"/>
      </w:pPr>
      <w:bookmarkStart w:id="613" w:name="_Our_industrial_and"/>
      <w:bookmarkStart w:id="614" w:name="_Toc172794893"/>
      <w:bookmarkStart w:id="615" w:name="_Toc172806442"/>
      <w:bookmarkStart w:id="616" w:name="_Toc172806728"/>
      <w:bookmarkStart w:id="617" w:name="_Toc172808575"/>
      <w:bookmarkStart w:id="618" w:name="_Toc174605714"/>
      <w:bookmarkStart w:id="619" w:name="_Toc176424852"/>
      <w:bookmarkStart w:id="620" w:name="_Toc176425011"/>
      <w:bookmarkEnd w:id="613"/>
      <w:r w:rsidRPr="005133CA">
        <w:t>Our industrial and employee relations framework</w:t>
      </w:r>
      <w:bookmarkEnd w:id="614"/>
      <w:bookmarkEnd w:id="615"/>
      <w:bookmarkEnd w:id="616"/>
      <w:bookmarkEnd w:id="617"/>
      <w:bookmarkEnd w:id="618"/>
      <w:bookmarkEnd w:id="619"/>
      <w:bookmarkEnd w:id="620"/>
      <w:r w:rsidR="00A663AF">
        <w:t xml:space="preserve"> </w:t>
      </w:r>
    </w:p>
    <w:p w14:paraId="694CCC31" w14:textId="3D59F5C0" w:rsidR="00686A19" w:rsidRPr="00CD067E" w:rsidRDefault="00686A19" w:rsidP="007D5C38">
      <w:pPr>
        <w:pStyle w:val="BodyText"/>
        <w:rPr>
          <w:color w:val="000000" w:themeColor="text1"/>
        </w:rPr>
      </w:pPr>
      <w:r w:rsidRPr="00CD067E">
        <w:rPr>
          <w:color w:val="000000" w:themeColor="text1"/>
        </w:rPr>
        <w:t xml:space="preserve">As </w:t>
      </w:r>
      <w:proofErr w:type="gramStart"/>
      <w:r w:rsidRPr="00CD067E">
        <w:rPr>
          <w:color w:val="000000" w:themeColor="text1"/>
        </w:rPr>
        <w:t>at</w:t>
      </w:r>
      <w:proofErr w:type="gramEnd"/>
      <w:r w:rsidRPr="00CD067E">
        <w:rPr>
          <w:color w:val="000000" w:themeColor="text1"/>
        </w:rPr>
        <w:t xml:space="preserve"> 30 June </w:t>
      </w:r>
      <w:r w:rsidR="00ED519A" w:rsidRPr="00CD067E">
        <w:rPr>
          <w:color w:val="000000" w:themeColor="text1"/>
        </w:rPr>
        <w:t>202</w:t>
      </w:r>
      <w:r w:rsidR="00ED122D">
        <w:rPr>
          <w:color w:val="000000" w:themeColor="text1"/>
        </w:rPr>
        <w:t>4</w:t>
      </w:r>
      <w:r w:rsidRPr="00CD067E">
        <w:rPr>
          <w:color w:val="000000" w:themeColor="text1"/>
        </w:rPr>
        <w:t xml:space="preserve">, there are </w:t>
      </w:r>
      <w:r w:rsidR="006B051D">
        <w:rPr>
          <w:color w:val="000000" w:themeColor="text1"/>
        </w:rPr>
        <w:t>two</w:t>
      </w:r>
      <w:r w:rsidRPr="00CD067E">
        <w:rPr>
          <w:color w:val="000000" w:themeColor="text1"/>
        </w:rPr>
        <w:t xml:space="preserve"> certified agreements covering employees in the Department of Energy and </w:t>
      </w:r>
      <w:r w:rsidR="006B051D">
        <w:rPr>
          <w:color w:val="000000" w:themeColor="text1"/>
        </w:rPr>
        <w:t>Climate:</w:t>
      </w:r>
      <w:r w:rsidRPr="00CD067E">
        <w:rPr>
          <w:color w:val="000000" w:themeColor="text1"/>
        </w:rPr>
        <w:t xml:space="preserve"> </w:t>
      </w:r>
    </w:p>
    <w:p w14:paraId="501266CD" w14:textId="4453F689" w:rsidR="00686A19" w:rsidRPr="00CD067E" w:rsidRDefault="00686A19" w:rsidP="001D7BC5">
      <w:pPr>
        <w:pStyle w:val="ListParagraph"/>
        <w:rPr>
          <w:color w:val="000000" w:themeColor="text1"/>
        </w:rPr>
      </w:pPr>
      <w:r w:rsidRPr="467F2A48">
        <w:rPr>
          <w:color w:val="000000" w:themeColor="text2"/>
        </w:rPr>
        <w:t xml:space="preserve">QFleet </w:t>
      </w:r>
      <w:r w:rsidR="00A020A9" w:rsidRPr="467F2A48">
        <w:rPr>
          <w:color w:val="000000" w:themeColor="text2"/>
        </w:rPr>
        <w:t>Certified</w:t>
      </w:r>
      <w:r w:rsidRPr="467F2A48">
        <w:rPr>
          <w:color w:val="000000" w:themeColor="text2"/>
        </w:rPr>
        <w:t xml:space="preserve"> Agreement </w:t>
      </w:r>
      <w:r w:rsidR="005346BD" w:rsidRPr="467F2A48">
        <w:rPr>
          <w:color w:val="000000" w:themeColor="text2"/>
        </w:rPr>
        <w:t>2022</w:t>
      </w:r>
      <w:r w:rsidRPr="467F2A48">
        <w:rPr>
          <w:color w:val="000000" w:themeColor="text2"/>
        </w:rPr>
        <w:t xml:space="preserve"> – covering QFleet </w:t>
      </w:r>
      <w:proofErr w:type="gramStart"/>
      <w:r w:rsidR="00A020A9" w:rsidRPr="467F2A48">
        <w:rPr>
          <w:color w:val="000000" w:themeColor="text2"/>
        </w:rPr>
        <w:t>staff</w:t>
      </w:r>
      <w:proofErr w:type="gramEnd"/>
    </w:p>
    <w:p w14:paraId="6CFE9B10" w14:textId="716F7C8C" w:rsidR="00686A19" w:rsidRPr="00CD067E" w:rsidRDefault="00686A19" w:rsidP="001D7BC5">
      <w:pPr>
        <w:pStyle w:val="ListParagraph"/>
        <w:rPr>
          <w:color w:val="000000" w:themeColor="text1"/>
        </w:rPr>
      </w:pPr>
      <w:r w:rsidRPr="467F2A48">
        <w:rPr>
          <w:color w:val="000000" w:themeColor="text2"/>
        </w:rPr>
        <w:t xml:space="preserve">State Government Entities’ </w:t>
      </w:r>
      <w:r w:rsidR="00A020A9" w:rsidRPr="467F2A48">
        <w:rPr>
          <w:color w:val="000000" w:themeColor="text2"/>
        </w:rPr>
        <w:t>Certified</w:t>
      </w:r>
      <w:r w:rsidRPr="467F2A48">
        <w:rPr>
          <w:color w:val="000000" w:themeColor="text2"/>
        </w:rPr>
        <w:t xml:space="preserve"> Agreement </w:t>
      </w:r>
      <w:r w:rsidR="005346BD" w:rsidRPr="467F2A48">
        <w:rPr>
          <w:color w:val="000000" w:themeColor="text2"/>
        </w:rPr>
        <w:t>2023</w:t>
      </w:r>
      <w:r w:rsidRPr="467F2A48">
        <w:rPr>
          <w:color w:val="000000" w:themeColor="text2"/>
        </w:rPr>
        <w:t xml:space="preserve"> (Core Agreement) – covering the remainder of the department’s </w:t>
      </w:r>
      <w:r w:rsidR="008D0EC2" w:rsidRPr="467F2A48">
        <w:rPr>
          <w:color w:val="000000" w:themeColor="text2"/>
        </w:rPr>
        <w:t>industrial instrument employees</w:t>
      </w:r>
      <w:r w:rsidR="005C1E8B">
        <w:rPr>
          <w:color w:val="000000" w:themeColor="text2"/>
        </w:rPr>
        <w:t>.</w:t>
      </w:r>
    </w:p>
    <w:p w14:paraId="615A6B6D" w14:textId="27E5679D" w:rsidR="00686A19" w:rsidRPr="00146F06" w:rsidRDefault="00686A19" w:rsidP="007D5C38">
      <w:pPr>
        <w:pStyle w:val="BodyText"/>
      </w:pPr>
      <w:r w:rsidRPr="00146F06">
        <w:t>The department continues to support the government’s policies on the contracting-out of services, union encouragement and employment security</w:t>
      </w:r>
      <w:r w:rsidR="001618AC">
        <w:t>.</w:t>
      </w:r>
    </w:p>
    <w:p w14:paraId="4FB7C4CC" w14:textId="12802259" w:rsidR="00992782" w:rsidRDefault="00686A19" w:rsidP="007D5C38">
      <w:pPr>
        <w:pStyle w:val="BodyText"/>
      </w:pPr>
      <w:r w:rsidRPr="00146F06">
        <w:t>The department is committed to stability and employment security for its employees. We maximise permanent employment through the continued conversion of temporary employees to permanent, where possible. The department also limits the contracting-out of services.</w:t>
      </w:r>
      <w:r w:rsidRPr="0097106B">
        <w:t xml:space="preserve"> </w:t>
      </w:r>
    </w:p>
    <w:p w14:paraId="55218796" w14:textId="4E45F245" w:rsidR="00F963D1" w:rsidRPr="00F963D1" w:rsidRDefault="008535B4" w:rsidP="0026370B">
      <w:pPr>
        <w:pStyle w:val="DECHeading3"/>
      </w:pPr>
      <w:bookmarkStart w:id="621" w:name="_Toc172794894"/>
      <w:bookmarkStart w:id="622" w:name="_Toc172806443"/>
      <w:bookmarkStart w:id="623" w:name="_Toc172806729"/>
      <w:bookmarkStart w:id="624" w:name="_Toc172808576"/>
      <w:bookmarkStart w:id="625" w:name="_Toc174605715"/>
      <w:bookmarkStart w:id="626" w:name="_Toc176424853"/>
      <w:bookmarkStart w:id="627" w:name="_Toc176425012"/>
      <w:bookmarkStart w:id="628" w:name="_Toc111189233"/>
      <w:bookmarkStart w:id="629" w:name="_Toc138317861"/>
      <w:r w:rsidRPr="005133CA">
        <w:t>Embedding human rights</w:t>
      </w:r>
      <w:bookmarkEnd w:id="621"/>
      <w:bookmarkEnd w:id="622"/>
      <w:bookmarkEnd w:id="623"/>
      <w:bookmarkEnd w:id="624"/>
      <w:bookmarkEnd w:id="625"/>
      <w:bookmarkEnd w:id="626"/>
      <w:bookmarkEnd w:id="627"/>
      <w:r w:rsidRPr="005133CA">
        <w:t xml:space="preserve"> </w:t>
      </w:r>
    </w:p>
    <w:p w14:paraId="535376CC" w14:textId="77777777" w:rsidR="00521EF8" w:rsidRDefault="008535B4" w:rsidP="008535B4">
      <w:pPr>
        <w:pStyle w:val="BodyText"/>
        <w:rPr>
          <w:color w:val="000000" w:themeColor="text1"/>
        </w:rPr>
      </w:pPr>
      <w:r w:rsidRPr="00C12777">
        <w:rPr>
          <w:color w:val="000000" w:themeColor="text1"/>
        </w:rPr>
        <w:t xml:space="preserve">The Department of Energy and </w:t>
      </w:r>
      <w:r w:rsidR="002030DC">
        <w:rPr>
          <w:color w:val="000000" w:themeColor="text1"/>
        </w:rPr>
        <w:t>Climate</w:t>
      </w:r>
      <w:r w:rsidRPr="00C12777">
        <w:rPr>
          <w:color w:val="000000" w:themeColor="text1"/>
        </w:rPr>
        <w:t xml:space="preserve"> is committed to respecting, protecting, and promoting human rights in all that we do and the decisions that we make.</w:t>
      </w:r>
    </w:p>
    <w:p w14:paraId="08A3DBB1" w14:textId="5B8F20F2" w:rsidR="005724BC" w:rsidRDefault="008535B4" w:rsidP="008535B4">
      <w:pPr>
        <w:pStyle w:val="BodyText"/>
        <w:rPr>
          <w:color w:val="000000" w:themeColor="text1"/>
        </w:rPr>
      </w:pPr>
      <w:r w:rsidRPr="00C12777">
        <w:rPr>
          <w:color w:val="000000" w:themeColor="text1"/>
        </w:rPr>
        <w:t xml:space="preserve">In </w:t>
      </w:r>
      <w:r w:rsidR="0007740F">
        <w:rPr>
          <w:color w:val="000000" w:themeColor="text1"/>
        </w:rPr>
        <w:t>2023</w:t>
      </w:r>
      <w:r w:rsidR="00EB18C8">
        <w:rPr>
          <w:color w:val="000000" w:themeColor="text1"/>
        </w:rPr>
        <w:t>–</w:t>
      </w:r>
      <w:r w:rsidR="0007740F">
        <w:rPr>
          <w:color w:val="000000" w:themeColor="text1"/>
        </w:rPr>
        <w:t>24</w:t>
      </w:r>
      <w:r w:rsidR="00C2344A">
        <w:rPr>
          <w:color w:val="000000" w:themeColor="text1"/>
        </w:rPr>
        <w:t>,</w:t>
      </w:r>
      <w:r w:rsidRPr="00C12777">
        <w:rPr>
          <w:color w:val="000000" w:themeColor="text1"/>
        </w:rPr>
        <w:t xml:space="preserve"> the department continued to embed the </w:t>
      </w:r>
      <w:r w:rsidRPr="00C12777">
        <w:rPr>
          <w:i/>
          <w:color w:val="000000" w:themeColor="text1"/>
        </w:rPr>
        <w:t>Human Rights Act 2019</w:t>
      </w:r>
      <w:r w:rsidRPr="00C12777">
        <w:rPr>
          <w:color w:val="000000" w:themeColor="text1"/>
        </w:rPr>
        <w:t xml:space="preserve"> and build a culture of human rights into our operations</w:t>
      </w:r>
      <w:r w:rsidR="00521EF8">
        <w:rPr>
          <w:color w:val="000000" w:themeColor="text1"/>
        </w:rPr>
        <w:t xml:space="preserve">. </w:t>
      </w:r>
      <w:r w:rsidR="003750D6">
        <w:rPr>
          <w:color w:val="000000" w:themeColor="text1"/>
        </w:rPr>
        <w:t xml:space="preserve">All departmental policies </w:t>
      </w:r>
      <w:r w:rsidR="005724BC">
        <w:rPr>
          <w:color w:val="000000" w:themeColor="text1"/>
        </w:rPr>
        <w:t xml:space="preserve">and procedures </w:t>
      </w:r>
      <w:r w:rsidR="00BE271A">
        <w:rPr>
          <w:color w:val="000000" w:themeColor="text1"/>
        </w:rPr>
        <w:t xml:space="preserve">reflect the department’s commitment </w:t>
      </w:r>
      <w:r w:rsidR="007C08D1">
        <w:rPr>
          <w:color w:val="000000" w:themeColor="text1"/>
        </w:rPr>
        <w:t xml:space="preserve">and </w:t>
      </w:r>
      <w:r w:rsidR="006B45BA">
        <w:rPr>
          <w:color w:val="000000" w:themeColor="text1"/>
        </w:rPr>
        <w:t xml:space="preserve">consideration of human rights in the way we perform our work. </w:t>
      </w:r>
    </w:p>
    <w:p w14:paraId="3B0606DC" w14:textId="5A915F57" w:rsidR="00DE151D" w:rsidRDefault="00DE151D" w:rsidP="008535B4">
      <w:pPr>
        <w:pStyle w:val="BodyText"/>
        <w:rPr>
          <w:color w:val="000000" w:themeColor="text1"/>
        </w:rPr>
      </w:pPr>
      <w:r>
        <w:t xml:space="preserve">The department is a member of the Queensland </w:t>
      </w:r>
      <w:r w:rsidR="007071DB">
        <w:t>G</w:t>
      </w:r>
      <w:r>
        <w:t xml:space="preserve">overnment Inter-Departmental Committee for Human Rights, </w:t>
      </w:r>
      <w:r w:rsidR="00940F81">
        <w:t xml:space="preserve">as </w:t>
      </w:r>
      <w:r w:rsidR="00940F81" w:rsidRPr="00335CB7">
        <w:rPr>
          <w:color w:val="000000" w:themeColor="text1"/>
        </w:rPr>
        <w:t>well as</w:t>
      </w:r>
      <w:r w:rsidRPr="00335CB7">
        <w:rPr>
          <w:color w:val="000000" w:themeColor="text1"/>
        </w:rPr>
        <w:t xml:space="preserve"> </w:t>
      </w:r>
      <w:r w:rsidR="00940F81" w:rsidRPr="00335CB7">
        <w:rPr>
          <w:color w:val="000000" w:themeColor="text1"/>
        </w:rPr>
        <w:t>a member of the</w:t>
      </w:r>
      <w:r w:rsidRPr="00335CB7">
        <w:rPr>
          <w:color w:val="000000" w:themeColor="text1"/>
        </w:rPr>
        <w:t xml:space="preserve"> </w:t>
      </w:r>
      <w:r w:rsidR="00940F81" w:rsidRPr="00335CB7">
        <w:rPr>
          <w:color w:val="000000" w:themeColor="text1"/>
        </w:rPr>
        <w:t xml:space="preserve">sub-committee which focuses on </w:t>
      </w:r>
      <w:r w:rsidR="00BD54D0" w:rsidRPr="00335CB7">
        <w:rPr>
          <w:color w:val="000000" w:themeColor="text1"/>
        </w:rPr>
        <w:t>protecting and recognising the Cultural Rights</w:t>
      </w:r>
      <w:r w:rsidR="00D52556">
        <w:rPr>
          <w:color w:val="000000" w:themeColor="text1"/>
        </w:rPr>
        <w:t xml:space="preserve"> of </w:t>
      </w:r>
      <w:r w:rsidR="00BD54D0" w:rsidRPr="00335CB7">
        <w:rPr>
          <w:color w:val="000000" w:themeColor="text1"/>
        </w:rPr>
        <w:t xml:space="preserve">Aboriginal peoples and Torres Strait Islander peoples under section 28 of the </w:t>
      </w:r>
      <w:r w:rsidR="00BD54D0" w:rsidRPr="00BB3B90">
        <w:rPr>
          <w:i/>
          <w:iCs/>
          <w:color w:val="000000" w:themeColor="text1"/>
        </w:rPr>
        <w:t>Human Rights Act 2019</w:t>
      </w:r>
      <w:r w:rsidR="00BD54D0" w:rsidRPr="00335CB7">
        <w:rPr>
          <w:color w:val="000000" w:themeColor="text1"/>
        </w:rPr>
        <w:t>.</w:t>
      </w:r>
    </w:p>
    <w:p w14:paraId="275F2A14" w14:textId="4F5AA5C8" w:rsidR="008535B4" w:rsidRPr="00C12777" w:rsidRDefault="00404BAA" w:rsidP="00335CB7">
      <w:pPr>
        <w:pStyle w:val="BodyText"/>
        <w:rPr>
          <w:color w:val="000000" w:themeColor="text1"/>
        </w:rPr>
      </w:pPr>
      <w:r>
        <w:rPr>
          <w:color w:val="000000" w:themeColor="text1"/>
        </w:rPr>
        <w:t>As part of our onboarding process, all new</w:t>
      </w:r>
      <w:r w:rsidR="008535B4" w:rsidRPr="00C12777">
        <w:rPr>
          <w:color w:val="000000" w:themeColor="text1"/>
        </w:rPr>
        <w:t xml:space="preserve"> employees </w:t>
      </w:r>
      <w:r>
        <w:rPr>
          <w:color w:val="000000" w:themeColor="text1"/>
        </w:rPr>
        <w:t>are required to complete</w:t>
      </w:r>
      <w:r w:rsidR="008535B4" w:rsidRPr="00C12777">
        <w:rPr>
          <w:color w:val="000000" w:themeColor="text1"/>
        </w:rPr>
        <w:t xml:space="preserve"> the </w:t>
      </w:r>
      <w:proofErr w:type="gramStart"/>
      <w:r w:rsidR="008535B4" w:rsidRPr="00BC5E4C">
        <w:rPr>
          <w:color w:val="000000" w:themeColor="text1"/>
        </w:rPr>
        <w:t>Public</w:t>
      </w:r>
      <w:proofErr w:type="gramEnd"/>
      <w:r w:rsidR="008535B4" w:rsidRPr="00BC5E4C">
        <w:rPr>
          <w:color w:val="000000" w:themeColor="text1"/>
        </w:rPr>
        <w:t xml:space="preserve"> entities and the Queensland Human Rights Act 2019</w:t>
      </w:r>
      <w:r w:rsidR="008535B4" w:rsidRPr="00335CB7">
        <w:rPr>
          <w:i/>
          <w:color w:val="000000" w:themeColor="text1"/>
        </w:rPr>
        <w:t xml:space="preserve"> </w:t>
      </w:r>
      <w:r w:rsidR="008535B4" w:rsidRPr="00C12777">
        <w:rPr>
          <w:color w:val="000000" w:themeColor="text1"/>
        </w:rPr>
        <w:t>training module</w:t>
      </w:r>
      <w:r w:rsidR="008535B4" w:rsidRPr="00335CB7">
        <w:rPr>
          <w:i/>
          <w:color w:val="000000" w:themeColor="text1"/>
        </w:rPr>
        <w:t>.</w:t>
      </w:r>
    </w:p>
    <w:p w14:paraId="1E3B646E" w14:textId="63E49BA7" w:rsidR="008535B4" w:rsidRPr="005133CA" w:rsidRDefault="008535B4" w:rsidP="00F21980">
      <w:pPr>
        <w:pStyle w:val="DECHeading4"/>
      </w:pPr>
      <w:bookmarkStart w:id="630" w:name="_Toc172808577"/>
      <w:bookmarkStart w:id="631" w:name="_Toc174605716"/>
      <w:bookmarkStart w:id="632" w:name="_Toc176424854"/>
      <w:bookmarkStart w:id="633" w:name="_Toc176425013"/>
      <w:r w:rsidRPr="005133CA">
        <w:t>Human rights complaints</w:t>
      </w:r>
      <w:bookmarkEnd w:id="630"/>
      <w:bookmarkEnd w:id="631"/>
      <w:bookmarkEnd w:id="632"/>
      <w:bookmarkEnd w:id="633"/>
    </w:p>
    <w:tbl>
      <w:tblPr>
        <w:tblStyle w:val="TableGrid0"/>
        <w:tblW w:w="5000" w:type="pct"/>
        <w:tblInd w:w="0" w:type="dxa"/>
        <w:tblCellMar>
          <w:top w:w="103" w:type="dxa"/>
          <w:left w:w="80" w:type="dxa"/>
          <w:right w:w="115" w:type="dxa"/>
        </w:tblCellMar>
        <w:tblLook w:val="04A0" w:firstRow="1" w:lastRow="0" w:firstColumn="1" w:lastColumn="0" w:noHBand="0" w:noVBand="1"/>
      </w:tblPr>
      <w:tblGrid>
        <w:gridCol w:w="3115"/>
        <w:gridCol w:w="6399"/>
      </w:tblGrid>
      <w:tr w:rsidR="008535B4" w:rsidRPr="005133CA" w14:paraId="0C44E9B8" w14:textId="77777777" w:rsidTr="00D204E2">
        <w:trPr>
          <w:trHeight w:val="1493"/>
        </w:trPr>
        <w:tc>
          <w:tcPr>
            <w:tcW w:w="1637" w:type="pct"/>
            <w:tcBorders>
              <w:top w:val="single" w:sz="4" w:space="0" w:color="6D6E70"/>
              <w:left w:val="single" w:sz="4" w:space="0" w:color="6D6E70"/>
              <w:bottom w:val="single" w:sz="4" w:space="0" w:color="6D6E70"/>
              <w:right w:val="single" w:sz="4" w:space="0" w:color="6D6E70"/>
            </w:tcBorders>
            <w:shd w:val="clear" w:color="auto" w:fill="595959" w:themeFill="accent2" w:themeFillShade="80"/>
            <w:vAlign w:val="center"/>
          </w:tcPr>
          <w:p w14:paraId="67889E8F" w14:textId="473AADD3" w:rsidR="008535B4" w:rsidRPr="005133CA" w:rsidRDefault="00B613EC" w:rsidP="00F21980">
            <w:pPr>
              <w:pStyle w:val="DECTableheader"/>
              <w:rPr>
                <w:b/>
              </w:rPr>
            </w:pPr>
            <w:r>
              <w:t>C</w:t>
            </w:r>
            <w:r w:rsidR="008535B4" w:rsidRPr="005133CA">
              <w:t>omplaints between 1 July 202</w:t>
            </w:r>
            <w:r w:rsidR="00224619">
              <w:t>3</w:t>
            </w:r>
            <w:r w:rsidR="008535B4" w:rsidRPr="005133CA">
              <w:t xml:space="preserve"> – 30 June 202</w:t>
            </w:r>
            <w:r w:rsidR="00224619">
              <w:t>4</w:t>
            </w:r>
          </w:p>
        </w:tc>
        <w:tc>
          <w:tcPr>
            <w:tcW w:w="3363" w:type="pct"/>
            <w:tcBorders>
              <w:top w:val="single" w:sz="4" w:space="0" w:color="6D6E70"/>
              <w:left w:val="single" w:sz="4" w:space="0" w:color="6D6E70"/>
              <w:bottom w:val="single" w:sz="4" w:space="0" w:color="6D6E70"/>
              <w:right w:val="single" w:sz="4" w:space="0" w:color="6D6E70"/>
            </w:tcBorders>
            <w:shd w:val="clear" w:color="auto" w:fill="auto"/>
          </w:tcPr>
          <w:p w14:paraId="035F4270" w14:textId="079B46A7" w:rsidR="001D5502" w:rsidRPr="00E704B6" w:rsidRDefault="001D5502" w:rsidP="001D58AA">
            <w:pPr>
              <w:pStyle w:val="BodyText"/>
              <w:rPr>
                <w:color w:val="000000" w:themeColor="text1"/>
              </w:rPr>
            </w:pPr>
            <w:r w:rsidRPr="00185FB5">
              <w:t>Two human rights complaints were received by the department.</w:t>
            </w:r>
            <w:r w:rsidR="00DC2DF1" w:rsidRPr="00185FB5">
              <w:t xml:space="preserve"> </w:t>
            </w:r>
            <w:r w:rsidR="007D5ACD">
              <w:t>Neither of the</w:t>
            </w:r>
            <w:r w:rsidR="00DC2DF1" w:rsidRPr="00185FB5">
              <w:t xml:space="preserve"> complaints were expressly articulated as human rights complaints however were identified as such by the department.</w:t>
            </w:r>
            <w:r w:rsidRPr="00185FB5">
              <w:t xml:space="preserve"> Of the </w:t>
            </w:r>
            <w:r w:rsidRPr="00E704B6">
              <w:rPr>
                <w:color w:val="000000" w:themeColor="text1"/>
              </w:rPr>
              <w:t>complaints:</w:t>
            </w:r>
          </w:p>
          <w:p w14:paraId="1C0D7A87" w14:textId="2BD6CE9D" w:rsidR="00185FB5" w:rsidRPr="00E704B6" w:rsidRDefault="001D5502" w:rsidP="009421D9">
            <w:pPr>
              <w:pStyle w:val="ListParagraph"/>
              <w:rPr>
                <w:rFonts w:eastAsiaTheme="minorHAnsi"/>
                <w:color w:val="000000" w:themeColor="text1"/>
                <w:lang w:eastAsia="en-US"/>
              </w:rPr>
            </w:pPr>
            <w:r w:rsidRPr="00E704B6">
              <w:rPr>
                <w:color w:val="000000" w:themeColor="text1"/>
              </w:rPr>
              <w:t xml:space="preserve">one was an </w:t>
            </w:r>
            <w:r w:rsidR="00224619" w:rsidRPr="00E704B6">
              <w:rPr>
                <w:color w:val="000000" w:themeColor="text1"/>
              </w:rPr>
              <w:t>employee grievance received during 2023</w:t>
            </w:r>
            <w:r w:rsidR="00325555" w:rsidRPr="00E704B6">
              <w:rPr>
                <w:color w:val="000000" w:themeColor="text1"/>
              </w:rPr>
              <w:t>–</w:t>
            </w:r>
            <w:r w:rsidR="00224619" w:rsidRPr="00E704B6">
              <w:rPr>
                <w:color w:val="000000" w:themeColor="text1"/>
              </w:rPr>
              <w:t>24</w:t>
            </w:r>
            <w:r w:rsidR="00D1496B" w:rsidRPr="00E704B6">
              <w:rPr>
                <w:color w:val="000000" w:themeColor="text1"/>
              </w:rPr>
              <w:t xml:space="preserve"> and a</w:t>
            </w:r>
            <w:r w:rsidR="00B613EC" w:rsidRPr="00E704B6">
              <w:rPr>
                <w:color w:val="000000" w:themeColor="text1"/>
              </w:rPr>
              <w:t xml:space="preserve">s </w:t>
            </w:r>
            <w:proofErr w:type="gramStart"/>
            <w:r w:rsidR="00B613EC" w:rsidRPr="00E704B6">
              <w:rPr>
                <w:color w:val="000000" w:themeColor="text1"/>
              </w:rPr>
              <w:t>at</w:t>
            </w:r>
            <w:proofErr w:type="gramEnd"/>
            <w:r w:rsidR="00B613EC" w:rsidRPr="00E704B6">
              <w:rPr>
                <w:color w:val="000000" w:themeColor="text1"/>
              </w:rPr>
              <w:t xml:space="preserve"> 30 June 202</w:t>
            </w:r>
            <w:r w:rsidR="1D570E80" w:rsidRPr="00E704B6">
              <w:rPr>
                <w:color w:val="000000" w:themeColor="text1"/>
              </w:rPr>
              <w:t>4</w:t>
            </w:r>
            <w:r w:rsidR="00B613EC" w:rsidRPr="00E704B6">
              <w:rPr>
                <w:color w:val="000000" w:themeColor="text1"/>
              </w:rPr>
              <w:t xml:space="preserve">, the </w:t>
            </w:r>
            <w:r w:rsidR="00224619" w:rsidRPr="00E704B6">
              <w:rPr>
                <w:color w:val="000000" w:themeColor="text1"/>
              </w:rPr>
              <w:t xml:space="preserve">matter is </w:t>
            </w:r>
            <w:r w:rsidR="00B613EC" w:rsidRPr="00E704B6">
              <w:rPr>
                <w:color w:val="000000" w:themeColor="text1"/>
              </w:rPr>
              <w:t>ongoing</w:t>
            </w:r>
          </w:p>
          <w:p w14:paraId="191D1896" w14:textId="564A2A45" w:rsidR="008535B4" w:rsidRPr="00565DA2" w:rsidRDefault="00185FB5" w:rsidP="006E6F91">
            <w:pPr>
              <w:pStyle w:val="ListParagraph"/>
              <w:rPr>
                <w:color w:val="0070C0"/>
              </w:rPr>
            </w:pPr>
            <w:r w:rsidRPr="00E704B6">
              <w:rPr>
                <w:color w:val="000000" w:themeColor="text1"/>
              </w:rPr>
              <w:t>o</w:t>
            </w:r>
            <w:r w:rsidR="001D5502" w:rsidRPr="00E704B6">
              <w:rPr>
                <w:color w:val="000000" w:themeColor="text1"/>
              </w:rPr>
              <w:t xml:space="preserve">ne was a customer </w:t>
            </w:r>
            <w:r w:rsidR="001D5502" w:rsidRPr="00185FB5">
              <w:t xml:space="preserve">complaint </w:t>
            </w:r>
            <w:r w:rsidR="009765A8" w:rsidRPr="00185FB5">
              <w:t>which was</w:t>
            </w:r>
            <w:r w:rsidR="00984103" w:rsidRPr="00185FB5">
              <w:t xml:space="preserve"> </w:t>
            </w:r>
            <w:r w:rsidR="009765A8" w:rsidRPr="00185FB5">
              <w:t>resolved</w:t>
            </w:r>
            <w:r w:rsidR="001D58AA" w:rsidRPr="00185FB5">
              <w:t xml:space="preserve"> in 2023</w:t>
            </w:r>
            <w:r w:rsidR="009765A8" w:rsidRPr="00185FB5">
              <w:t>.</w:t>
            </w:r>
          </w:p>
        </w:tc>
      </w:tr>
    </w:tbl>
    <w:p w14:paraId="586B834B" w14:textId="08DF5116" w:rsidR="004F27FD" w:rsidRPr="00E9351D" w:rsidRDefault="00890817" w:rsidP="003D59F3">
      <w:pPr>
        <w:pStyle w:val="DECheading11"/>
      </w:pPr>
      <w:bookmarkStart w:id="634" w:name="_Toc172794895"/>
      <w:bookmarkStart w:id="635" w:name="_Toc111189235"/>
      <w:bookmarkStart w:id="636" w:name="_Toc138317863"/>
      <w:bookmarkStart w:id="637" w:name="_Toc172808578"/>
      <w:bookmarkStart w:id="638" w:name="_Toc174605717"/>
      <w:bookmarkStart w:id="639" w:name="_Toc176424855"/>
      <w:bookmarkStart w:id="640" w:name="_Toc176425014"/>
      <w:bookmarkEnd w:id="628"/>
      <w:bookmarkEnd w:id="629"/>
      <w:r w:rsidRPr="00097251">
        <w:lastRenderedPageBreak/>
        <w:t xml:space="preserve">Our </w:t>
      </w:r>
      <w:r w:rsidR="00493EF2">
        <w:t>g</w:t>
      </w:r>
      <w:r w:rsidRPr="00097251">
        <w:t>overnance</w:t>
      </w:r>
      <w:bookmarkEnd w:id="634"/>
      <w:bookmarkEnd w:id="635"/>
      <w:bookmarkEnd w:id="636"/>
      <w:bookmarkEnd w:id="637"/>
      <w:bookmarkEnd w:id="638"/>
      <w:bookmarkEnd w:id="639"/>
      <w:bookmarkEnd w:id="640"/>
      <w:r w:rsidRPr="00097251">
        <w:t xml:space="preserve"> </w:t>
      </w:r>
    </w:p>
    <w:p w14:paraId="75A6FAE8" w14:textId="7C49DF43" w:rsidR="009C5FEC" w:rsidRPr="00297F21" w:rsidRDefault="009C5FEC" w:rsidP="007D5C38">
      <w:pPr>
        <w:pStyle w:val="BodyText"/>
        <w:rPr>
          <w:lang w:eastAsia="en-AU"/>
        </w:rPr>
      </w:pPr>
      <w:r w:rsidRPr="00297F21">
        <w:rPr>
          <w:lang w:eastAsia="en-AU"/>
        </w:rPr>
        <w:t>Our governance arrangements ensure we meet our strategic objectives and that our resources are allocated appropriately to maximise the cost-effective delivery of services.</w:t>
      </w:r>
      <w:r w:rsidR="00D00BC0" w:rsidRPr="00297F21">
        <w:rPr>
          <w:lang w:eastAsia="en-AU"/>
        </w:rPr>
        <w:t xml:space="preserve"> Our</w:t>
      </w:r>
      <w:r w:rsidRPr="00297F21">
        <w:rPr>
          <w:lang w:eastAsia="en-AU"/>
        </w:rPr>
        <w:t> </w:t>
      </w:r>
      <w:r w:rsidR="00D00BC0" w:rsidRPr="00297F21">
        <w:rPr>
          <w:i/>
          <w:iCs/>
          <w:lang w:eastAsia="en-AU"/>
        </w:rPr>
        <w:t>G</w:t>
      </w:r>
      <w:r w:rsidRPr="00297F21">
        <w:rPr>
          <w:i/>
          <w:iCs/>
          <w:lang w:eastAsia="en-AU"/>
        </w:rPr>
        <w:t xml:space="preserve">overnance </w:t>
      </w:r>
      <w:r w:rsidR="00D00BC0" w:rsidRPr="00297F21">
        <w:rPr>
          <w:i/>
          <w:iCs/>
          <w:lang w:eastAsia="en-AU"/>
        </w:rPr>
        <w:t>C</w:t>
      </w:r>
      <w:r w:rsidRPr="00297F21">
        <w:rPr>
          <w:i/>
          <w:iCs/>
          <w:lang w:eastAsia="en-AU"/>
        </w:rPr>
        <w:t xml:space="preserve">ommittee </w:t>
      </w:r>
      <w:r w:rsidR="00A055DC" w:rsidRPr="00297F21">
        <w:rPr>
          <w:i/>
          <w:iCs/>
          <w:lang w:eastAsia="en-AU"/>
        </w:rPr>
        <w:t>F</w:t>
      </w:r>
      <w:r w:rsidRPr="00297F21">
        <w:rPr>
          <w:i/>
          <w:iCs/>
          <w:lang w:eastAsia="en-AU"/>
        </w:rPr>
        <w:t>ramework</w:t>
      </w:r>
      <w:r w:rsidR="00C42F0B">
        <w:rPr>
          <w:lang w:eastAsia="en-AU"/>
        </w:rPr>
        <w:t xml:space="preserve"> </w:t>
      </w:r>
      <w:r w:rsidRPr="00297F21">
        <w:rPr>
          <w:lang w:eastAsia="en-AU"/>
        </w:rPr>
        <w:t xml:space="preserve">comprises the Executive </w:t>
      </w:r>
      <w:r w:rsidR="00B918FD">
        <w:rPr>
          <w:lang w:eastAsia="en-AU"/>
        </w:rPr>
        <w:t>Board and the Audit and Risk Committee</w:t>
      </w:r>
      <w:r w:rsidR="00303A4F">
        <w:rPr>
          <w:lang w:eastAsia="en-AU"/>
        </w:rPr>
        <w:t xml:space="preserve"> as </w:t>
      </w:r>
      <w:r w:rsidR="00F44991">
        <w:rPr>
          <w:lang w:eastAsia="en-AU"/>
        </w:rPr>
        <w:t xml:space="preserve">the permanent governance committees for the department. Additional committees are </w:t>
      </w:r>
      <w:r w:rsidR="00BF52F6">
        <w:rPr>
          <w:lang w:eastAsia="en-AU"/>
        </w:rPr>
        <w:t xml:space="preserve">stood </w:t>
      </w:r>
      <w:r w:rsidR="00F44991">
        <w:rPr>
          <w:lang w:eastAsia="en-AU"/>
        </w:rPr>
        <w:t xml:space="preserve">up on an ad-hoc basis to respond to new initiatives and priorities. </w:t>
      </w:r>
      <w:r w:rsidR="00303A4F">
        <w:rPr>
          <w:lang w:eastAsia="en-AU"/>
        </w:rPr>
        <w:t xml:space="preserve"> </w:t>
      </w:r>
    </w:p>
    <w:p w14:paraId="564AB6BE" w14:textId="69600F76" w:rsidR="00890817" w:rsidRPr="000A1215" w:rsidRDefault="00890817" w:rsidP="00514D02">
      <w:pPr>
        <w:pStyle w:val="DECHeading3"/>
      </w:pPr>
      <w:bookmarkStart w:id="641" w:name="_Toc73900129"/>
      <w:bookmarkStart w:id="642" w:name="_Toc111189236"/>
      <w:bookmarkStart w:id="643" w:name="_Toc138317864"/>
      <w:bookmarkStart w:id="644" w:name="_Toc172794896"/>
      <w:bookmarkStart w:id="645" w:name="_Toc172806444"/>
      <w:bookmarkStart w:id="646" w:name="_Toc172806730"/>
      <w:bookmarkStart w:id="647" w:name="_Toc172808579"/>
      <w:bookmarkStart w:id="648" w:name="_Toc174605718"/>
      <w:bookmarkStart w:id="649" w:name="_Toc176424856"/>
      <w:bookmarkStart w:id="650" w:name="_Toc176425015"/>
      <w:r w:rsidRPr="005F4C21">
        <w:t xml:space="preserve">Executive </w:t>
      </w:r>
      <w:bookmarkEnd w:id="641"/>
      <w:bookmarkEnd w:id="642"/>
      <w:bookmarkEnd w:id="643"/>
      <w:r w:rsidR="002123CC">
        <w:t>Board</w:t>
      </w:r>
      <w:bookmarkEnd w:id="644"/>
      <w:bookmarkEnd w:id="645"/>
      <w:bookmarkEnd w:id="646"/>
      <w:bookmarkEnd w:id="647"/>
      <w:bookmarkEnd w:id="648"/>
      <w:bookmarkEnd w:id="649"/>
      <w:bookmarkEnd w:id="650"/>
    </w:p>
    <w:p w14:paraId="0B51731D" w14:textId="59F4E9F3" w:rsidR="00890817" w:rsidRPr="002249E2" w:rsidRDefault="00890817" w:rsidP="007D5C38">
      <w:pPr>
        <w:pStyle w:val="BodyText"/>
      </w:pPr>
      <w:r w:rsidRPr="002249E2">
        <w:t xml:space="preserve">The Executive </w:t>
      </w:r>
      <w:r w:rsidR="00FA4D9A">
        <w:t>Board</w:t>
      </w:r>
      <w:r w:rsidRPr="002249E2">
        <w:t xml:space="preserve"> is the department’s principal strategic governing body, responsible for setting the strategic direction of the department, demonstrating leadership, overseeing financial and business performance, ensuring effective use of resources</w:t>
      </w:r>
      <w:r w:rsidR="00A86A4A">
        <w:t>,</w:t>
      </w:r>
      <w:r w:rsidRPr="002249E2">
        <w:t xml:space="preserve"> and</w:t>
      </w:r>
      <w:r w:rsidR="0007591F">
        <w:t xml:space="preserve"> advising</w:t>
      </w:r>
      <w:r w:rsidRPr="002249E2">
        <w:t xml:space="preserve"> and supporting the Director-General as the Accountable Officer</w:t>
      </w:r>
      <w:r w:rsidR="00CE3811" w:rsidRPr="002249E2">
        <w:t>.</w:t>
      </w:r>
    </w:p>
    <w:p w14:paraId="4EB9DC14" w14:textId="4E172158" w:rsidR="00890817" w:rsidRPr="002249E2" w:rsidRDefault="00314469" w:rsidP="00524734">
      <w:pPr>
        <w:pStyle w:val="BodyText"/>
      </w:pPr>
      <w:r w:rsidRPr="002249E2">
        <w:t xml:space="preserve">Our </w:t>
      </w:r>
      <w:r w:rsidR="00CE0242" w:rsidRPr="002249E2">
        <w:t xml:space="preserve">Executive </w:t>
      </w:r>
      <w:r w:rsidR="00103511">
        <w:t>Board</w:t>
      </w:r>
      <w:r w:rsidR="00890817" w:rsidRPr="002249E2">
        <w:t>:</w:t>
      </w:r>
    </w:p>
    <w:p w14:paraId="096FED0F" w14:textId="77777777" w:rsidR="00CE0242" w:rsidRPr="002249E2" w:rsidRDefault="00CE0242" w:rsidP="001D7BC5">
      <w:pPr>
        <w:pStyle w:val="ListParagraph"/>
      </w:pPr>
      <w:r w:rsidRPr="002249E2">
        <w:t xml:space="preserve">sets the department’s strategic direction, goals and performance levels, aligned to government </w:t>
      </w:r>
      <w:proofErr w:type="gramStart"/>
      <w:r w:rsidRPr="002249E2">
        <w:t>objectives</w:t>
      </w:r>
      <w:proofErr w:type="gramEnd"/>
    </w:p>
    <w:p w14:paraId="25E61B10" w14:textId="77777777" w:rsidR="00CE0242" w:rsidRPr="002249E2" w:rsidRDefault="00CE0242" w:rsidP="001D7BC5">
      <w:pPr>
        <w:pStyle w:val="ListParagraph"/>
      </w:pPr>
      <w:r w:rsidRPr="002249E2">
        <w:t xml:space="preserve">provides stewardship over the implementation of programs and </w:t>
      </w:r>
      <w:proofErr w:type="gramStart"/>
      <w:r w:rsidRPr="002249E2">
        <w:t>policies</w:t>
      </w:r>
      <w:proofErr w:type="gramEnd"/>
    </w:p>
    <w:p w14:paraId="07A8FAA6" w14:textId="6F2A66AA" w:rsidR="00CE0242" w:rsidRPr="002249E2" w:rsidRDefault="00CE0242" w:rsidP="001D7BC5">
      <w:pPr>
        <w:pStyle w:val="ListParagraph"/>
      </w:pPr>
      <w:r w:rsidRPr="002249E2">
        <w:t xml:space="preserve">demonstrates visible and aligned leadership to the </w:t>
      </w:r>
      <w:proofErr w:type="gramStart"/>
      <w:r w:rsidR="00A2327D">
        <w:t>department</w:t>
      </w:r>
      <w:proofErr w:type="gramEnd"/>
    </w:p>
    <w:p w14:paraId="78A470DE" w14:textId="77777777" w:rsidR="00CE0242" w:rsidRPr="002249E2" w:rsidRDefault="00CE0242" w:rsidP="001D7BC5">
      <w:pPr>
        <w:pStyle w:val="ListParagraph"/>
      </w:pPr>
      <w:r w:rsidRPr="002249E2">
        <w:t xml:space="preserve">ensures effective financial management and use of resources, including reprioritisation when </w:t>
      </w:r>
      <w:proofErr w:type="gramStart"/>
      <w:r w:rsidRPr="002249E2">
        <w:t>necessary</w:t>
      </w:r>
      <w:proofErr w:type="gramEnd"/>
    </w:p>
    <w:p w14:paraId="578AE830" w14:textId="77777777" w:rsidR="00CE0242" w:rsidRPr="002249E2" w:rsidRDefault="00CE0242" w:rsidP="001D7BC5">
      <w:pPr>
        <w:pStyle w:val="ListParagraph"/>
      </w:pPr>
      <w:r w:rsidRPr="002249E2">
        <w:t xml:space="preserve">monitors the performance of business activities and the achievement of priorities and </w:t>
      </w:r>
      <w:proofErr w:type="gramStart"/>
      <w:r w:rsidRPr="002249E2">
        <w:t>objectives</w:t>
      </w:r>
      <w:proofErr w:type="gramEnd"/>
    </w:p>
    <w:p w14:paraId="06FA56E0" w14:textId="77777777" w:rsidR="00CE0242" w:rsidRPr="002249E2" w:rsidRDefault="00CE0242" w:rsidP="001D7BC5">
      <w:pPr>
        <w:pStyle w:val="ListParagraph"/>
      </w:pPr>
      <w:r w:rsidRPr="002249E2">
        <w:t xml:space="preserve">ensures effective business continuity practices and culture within the </w:t>
      </w:r>
      <w:proofErr w:type="gramStart"/>
      <w:r w:rsidRPr="002249E2">
        <w:t>department</w:t>
      </w:r>
      <w:proofErr w:type="gramEnd"/>
    </w:p>
    <w:p w14:paraId="4CE39642" w14:textId="299EFB6A" w:rsidR="00CE0242" w:rsidRPr="002249E2" w:rsidRDefault="00CE0242" w:rsidP="001D7BC5">
      <w:pPr>
        <w:pStyle w:val="ListParagraph"/>
      </w:pPr>
      <w:r w:rsidRPr="002249E2">
        <w:t xml:space="preserve">supports the Director-General, as the accountable officer, to meet legislative requirements and </w:t>
      </w:r>
      <w:proofErr w:type="gramStart"/>
      <w:r w:rsidRPr="002249E2">
        <w:t>accountabilities</w:t>
      </w:r>
      <w:proofErr w:type="gramEnd"/>
    </w:p>
    <w:p w14:paraId="4310B528" w14:textId="54EEC79A" w:rsidR="004D56FB" w:rsidRPr="004D56FB" w:rsidRDefault="004D56FB" w:rsidP="004D56FB">
      <w:pPr>
        <w:pStyle w:val="ListParagraph"/>
      </w:pPr>
      <w:r w:rsidRPr="004D56FB">
        <w:t>serve</w:t>
      </w:r>
      <w:r w:rsidR="00887EDE">
        <w:t>s</w:t>
      </w:r>
      <w:r w:rsidRPr="004D56FB">
        <w:t xml:space="preserve"> as the department’s governance body for ICT resources strategic </w:t>
      </w:r>
      <w:proofErr w:type="gramStart"/>
      <w:r w:rsidRPr="004D56FB">
        <w:t>planning</w:t>
      </w:r>
      <w:proofErr w:type="gramEnd"/>
    </w:p>
    <w:p w14:paraId="7A69D2D7" w14:textId="3BDB1985" w:rsidR="00E145FE" w:rsidRPr="002249E2" w:rsidRDefault="00E145FE" w:rsidP="001D7BC5">
      <w:pPr>
        <w:pStyle w:val="ListParagraph"/>
      </w:pPr>
      <w:r w:rsidRPr="002249E2">
        <w:t>ensure</w:t>
      </w:r>
      <w:r w:rsidR="00103511">
        <w:t>s</w:t>
      </w:r>
      <w:r w:rsidRPr="002249E2">
        <w:t xml:space="preserve"> the effective management of risk through:</w:t>
      </w:r>
    </w:p>
    <w:p w14:paraId="48CA7D36" w14:textId="55D3EB13" w:rsidR="00E145FE" w:rsidRPr="002249E2" w:rsidRDefault="00E145FE" w:rsidP="00113DF0">
      <w:pPr>
        <w:pStyle w:val="ListParagraph"/>
        <w:numPr>
          <w:ilvl w:val="0"/>
          <w:numId w:val="29"/>
        </w:numPr>
      </w:pPr>
      <w:r w:rsidRPr="002249E2">
        <w:t>setting the organisation’s risk culture and providing direction for the risk management system</w:t>
      </w:r>
    </w:p>
    <w:p w14:paraId="1B326B3E" w14:textId="55A3F29B" w:rsidR="00E145FE" w:rsidRPr="002249E2" w:rsidRDefault="00E145FE" w:rsidP="00113DF0">
      <w:pPr>
        <w:pStyle w:val="ListParagraph"/>
        <w:numPr>
          <w:ilvl w:val="0"/>
          <w:numId w:val="29"/>
        </w:numPr>
      </w:pPr>
      <w:r w:rsidRPr="002249E2">
        <w:t>monitoring risks that present the most significant threat to achieving the department’s purpose and objectives, including departmental risks</w:t>
      </w:r>
    </w:p>
    <w:p w14:paraId="45E3497A" w14:textId="24C0FDDB" w:rsidR="00AD5D51" w:rsidRPr="006E03E9" w:rsidRDefault="00E145FE" w:rsidP="007D5C38">
      <w:pPr>
        <w:pStyle w:val="ListParagraph"/>
      </w:pPr>
      <w:r w:rsidRPr="002249E2">
        <w:t>lead</w:t>
      </w:r>
      <w:r w:rsidR="005F4C21">
        <w:t>s</w:t>
      </w:r>
      <w:r w:rsidRPr="002249E2">
        <w:t xml:space="preserve"> the development of a human rights culture in the department and ensure acts and decisions take human rights into account.</w:t>
      </w:r>
    </w:p>
    <w:p w14:paraId="46977F26" w14:textId="77777777" w:rsidR="004B5440" w:rsidRDefault="004B5440">
      <w:pPr>
        <w:spacing w:before="0" w:after="160" w:line="259" w:lineRule="auto"/>
        <w:rPr>
          <w:rFonts w:ascii="Arial Nova" w:eastAsiaTheme="majorEastAsia" w:hAnsi="Arial Nova" w:cstheme="majorBidi"/>
          <w:b/>
          <w:iCs/>
          <w:color w:val="000000" w:themeColor="text1"/>
          <w:sz w:val="21"/>
        </w:rPr>
      </w:pPr>
      <w:bookmarkStart w:id="651" w:name="_Toc172808580"/>
      <w:r>
        <w:br w:type="page"/>
      </w:r>
    </w:p>
    <w:p w14:paraId="0950900B" w14:textId="5349859B" w:rsidR="00D7612D" w:rsidRPr="006914DB" w:rsidRDefault="00890817" w:rsidP="00F018AA">
      <w:pPr>
        <w:pStyle w:val="DECHeading4"/>
        <w:rPr>
          <w:b w:val="0"/>
          <w:bCs/>
        </w:rPr>
      </w:pPr>
      <w:bookmarkStart w:id="652" w:name="_Toc174605719"/>
      <w:bookmarkStart w:id="653" w:name="_Toc176424857"/>
      <w:bookmarkStart w:id="654" w:name="_Toc176425016"/>
      <w:r w:rsidRPr="006D4C88">
        <w:lastRenderedPageBreak/>
        <w:t xml:space="preserve">Chair: </w:t>
      </w:r>
      <w:r w:rsidRPr="006914DB">
        <w:rPr>
          <w:b w:val="0"/>
          <w:bCs/>
        </w:rPr>
        <w:t>Director-General</w:t>
      </w:r>
      <w:bookmarkEnd w:id="651"/>
      <w:bookmarkEnd w:id="652"/>
      <w:bookmarkEnd w:id="653"/>
      <w:bookmarkEnd w:id="654"/>
      <w:r w:rsidRPr="006914DB">
        <w:rPr>
          <w:b w:val="0"/>
          <w:bCs/>
        </w:rPr>
        <w:t xml:space="preserve"> </w:t>
      </w:r>
    </w:p>
    <w:p w14:paraId="7A11857C" w14:textId="3CD8D16F" w:rsidR="00023DE6" w:rsidRPr="00621625" w:rsidRDefault="00890817" w:rsidP="00620E10">
      <w:pPr>
        <w:pStyle w:val="BodyText"/>
      </w:pPr>
      <w:r w:rsidRPr="00185370">
        <w:t>Members:</w:t>
      </w:r>
    </w:p>
    <w:p w14:paraId="60E4C05C" w14:textId="06B13154" w:rsidR="009945FA" w:rsidRPr="00621625" w:rsidRDefault="009945FA" w:rsidP="001D7BC5">
      <w:pPr>
        <w:pStyle w:val="ListParagraph"/>
      </w:pPr>
      <w:r w:rsidRPr="00621625">
        <w:t>Deputy Director-General, Corporate</w:t>
      </w:r>
      <w:r w:rsidR="000D4CCD" w:rsidRPr="00621625">
        <w:t xml:space="preserve"> </w:t>
      </w:r>
      <w:r w:rsidR="00620E10">
        <w:t>Services</w:t>
      </w:r>
    </w:p>
    <w:p w14:paraId="4A82ACD4" w14:textId="2043B789" w:rsidR="00C63275" w:rsidRPr="00621625" w:rsidRDefault="00C63275" w:rsidP="001D7BC5">
      <w:pPr>
        <w:pStyle w:val="ListParagraph"/>
      </w:pPr>
      <w:r w:rsidRPr="00621625">
        <w:t>Deputy Director-General, Energy</w:t>
      </w:r>
    </w:p>
    <w:p w14:paraId="3805327D" w14:textId="56B55B7B" w:rsidR="00D11A63" w:rsidRDefault="00D11A63" w:rsidP="001D7BC5">
      <w:pPr>
        <w:pStyle w:val="ListParagraph"/>
      </w:pPr>
      <w:r w:rsidRPr="00621625">
        <w:t>Deputy Director</w:t>
      </w:r>
      <w:r w:rsidR="00922B77" w:rsidRPr="00621625">
        <w:t>-General, Hydrogen</w:t>
      </w:r>
      <w:r w:rsidR="007746C8">
        <w:t xml:space="preserve"> and Future Fuels</w:t>
      </w:r>
    </w:p>
    <w:p w14:paraId="172D54B8" w14:textId="0D4FF4DB" w:rsidR="00620E10" w:rsidRPr="00621625" w:rsidRDefault="00620E10" w:rsidP="00620E10">
      <w:pPr>
        <w:pStyle w:val="ListParagraph"/>
      </w:pPr>
      <w:r w:rsidRPr="00621625">
        <w:t xml:space="preserve">Deputy Director-General, </w:t>
      </w:r>
      <w:r>
        <w:t>Climate</w:t>
      </w:r>
    </w:p>
    <w:p w14:paraId="515C7F78" w14:textId="38B0522A" w:rsidR="00F018AA" w:rsidRPr="00621625" w:rsidRDefault="00890817" w:rsidP="00D31A38">
      <w:pPr>
        <w:pStyle w:val="ListParagraph"/>
      </w:pPr>
      <w:r w:rsidRPr="00621625">
        <w:t>Deputy Director-General</w:t>
      </w:r>
      <w:r w:rsidR="00620E10">
        <w:t xml:space="preserve">, </w:t>
      </w:r>
      <w:r w:rsidR="006E095A" w:rsidRPr="00621625">
        <w:t xml:space="preserve">Queensland Government </w:t>
      </w:r>
      <w:r w:rsidRPr="00621625">
        <w:t xml:space="preserve">Procurement </w:t>
      </w:r>
    </w:p>
    <w:p w14:paraId="39936E95" w14:textId="76C76C9A" w:rsidR="00890817" w:rsidRPr="00297F21" w:rsidRDefault="00890817" w:rsidP="001C5469">
      <w:pPr>
        <w:pStyle w:val="DECHeading3"/>
      </w:pPr>
      <w:bookmarkStart w:id="655" w:name="_Toc111189237"/>
      <w:bookmarkStart w:id="656" w:name="_Toc138317865"/>
      <w:bookmarkStart w:id="657" w:name="_Toc172794897"/>
      <w:bookmarkStart w:id="658" w:name="_Toc172806445"/>
      <w:bookmarkStart w:id="659" w:name="_Toc172806731"/>
      <w:bookmarkStart w:id="660" w:name="_Toc172808581"/>
      <w:bookmarkStart w:id="661" w:name="_Toc174605720"/>
      <w:bookmarkStart w:id="662" w:name="_Toc176424858"/>
      <w:bookmarkStart w:id="663" w:name="_Toc176425017"/>
      <w:r w:rsidRPr="00297F21">
        <w:t xml:space="preserve">Our Executive </w:t>
      </w:r>
      <w:r w:rsidR="002123CC">
        <w:t>Board</w:t>
      </w:r>
      <w:r w:rsidRPr="00297F21">
        <w:t xml:space="preserve"> as </w:t>
      </w:r>
      <w:proofErr w:type="gramStart"/>
      <w:r w:rsidRPr="00297F21">
        <w:t>at</w:t>
      </w:r>
      <w:proofErr w:type="gramEnd"/>
      <w:r w:rsidRPr="00297F21">
        <w:t xml:space="preserve"> 30</w:t>
      </w:r>
      <w:r w:rsidR="0026686F">
        <w:t> </w:t>
      </w:r>
      <w:r w:rsidRPr="00297F21">
        <w:t xml:space="preserve">June </w:t>
      </w:r>
      <w:bookmarkEnd w:id="655"/>
      <w:r w:rsidRPr="00297F21">
        <w:t>202</w:t>
      </w:r>
      <w:bookmarkEnd w:id="656"/>
      <w:r w:rsidR="007746C8">
        <w:t>4</w:t>
      </w:r>
      <w:bookmarkEnd w:id="657"/>
      <w:bookmarkEnd w:id="658"/>
      <w:bookmarkEnd w:id="659"/>
      <w:bookmarkEnd w:id="660"/>
      <w:bookmarkEnd w:id="661"/>
      <w:bookmarkEnd w:id="662"/>
      <w:bookmarkEnd w:id="663"/>
    </w:p>
    <w:p w14:paraId="217620A2" w14:textId="66C22692" w:rsidR="00722400" w:rsidRPr="00FD630C" w:rsidRDefault="00722400" w:rsidP="00A2327D">
      <w:pPr>
        <w:pStyle w:val="DECHeading4"/>
      </w:pPr>
      <w:bookmarkStart w:id="664" w:name="_Toc172808582"/>
      <w:bookmarkStart w:id="665" w:name="_Toc174605721"/>
      <w:bookmarkStart w:id="666" w:name="_Toc176424859"/>
      <w:bookmarkStart w:id="667" w:name="_Toc176425018"/>
      <w:r w:rsidRPr="00FD630C">
        <w:t>Paul Martyn</w:t>
      </w:r>
      <w:bookmarkEnd w:id="664"/>
      <w:bookmarkEnd w:id="665"/>
      <w:bookmarkEnd w:id="666"/>
      <w:bookmarkEnd w:id="667"/>
    </w:p>
    <w:p w14:paraId="4BCEB141" w14:textId="5C1F52DB" w:rsidR="00722400" w:rsidRPr="00524734" w:rsidRDefault="00722400" w:rsidP="00A2327D">
      <w:pPr>
        <w:pStyle w:val="DECHeading4"/>
        <w:rPr>
          <w:b w:val="0"/>
          <w:bCs/>
        </w:rPr>
      </w:pPr>
      <w:bookmarkStart w:id="668" w:name="_Toc172808583"/>
      <w:bookmarkStart w:id="669" w:name="_Toc174605722"/>
      <w:bookmarkStart w:id="670" w:name="_Toc176424860"/>
      <w:bookmarkStart w:id="671" w:name="_Toc176425019"/>
      <w:r w:rsidRPr="00524734">
        <w:t xml:space="preserve">Chair: </w:t>
      </w:r>
      <w:r w:rsidRPr="00524734">
        <w:rPr>
          <w:b w:val="0"/>
          <w:bCs/>
        </w:rPr>
        <w:t>Director-General</w:t>
      </w:r>
      <w:bookmarkEnd w:id="668"/>
      <w:bookmarkEnd w:id="669"/>
      <w:bookmarkEnd w:id="670"/>
      <w:bookmarkEnd w:id="671"/>
    </w:p>
    <w:p w14:paraId="069D419E" w14:textId="53D6A251" w:rsidR="00806E46" w:rsidRPr="00260FD6" w:rsidRDefault="00806E46" w:rsidP="007D5C38">
      <w:pPr>
        <w:pStyle w:val="BodyText"/>
      </w:pPr>
      <w:r w:rsidRPr="00260FD6">
        <w:t>PSM, BA (Hons), LLB (Hons) (Qld), MSc (London)</w:t>
      </w:r>
    </w:p>
    <w:p w14:paraId="6AEC363F" w14:textId="1A371122" w:rsidR="008E68FB" w:rsidRPr="00C270AB" w:rsidRDefault="008E68FB" w:rsidP="007D5C38">
      <w:pPr>
        <w:pStyle w:val="BodyText"/>
      </w:pPr>
      <w:r w:rsidRPr="00260FD6">
        <w:t xml:space="preserve">Paul Martyn </w:t>
      </w:r>
      <w:r w:rsidR="00B36900" w:rsidRPr="00260FD6">
        <w:t xml:space="preserve">is the Director-General of </w:t>
      </w:r>
      <w:r w:rsidRPr="00260FD6">
        <w:t xml:space="preserve">the Department of Energy and </w:t>
      </w:r>
      <w:r w:rsidR="00580BFD" w:rsidRPr="00260FD6">
        <w:t>Climate.</w:t>
      </w:r>
      <w:r w:rsidR="004D50ED" w:rsidRPr="00260FD6">
        <w:t xml:space="preserve"> </w:t>
      </w:r>
      <w:r w:rsidR="00F80AAB" w:rsidRPr="00260FD6">
        <w:t xml:space="preserve">With </w:t>
      </w:r>
      <w:r w:rsidR="00EB0309">
        <w:t xml:space="preserve">nearly </w:t>
      </w:r>
      <w:r w:rsidR="00F80AAB" w:rsidRPr="00C270AB">
        <w:t xml:space="preserve">three decades in economic policy and reform, Paul is leading Queensland’s transformation to clean, </w:t>
      </w:r>
      <w:proofErr w:type="gramStart"/>
      <w:r w:rsidR="00F80AAB" w:rsidRPr="00C270AB">
        <w:t>reliable</w:t>
      </w:r>
      <w:proofErr w:type="gramEnd"/>
      <w:r w:rsidR="00F80AAB" w:rsidRPr="00C270AB">
        <w:t xml:space="preserve"> and more affordable renewable energy; and heading up the state’s climate action plan to reduce emissions. He is also responsible for government procurement, supporting local jobs and businesses.</w:t>
      </w:r>
    </w:p>
    <w:p w14:paraId="02EA0E6B" w14:textId="62CA5A2E" w:rsidR="008E68FB" w:rsidRPr="00C270AB" w:rsidRDefault="008E68FB" w:rsidP="007D5C38">
      <w:pPr>
        <w:pStyle w:val="BodyText"/>
      </w:pPr>
      <w:r w:rsidRPr="00C270AB">
        <w:t xml:space="preserve">Prior to </w:t>
      </w:r>
      <w:r w:rsidR="00934AC2">
        <w:t xml:space="preserve">the </w:t>
      </w:r>
      <w:r w:rsidR="00421843">
        <w:t xml:space="preserve">department’s </w:t>
      </w:r>
      <w:r w:rsidR="00934AC2">
        <w:t>formation</w:t>
      </w:r>
      <w:r w:rsidRPr="00C270AB">
        <w:t xml:space="preserve">, Paul was </w:t>
      </w:r>
      <w:r w:rsidR="009130E3" w:rsidRPr="00C270AB">
        <w:t>the Director-General of the Department of Energy and Public Works and</w:t>
      </w:r>
      <w:r w:rsidRPr="00C270AB">
        <w:t xml:space="preserve"> </w:t>
      </w:r>
      <w:r w:rsidR="00BA4F33">
        <w:t xml:space="preserve">was previously the </w:t>
      </w:r>
      <w:r w:rsidRPr="00C270AB">
        <w:t>Chief Executive Officer of Trade and Investment Queensland, where he spearheaded investment attraction in hydrogen and renewable energy.</w:t>
      </w:r>
    </w:p>
    <w:p w14:paraId="6837D857" w14:textId="6F95F111" w:rsidR="008E68FB" w:rsidRPr="00C270AB" w:rsidRDefault="008E68FB" w:rsidP="007D5C38">
      <w:pPr>
        <w:pStyle w:val="BodyText"/>
      </w:pPr>
      <w:r w:rsidRPr="00C270AB">
        <w:t xml:space="preserve">Paul has </w:t>
      </w:r>
      <w:r w:rsidR="009130E3" w:rsidRPr="00C270AB">
        <w:t xml:space="preserve">led strategies </w:t>
      </w:r>
      <w:r w:rsidRPr="00C270AB">
        <w:t xml:space="preserve">to encourage growth and investment in key </w:t>
      </w:r>
      <w:r w:rsidR="009130E3" w:rsidRPr="00C270AB">
        <w:t xml:space="preserve">Queensland </w:t>
      </w:r>
      <w:r w:rsidRPr="00C270AB">
        <w:t xml:space="preserve">sectors, including </w:t>
      </w:r>
      <w:r w:rsidR="005B460A" w:rsidRPr="00C270AB">
        <w:t xml:space="preserve">energy, </w:t>
      </w:r>
      <w:r w:rsidRPr="00C270AB">
        <w:t>resources, agriculture, manufacturing, tourism, defence industries and building.</w:t>
      </w:r>
    </w:p>
    <w:p w14:paraId="08503DE3" w14:textId="41A4C069" w:rsidR="00722400" w:rsidRPr="00C270AB" w:rsidRDefault="008E68FB" w:rsidP="007D5C38">
      <w:pPr>
        <w:pStyle w:val="BodyText"/>
      </w:pPr>
      <w:r w:rsidRPr="00C270AB">
        <w:t>In the Governor-General’s 2022 COVID-19 Honours List, Paul was awarded a Public Service Medal for his leadership of Queensland’s COVID-19 Response and Recovery Taskforce during the pandemic.</w:t>
      </w:r>
    </w:p>
    <w:p w14:paraId="796E7EBF" w14:textId="77777777" w:rsidR="002C2862" w:rsidRPr="00FD630C" w:rsidRDefault="002C2862" w:rsidP="00A2327D">
      <w:pPr>
        <w:pStyle w:val="DECHeading4"/>
      </w:pPr>
      <w:bookmarkStart w:id="672" w:name="_Graham_Atkins"/>
      <w:bookmarkStart w:id="673" w:name="_Sharon_Bailey"/>
      <w:bookmarkStart w:id="674" w:name="_Toc172808584"/>
      <w:bookmarkStart w:id="675" w:name="_Toc174605723"/>
      <w:bookmarkStart w:id="676" w:name="_Toc176424861"/>
      <w:bookmarkStart w:id="677" w:name="_Toc176425020"/>
      <w:bookmarkStart w:id="678" w:name="Sharon_Bailey"/>
      <w:bookmarkEnd w:id="672"/>
      <w:bookmarkEnd w:id="673"/>
      <w:r w:rsidRPr="00FD630C">
        <w:t>Irene Violet</w:t>
      </w:r>
      <w:bookmarkEnd w:id="674"/>
      <w:bookmarkEnd w:id="675"/>
      <w:bookmarkEnd w:id="676"/>
      <w:bookmarkEnd w:id="677"/>
    </w:p>
    <w:p w14:paraId="1F015495" w14:textId="77777777" w:rsidR="002C2862" w:rsidRDefault="002C2862" w:rsidP="00CE2BE0">
      <w:pPr>
        <w:pStyle w:val="DECHeading4"/>
        <w:rPr>
          <w:b w:val="0"/>
          <w:bCs/>
        </w:rPr>
      </w:pPr>
      <w:bookmarkStart w:id="679" w:name="_Toc172808585"/>
      <w:bookmarkStart w:id="680" w:name="_Toc174605724"/>
      <w:bookmarkStart w:id="681" w:name="_Toc176424862"/>
      <w:bookmarkStart w:id="682" w:name="_Toc176425021"/>
      <w:r w:rsidRPr="00CE2BE0">
        <w:t xml:space="preserve">Member: </w:t>
      </w:r>
      <w:r w:rsidRPr="00524734">
        <w:rPr>
          <w:b w:val="0"/>
          <w:bCs/>
        </w:rPr>
        <w:t xml:space="preserve">Deputy Director-General, Corporate </w:t>
      </w:r>
      <w:r>
        <w:rPr>
          <w:b w:val="0"/>
          <w:bCs/>
        </w:rPr>
        <w:t>Services</w:t>
      </w:r>
      <w:bookmarkEnd w:id="679"/>
      <w:bookmarkEnd w:id="680"/>
      <w:bookmarkEnd w:id="681"/>
      <w:bookmarkEnd w:id="682"/>
    </w:p>
    <w:p w14:paraId="1116A0E3" w14:textId="38EE5FA9" w:rsidR="002C2862" w:rsidRPr="00A450ED" w:rsidRDefault="002C2862" w:rsidP="002C2862">
      <w:pPr>
        <w:pStyle w:val="BodyText"/>
      </w:pPr>
      <w:proofErr w:type="spellStart"/>
      <w:r w:rsidRPr="00A450ED">
        <w:t>BHealthS</w:t>
      </w:r>
      <w:r w:rsidR="00F73406" w:rsidRPr="001243F1">
        <w:t>c</w:t>
      </w:r>
      <w:proofErr w:type="spellEnd"/>
      <w:r w:rsidRPr="00A450ED">
        <w:t xml:space="preserve"> (Rehab Couns), BA (Psych), MBA</w:t>
      </w:r>
      <w:r w:rsidR="00894430">
        <w:t>, GAICD</w:t>
      </w:r>
    </w:p>
    <w:p w14:paraId="2C26E641" w14:textId="0FCDAD22" w:rsidR="002C2862" w:rsidRPr="00A450ED" w:rsidRDefault="002C2862" w:rsidP="002C2862">
      <w:pPr>
        <w:pStyle w:val="BodyText"/>
      </w:pPr>
      <w:r w:rsidRPr="00A450ED">
        <w:t xml:space="preserve">Irene </w:t>
      </w:r>
      <w:r w:rsidR="00337343" w:rsidRPr="00A450ED">
        <w:t>has been the</w:t>
      </w:r>
      <w:r w:rsidRPr="00A450ED">
        <w:t xml:space="preserve"> Deputy Director-General, Corporate </w:t>
      </w:r>
      <w:r w:rsidR="00337343" w:rsidRPr="00A450ED">
        <w:t xml:space="preserve">Services since </w:t>
      </w:r>
      <w:r w:rsidRPr="00A450ED">
        <w:t>May 2022</w:t>
      </w:r>
      <w:r w:rsidR="00337343" w:rsidRPr="00A450ED">
        <w:t xml:space="preserve">. </w:t>
      </w:r>
    </w:p>
    <w:p w14:paraId="6B5C1185" w14:textId="064DDE5E" w:rsidR="002C2862" w:rsidRPr="0071741B" w:rsidRDefault="002C2862" w:rsidP="002C2862">
      <w:pPr>
        <w:pStyle w:val="BodyText"/>
      </w:pPr>
      <w:r w:rsidRPr="00A450ED">
        <w:t xml:space="preserve">Irene has </w:t>
      </w:r>
      <w:r w:rsidR="00020F04" w:rsidRPr="00A450ED">
        <w:t xml:space="preserve">more than </w:t>
      </w:r>
      <w:r w:rsidRPr="00A450ED">
        <w:t xml:space="preserve">20 years’ experience working in state and federal governments, largely focused on service transformation and delivery. </w:t>
      </w:r>
      <w:r w:rsidR="007B6678" w:rsidRPr="00A450ED">
        <w:t xml:space="preserve">She has a keen interest in ensuring programs are people-centric and that digital technologies are leveraged to enhance </w:t>
      </w:r>
      <w:r w:rsidR="00894430">
        <w:t>customer and employee experience</w:t>
      </w:r>
      <w:r w:rsidR="007B6678" w:rsidRPr="0071741B">
        <w:t>.</w:t>
      </w:r>
    </w:p>
    <w:p w14:paraId="46190737" w14:textId="4835756A" w:rsidR="002C2862" w:rsidRPr="0071741B" w:rsidRDefault="002C2862" w:rsidP="002C2862">
      <w:pPr>
        <w:pStyle w:val="BodyText"/>
      </w:pPr>
      <w:r w:rsidRPr="0071741B">
        <w:t xml:space="preserve">Irene has led </w:t>
      </w:r>
      <w:r w:rsidR="007A1595" w:rsidRPr="0071741B">
        <w:t xml:space="preserve">policy and </w:t>
      </w:r>
      <w:r w:rsidRPr="0071741B">
        <w:t xml:space="preserve">programs in </w:t>
      </w:r>
      <w:r w:rsidR="006B332F" w:rsidRPr="0071741B">
        <w:t>c</w:t>
      </w:r>
      <w:r w:rsidRPr="0071741B">
        <w:t xml:space="preserve">ommunities, </w:t>
      </w:r>
      <w:r w:rsidR="006B332F" w:rsidRPr="0071741B">
        <w:t>d</w:t>
      </w:r>
      <w:r w:rsidRPr="0071741B">
        <w:t xml:space="preserve">igital </w:t>
      </w:r>
      <w:r w:rsidR="006B332F" w:rsidRPr="0071741B">
        <w:t>e</w:t>
      </w:r>
      <w:r w:rsidRPr="0071741B">
        <w:t>conomy</w:t>
      </w:r>
      <w:r w:rsidR="000B555B" w:rsidRPr="0071741B">
        <w:t>,</w:t>
      </w:r>
      <w:r w:rsidRPr="0071741B">
        <w:t xml:space="preserve"> </w:t>
      </w:r>
      <w:r w:rsidR="000B555B" w:rsidRPr="0071741B">
        <w:t>e</w:t>
      </w:r>
      <w:r w:rsidRPr="0071741B">
        <w:t xml:space="preserve">mployment, </w:t>
      </w:r>
      <w:r w:rsidR="000B555B" w:rsidRPr="0071741B">
        <w:t>s</w:t>
      </w:r>
      <w:r w:rsidRPr="0071741B">
        <w:t xml:space="preserve">mall </w:t>
      </w:r>
      <w:proofErr w:type="gramStart"/>
      <w:r w:rsidR="000B555B" w:rsidRPr="0071741B">
        <w:t>b</w:t>
      </w:r>
      <w:r w:rsidRPr="0071741B">
        <w:t>usiness</w:t>
      </w:r>
      <w:proofErr w:type="gramEnd"/>
      <w:r w:rsidRPr="0071741B">
        <w:t xml:space="preserve"> and </w:t>
      </w:r>
      <w:r w:rsidR="000B555B" w:rsidRPr="0071741B">
        <w:t>t</w:t>
      </w:r>
      <w:r w:rsidRPr="0071741B">
        <w:t xml:space="preserve">raining. She has </w:t>
      </w:r>
      <w:r w:rsidR="000B555B" w:rsidRPr="0071741B">
        <w:t>also</w:t>
      </w:r>
      <w:r w:rsidRPr="0071741B">
        <w:t xml:space="preserve"> led Queensland Shared Services, modernising and optimising the shared services used by agencies and departments. Irene has also held </w:t>
      </w:r>
      <w:r w:rsidR="00526013" w:rsidRPr="0071741B">
        <w:t xml:space="preserve">previous </w:t>
      </w:r>
      <w:r w:rsidRPr="0071741B">
        <w:t xml:space="preserve">senior executive roles, with responsibilities for corporate services, customer services and specialist advisory teams, and </w:t>
      </w:r>
      <w:r w:rsidR="0091037C" w:rsidRPr="0071741B">
        <w:t xml:space="preserve">has been </w:t>
      </w:r>
      <w:r w:rsidRPr="0071741B">
        <w:t>a member of the Workplace Health and Safety Board of Queensland.</w:t>
      </w:r>
    </w:p>
    <w:p w14:paraId="305CEA48" w14:textId="77777777" w:rsidR="004B5440" w:rsidRDefault="004B5440">
      <w:pPr>
        <w:spacing w:before="0" w:after="160" w:line="259" w:lineRule="auto"/>
        <w:rPr>
          <w:rFonts w:ascii="Arial Nova" w:eastAsiaTheme="majorEastAsia" w:hAnsi="Arial Nova" w:cstheme="majorBidi"/>
          <w:b/>
          <w:iCs/>
          <w:color w:val="000000" w:themeColor="text1"/>
          <w:sz w:val="21"/>
        </w:rPr>
      </w:pPr>
      <w:bookmarkStart w:id="683" w:name="_Toc172808586"/>
      <w:bookmarkStart w:id="684" w:name="David_Shankey"/>
      <w:bookmarkEnd w:id="678"/>
      <w:r>
        <w:br w:type="page"/>
      </w:r>
    </w:p>
    <w:p w14:paraId="3DB9968A" w14:textId="608D860F" w:rsidR="00FA120A" w:rsidRPr="000C3F8D" w:rsidRDefault="00CD2DF1" w:rsidP="00A2327D">
      <w:pPr>
        <w:pStyle w:val="DECHeading4"/>
      </w:pPr>
      <w:bookmarkStart w:id="685" w:name="_Toc174605725"/>
      <w:bookmarkStart w:id="686" w:name="_Toc176424863"/>
      <w:bookmarkStart w:id="687" w:name="_Toc176425022"/>
      <w:r w:rsidRPr="000C3F8D">
        <w:lastRenderedPageBreak/>
        <w:t>David Shankey</w:t>
      </w:r>
      <w:bookmarkEnd w:id="683"/>
      <w:bookmarkEnd w:id="685"/>
      <w:bookmarkEnd w:id="686"/>
      <w:bookmarkEnd w:id="687"/>
    </w:p>
    <w:p w14:paraId="69E445DB" w14:textId="53C5F936" w:rsidR="00CD2DF1" w:rsidRPr="000C3F8D" w:rsidRDefault="00FA120A" w:rsidP="00CE2BE0">
      <w:pPr>
        <w:pStyle w:val="DECHeading4"/>
        <w:rPr>
          <w:b w:val="0"/>
        </w:rPr>
      </w:pPr>
      <w:bookmarkStart w:id="688" w:name="_Toc172808587"/>
      <w:bookmarkStart w:id="689" w:name="_Toc174605726"/>
      <w:bookmarkStart w:id="690" w:name="_Toc176424864"/>
      <w:bookmarkStart w:id="691" w:name="_Toc176425023"/>
      <w:bookmarkEnd w:id="684"/>
      <w:r w:rsidRPr="00CE2BE0">
        <w:t xml:space="preserve">Member: </w:t>
      </w:r>
      <w:r w:rsidR="00CD2DF1" w:rsidRPr="000C3F8D">
        <w:rPr>
          <w:b w:val="0"/>
        </w:rPr>
        <w:t>Deputy Director-General, Energy</w:t>
      </w:r>
      <w:bookmarkEnd w:id="688"/>
      <w:bookmarkEnd w:id="689"/>
      <w:bookmarkEnd w:id="690"/>
      <w:bookmarkEnd w:id="691"/>
    </w:p>
    <w:p w14:paraId="7558D93F" w14:textId="77777777" w:rsidR="00CD2DF1" w:rsidRPr="004C365F" w:rsidRDefault="00CD2DF1" w:rsidP="007D5C38">
      <w:pPr>
        <w:pStyle w:val="BodyText"/>
      </w:pPr>
      <w:r w:rsidRPr="004C365F">
        <w:t>LLB, BCom</w:t>
      </w:r>
    </w:p>
    <w:p w14:paraId="7ABC0BCD" w14:textId="6ED617FE" w:rsidR="00E27D8A" w:rsidRPr="001E3A8D" w:rsidRDefault="00E27D8A" w:rsidP="00E27D8A">
      <w:pPr>
        <w:rPr>
          <w:lang w:eastAsia="en-AU"/>
        </w:rPr>
      </w:pPr>
      <w:r w:rsidRPr="001E3A8D">
        <w:t>David Shankey was appointed Deputy Director-General of the Energy Division in the</w:t>
      </w:r>
      <w:r w:rsidR="007F6085">
        <w:t xml:space="preserve"> </w:t>
      </w:r>
      <w:r w:rsidRPr="001E3A8D">
        <w:t>Department of Energy and Public Works in August 2021</w:t>
      </w:r>
      <w:r w:rsidR="00390386">
        <w:t xml:space="preserve"> and remains in this role </w:t>
      </w:r>
      <w:r w:rsidR="00640DEC">
        <w:t>within</w:t>
      </w:r>
      <w:r w:rsidR="00E215E9">
        <w:t xml:space="preserve"> the department</w:t>
      </w:r>
      <w:r w:rsidR="00F128C2">
        <w:t>.</w:t>
      </w:r>
    </w:p>
    <w:p w14:paraId="2001C520" w14:textId="136889FD" w:rsidR="00E27D8A" w:rsidRPr="001E3A8D" w:rsidRDefault="00E27D8A" w:rsidP="00E27D8A">
      <w:r w:rsidRPr="001E3A8D">
        <w:t xml:space="preserve">David led the division as it delivered Queensland’s 15-year Energy and Jobs Plan, the most significant and challenging energy reform agenda in the </w:t>
      </w:r>
      <w:r w:rsidR="009F7045">
        <w:t>s</w:t>
      </w:r>
      <w:r w:rsidRPr="001E3A8D">
        <w:t>tate’s history.</w:t>
      </w:r>
      <w:r w:rsidR="008E00B0">
        <w:t xml:space="preserve"> </w:t>
      </w:r>
      <w:r w:rsidR="7ACC076A">
        <w:t>He now leads</w:t>
      </w:r>
      <w:r w:rsidRPr="001E3A8D">
        <w:t xml:space="preserve"> the implementation of the plan including the setting up of Queensland Hydro and a $19 billion investment program through </w:t>
      </w:r>
      <w:r w:rsidR="00B545AC">
        <w:t>g</w:t>
      </w:r>
      <w:r w:rsidRPr="001E3A8D">
        <w:t>overnment</w:t>
      </w:r>
      <w:r w:rsidRPr="001E3A8D" w:rsidDel="00B545AC">
        <w:t xml:space="preserve"> </w:t>
      </w:r>
      <w:r w:rsidRPr="001E3A8D">
        <w:t xml:space="preserve">owned corporations.  </w:t>
      </w:r>
    </w:p>
    <w:p w14:paraId="7EF426A7" w14:textId="4944874C" w:rsidR="00E27D8A" w:rsidRPr="001E3A8D" w:rsidRDefault="00E27D8A" w:rsidP="00E27D8A">
      <w:r w:rsidRPr="001E3A8D">
        <w:t>Prior to his current role, David was Executive Director in the Energy Division for four years in multiple roles including Strategic Policy and Renewables.</w:t>
      </w:r>
      <w:r w:rsidR="00ED06B0">
        <w:t xml:space="preserve"> </w:t>
      </w:r>
      <w:r w:rsidRPr="001E3A8D">
        <w:t xml:space="preserve">Prior to working for the Queensland </w:t>
      </w:r>
      <w:r w:rsidR="007071DB">
        <w:t>G</w:t>
      </w:r>
      <w:r w:rsidRPr="001E3A8D">
        <w:t xml:space="preserve">overnment, David worked in both the resources sector and in the media.  </w:t>
      </w:r>
    </w:p>
    <w:p w14:paraId="777BC030" w14:textId="344C59C1" w:rsidR="00E27D8A" w:rsidRPr="001E3A8D" w:rsidRDefault="00E27D8A" w:rsidP="00E27D8A">
      <w:r w:rsidRPr="001E3A8D">
        <w:t>The history of working on specialised energy topics and media means he can distil complex thinking around policy reform into understandable and deliverable steps.</w:t>
      </w:r>
      <w:r w:rsidR="00ED06B0">
        <w:t xml:space="preserve"> </w:t>
      </w:r>
      <w:r w:rsidRPr="001E3A8D">
        <w:t>A history of working in Queensland means he can forge relationships across industry sectors and bring participants together to achieve outcomes by collaborating on strategies to achieve common goals.</w:t>
      </w:r>
    </w:p>
    <w:p w14:paraId="76FE0527" w14:textId="7E6F0F7E" w:rsidR="002F7A45" w:rsidRPr="00FD630C" w:rsidRDefault="0089682E" w:rsidP="00A2327D">
      <w:pPr>
        <w:pStyle w:val="DECHeading4"/>
      </w:pPr>
      <w:bookmarkStart w:id="692" w:name="_Chris_Shaw"/>
      <w:bookmarkStart w:id="693" w:name="_Toc172808588"/>
      <w:bookmarkStart w:id="694" w:name="_Toc174605727"/>
      <w:bookmarkStart w:id="695" w:name="_Toc176424865"/>
      <w:bookmarkStart w:id="696" w:name="_Toc176425024"/>
      <w:bookmarkEnd w:id="692"/>
      <w:r>
        <w:t>Alana Barlow</w:t>
      </w:r>
      <w:bookmarkEnd w:id="693"/>
      <w:bookmarkEnd w:id="694"/>
      <w:bookmarkEnd w:id="695"/>
      <w:bookmarkEnd w:id="696"/>
    </w:p>
    <w:p w14:paraId="0A189717" w14:textId="3DA92DF4" w:rsidR="002F7A45" w:rsidRPr="00524734" w:rsidRDefault="002F7A45" w:rsidP="00CE2BE0">
      <w:pPr>
        <w:pStyle w:val="DECHeading4"/>
        <w:rPr>
          <w:b w:val="0"/>
          <w:bCs/>
        </w:rPr>
      </w:pPr>
      <w:bookmarkStart w:id="697" w:name="_Toc172808589"/>
      <w:bookmarkStart w:id="698" w:name="_Toc174605728"/>
      <w:bookmarkStart w:id="699" w:name="_Toc176424866"/>
      <w:bookmarkStart w:id="700" w:name="_Toc176425025"/>
      <w:r w:rsidRPr="00CE2BE0">
        <w:t xml:space="preserve">Member: </w:t>
      </w:r>
      <w:r w:rsidRPr="00524734">
        <w:rPr>
          <w:b w:val="0"/>
          <w:bCs/>
        </w:rPr>
        <w:t>Deputy Director-General, Hydrogen</w:t>
      </w:r>
      <w:r w:rsidR="0089682E">
        <w:rPr>
          <w:b w:val="0"/>
          <w:bCs/>
        </w:rPr>
        <w:t xml:space="preserve"> and Future Fuels</w:t>
      </w:r>
      <w:bookmarkEnd w:id="697"/>
      <w:bookmarkEnd w:id="698"/>
      <w:bookmarkEnd w:id="699"/>
      <w:bookmarkEnd w:id="700"/>
    </w:p>
    <w:p w14:paraId="2134FED8" w14:textId="44843BFD" w:rsidR="000F2EAB" w:rsidRPr="00F128C2" w:rsidRDefault="000F2EAB" w:rsidP="00524734">
      <w:pPr>
        <w:pStyle w:val="BodyText"/>
      </w:pPr>
      <w:r w:rsidRPr="00F128C2">
        <w:t>LLB</w:t>
      </w:r>
    </w:p>
    <w:p w14:paraId="2C9B1C2A" w14:textId="77777777" w:rsidR="0071128E" w:rsidRPr="00F128C2" w:rsidRDefault="00191B4D" w:rsidP="00191B4D">
      <w:pPr>
        <w:pStyle w:val="BodyText"/>
      </w:pPr>
      <w:r w:rsidRPr="00F128C2">
        <w:t xml:space="preserve">Alana </w:t>
      </w:r>
      <w:r w:rsidR="00EF0B86" w:rsidRPr="00F128C2">
        <w:t>was app</w:t>
      </w:r>
      <w:r w:rsidR="0004093C" w:rsidRPr="00F128C2">
        <w:t xml:space="preserve">ointed as Deputy Director-General of the Hydrogen and Future Fuels division in </w:t>
      </w:r>
      <w:r w:rsidR="0071128E" w:rsidRPr="00F128C2">
        <w:t xml:space="preserve">February 2024. </w:t>
      </w:r>
    </w:p>
    <w:p w14:paraId="130F2DD8" w14:textId="787D4523" w:rsidR="000952A0" w:rsidRPr="00F128C2" w:rsidRDefault="00191B4D" w:rsidP="00191B4D">
      <w:pPr>
        <w:pStyle w:val="BodyText"/>
      </w:pPr>
      <w:r w:rsidRPr="00F128C2">
        <w:t xml:space="preserve">Alana is an experienced business development executive in the hydrogen sector. Prior to joining the Department of Energy and Climate, Alana managed the National Hydrogen Department for a Japanese trading house with interests in energy, mineral resources, </w:t>
      </w:r>
      <w:proofErr w:type="gramStart"/>
      <w:r w:rsidRPr="00F128C2">
        <w:t>infrastructure</w:t>
      </w:r>
      <w:proofErr w:type="gramEnd"/>
      <w:r w:rsidRPr="00F128C2">
        <w:t xml:space="preserve"> and chemicals. </w:t>
      </w:r>
    </w:p>
    <w:p w14:paraId="2B6CF09E" w14:textId="533C657C" w:rsidR="00191B4D" w:rsidRPr="00F128C2" w:rsidRDefault="00191B4D" w:rsidP="00191B4D">
      <w:pPr>
        <w:pStyle w:val="BodyText"/>
      </w:pPr>
      <w:r w:rsidRPr="00F128C2">
        <w:t>Alana is also an experienced company director for private and industry organisations, including</w:t>
      </w:r>
      <w:r w:rsidR="2D789C9E" w:rsidRPr="00F128C2">
        <w:t xml:space="preserve"> previously</w:t>
      </w:r>
      <w:r w:rsidRPr="00F128C2">
        <w:t xml:space="preserve"> the Australian Hydrogen Council. Alana’s work in the hydrogen industry has focused on domestic decarbonisation in hard to-abate sectors</w:t>
      </w:r>
      <w:r w:rsidR="00A0680B" w:rsidRPr="00F128C2">
        <w:t xml:space="preserve"> </w:t>
      </w:r>
      <w:r w:rsidRPr="00F128C2">
        <w:t xml:space="preserve">and hydrogen derivatives for export markets. </w:t>
      </w:r>
    </w:p>
    <w:p w14:paraId="16039E04" w14:textId="601E5A62" w:rsidR="002F7A45" w:rsidRPr="00F128C2" w:rsidRDefault="00191B4D" w:rsidP="007D5C38">
      <w:pPr>
        <w:pStyle w:val="BodyText"/>
      </w:pPr>
      <w:r w:rsidRPr="00F128C2">
        <w:t xml:space="preserve">Prior to joining the hydrogen industry, Alana worked as an Australian commercial lawyer and company secretarial professional in a variety of sectors including power generation and infrastructure, mineral resources, and diverse international trade, in addition to generalised mergers and acquisitions for cross-border transactions. </w:t>
      </w:r>
    </w:p>
    <w:p w14:paraId="621FC945" w14:textId="56BD012D" w:rsidR="0089682E" w:rsidRPr="00FD630C" w:rsidRDefault="0089682E" w:rsidP="00A2327D">
      <w:pPr>
        <w:pStyle w:val="DECHeading4"/>
      </w:pPr>
      <w:bookmarkStart w:id="701" w:name="_Carlye_Sycz"/>
      <w:bookmarkStart w:id="702" w:name="_Toc172808590"/>
      <w:bookmarkStart w:id="703" w:name="_Toc174605729"/>
      <w:bookmarkStart w:id="704" w:name="_Toc176424867"/>
      <w:bookmarkStart w:id="705" w:name="_Toc176425026"/>
      <w:bookmarkEnd w:id="701"/>
      <w:r>
        <w:t>Carlye Sycz</w:t>
      </w:r>
      <w:bookmarkEnd w:id="702"/>
      <w:bookmarkEnd w:id="703"/>
      <w:bookmarkEnd w:id="704"/>
      <w:bookmarkEnd w:id="705"/>
    </w:p>
    <w:p w14:paraId="78794869" w14:textId="7D2E360A" w:rsidR="0089682E" w:rsidRPr="00524734" w:rsidRDefault="0089682E" w:rsidP="00CE2BE0">
      <w:pPr>
        <w:pStyle w:val="DECHeading4"/>
        <w:rPr>
          <w:b w:val="0"/>
          <w:bCs/>
        </w:rPr>
      </w:pPr>
      <w:bookmarkStart w:id="706" w:name="_Toc172808591"/>
      <w:bookmarkStart w:id="707" w:name="_Toc174605730"/>
      <w:bookmarkStart w:id="708" w:name="_Toc176424868"/>
      <w:bookmarkStart w:id="709" w:name="_Toc176425027"/>
      <w:r w:rsidRPr="00CE2BE0">
        <w:t xml:space="preserve">Member: </w:t>
      </w:r>
      <w:r w:rsidRPr="00524734">
        <w:rPr>
          <w:b w:val="0"/>
          <w:bCs/>
        </w:rPr>
        <w:t xml:space="preserve">Deputy Director-General, </w:t>
      </w:r>
      <w:r>
        <w:rPr>
          <w:b w:val="0"/>
          <w:bCs/>
        </w:rPr>
        <w:t>Climate</w:t>
      </w:r>
      <w:bookmarkEnd w:id="706"/>
      <w:bookmarkEnd w:id="707"/>
      <w:bookmarkEnd w:id="708"/>
      <w:bookmarkEnd w:id="709"/>
    </w:p>
    <w:p w14:paraId="51EB6EB3" w14:textId="14CF28CC" w:rsidR="004C418A" w:rsidRPr="00F128C2" w:rsidRDefault="00F732FC" w:rsidP="004C418A">
      <w:pPr>
        <w:pStyle w:val="BodyText"/>
      </w:pPr>
      <w:r w:rsidRPr="00F128C2">
        <w:t>BA(</w:t>
      </w:r>
      <w:proofErr w:type="spellStart"/>
      <w:r w:rsidRPr="00F128C2">
        <w:t>PolSci</w:t>
      </w:r>
      <w:proofErr w:type="spellEnd"/>
      <w:r w:rsidRPr="00F128C2">
        <w:t xml:space="preserve">), </w:t>
      </w:r>
      <w:proofErr w:type="spellStart"/>
      <w:r w:rsidR="001E07D2" w:rsidRPr="00F128C2">
        <w:t>GCertGov&amp;Policy</w:t>
      </w:r>
      <w:proofErr w:type="spellEnd"/>
    </w:p>
    <w:p w14:paraId="6D9E8A34" w14:textId="3D42A880" w:rsidR="00C70DC9" w:rsidRPr="00EF5D71" w:rsidRDefault="00C70DC9" w:rsidP="00C70DC9">
      <w:pPr>
        <w:pStyle w:val="BodyText"/>
      </w:pPr>
      <w:r w:rsidRPr="00EF5D71">
        <w:t xml:space="preserve">Carlye </w:t>
      </w:r>
      <w:r w:rsidR="00254014" w:rsidRPr="00EF5D71" w:rsidDel="008D4A2A">
        <w:t>was appointed as Deputy Director-General</w:t>
      </w:r>
      <w:r w:rsidR="00254014" w:rsidRPr="00EF5D71">
        <w:t xml:space="preserve">, Climate in February 2024. </w:t>
      </w:r>
    </w:p>
    <w:p w14:paraId="32098A90" w14:textId="014CF567" w:rsidR="00C70DC9" w:rsidRDefault="00C70DC9" w:rsidP="00C70DC9">
      <w:pPr>
        <w:pStyle w:val="BodyText"/>
      </w:pPr>
      <w:r w:rsidRPr="00EF5D71">
        <w:t xml:space="preserve">Carlye has over 15 years’ experience in the Queensland </w:t>
      </w:r>
      <w:r w:rsidR="007071DB">
        <w:t>G</w:t>
      </w:r>
      <w:r w:rsidRPr="00EF5D71">
        <w:t xml:space="preserve">overnment, focusing on strategic policy development, coordination and community and stakeholder engagement. </w:t>
      </w:r>
      <w:proofErr w:type="spellStart"/>
      <w:r w:rsidRPr="00EF5D71">
        <w:t>Carlye’s</w:t>
      </w:r>
      <w:proofErr w:type="spellEnd"/>
      <w:r w:rsidRPr="00EF5D71">
        <w:t xml:space="preserve"> policy background spans economic and social portfolios, where she has delivered policy change and program implementation across the resources and energy sectors, as well as in emergency management and First Nations community developm</w:t>
      </w:r>
      <w:r w:rsidR="005905FC">
        <w:t>e</w:t>
      </w:r>
      <w:r w:rsidRPr="00EF5D71">
        <w:t>nt.</w:t>
      </w:r>
    </w:p>
    <w:p w14:paraId="550E8980" w14:textId="15F1DD82" w:rsidR="00FC63E2" w:rsidRDefault="00C70DC9" w:rsidP="00072B0A">
      <w:pPr>
        <w:pStyle w:val="BodyText"/>
        <w:rPr>
          <w:rFonts w:ascii="Arial Nova" w:eastAsiaTheme="majorEastAsia" w:hAnsi="Arial Nova" w:cstheme="majorBidi"/>
          <w:color w:val="000000" w:themeColor="text1"/>
          <w:sz w:val="21"/>
        </w:rPr>
      </w:pPr>
      <w:r w:rsidRPr="00EF5D71">
        <w:t xml:space="preserve">Prior to joining the Department of Energy and Climate, Carlye led the development of the Queensland Resources Industry Development Plan and the Queensland Critical Minerals Strategy. These key sector </w:t>
      </w:r>
      <w:r w:rsidRPr="00EF5D71">
        <w:lastRenderedPageBreak/>
        <w:t xml:space="preserve">transformation plans highlight how </w:t>
      </w:r>
      <w:r w:rsidR="00DC0A13">
        <w:t>g</w:t>
      </w:r>
      <w:r w:rsidRPr="00EF5D71">
        <w:t>overnment will partner with industry to drive sustainable economic growth while creating the clean economy jobs of the future.</w:t>
      </w:r>
      <w:bookmarkStart w:id="710" w:name="_Toc172808592"/>
    </w:p>
    <w:p w14:paraId="284C9B8D" w14:textId="12E778B6" w:rsidR="002C2862" w:rsidRPr="00FD630C" w:rsidRDefault="002C2862" w:rsidP="00A2327D">
      <w:pPr>
        <w:pStyle w:val="DECHeading4"/>
      </w:pPr>
      <w:bookmarkStart w:id="711" w:name="_Toc174605731"/>
      <w:bookmarkStart w:id="712" w:name="_Toc176424869"/>
      <w:bookmarkStart w:id="713" w:name="_Toc176425028"/>
      <w:r>
        <w:t>Chris Perkins</w:t>
      </w:r>
      <w:bookmarkEnd w:id="710"/>
      <w:bookmarkEnd w:id="711"/>
      <w:bookmarkEnd w:id="712"/>
      <w:bookmarkEnd w:id="713"/>
    </w:p>
    <w:p w14:paraId="1DF82F77" w14:textId="35B868C1" w:rsidR="002C2862" w:rsidRPr="00524734" w:rsidRDefault="002C2862" w:rsidP="00CE2BE0">
      <w:pPr>
        <w:pStyle w:val="DECHeading4"/>
        <w:rPr>
          <w:b w:val="0"/>
          <w:bCs/>
        </w:rPr>
      </w:pPr>
      <w:bookmarkStart w:id="714" w:name="_Toc172808593"/>
      <w:bookmarkStart w:id="715" w:name="_Toc174605732"/>
      <w:bookmarkStart w:id="716" w:name="_Toc176424870"/>
      <w:bookmarkStart w:id="717" w:name="_Toc176425029"/>
      <w:r w:rsidRPr="00CE2BE0">
        <w:t xml:space="preserve">Member: </w:t>
      </w:r>
      <w:r w:rsidRPr="00130AC7">
        <w:rPr>
          <w:b w:val="0"/>
        </w:rPr>
        <w:t>Acting Deputy Director-General, Queensland Government Procurement</w:t>
      </w:r>
      <w:bookmarkEnd w:id="714"/>
      <w:bookmarkEnd w:id="715"/>
      <w:bookmarkEnd w:id="716"/>
      <w:bookmarkEnd w:id="717"/>
      <w:r w:rsidRPr="00524734">
        <w:rPr>
          <w:b w:val="0"/>
          <w:bCs/>
        </w:rPr>
        <w:t xml:space="preserve"> </w:t>
      </w:r>
    </w:p>
    <w:p w14:paraId="4F0AB1DC" w14:textId="2D56AB7B" w:rsidR="001973BF" w:rsidRPr="000F40C1" w:rsidRDefault="001973BF" w:rsidP="004C418A">
      <w:pPr>
        <w:pStyle w:val="BodyText"/>
      </w:pPr>
      <w:r>
        <w:t xml:space="preserve">BA </w:t>
      </w:r>
    </w:p>
    <w:p w14:paraId="3192CA58" w14:textId="02714903" w:rsidR="009907FA" w:rsidRDefault="00FF4FDC" w:rsidP="004C418A">
      <w:pPr>
        <w:pStyle w:val="BodyText"/>
      </w:pPr>
      <w:r w:rsidRPr="00F128C2">
        <w:t xml:space="preserve">Chris joined the Department in October 2019 as Principal Advisor Procurement Implementation and was appointed Executive Director of the Queensland Government Procurement Compliance Branch in April 2021. </w:t>
      </w:r>
    </w:p>
    <w:p w14:paraId="4B21BAAE" w14:textId="6A09C08B" w:rsidR="00E97FDC" w:rsidRPr="00F128C2" w:rsidRDefault="00E97FDC" w:rsidP="004C418A">
      <w:pPr>
        <w:pStyle w:val="BodyText"/>
      </w:pPr>
      <w:r>
        <w:t xml:space="preserve">In March 2024, Chris </w:t>
      </w:r>
      <w:r w:rsidR="00A0202A">
        <w:t xml:space="preserve">became the acting Deputy Director-General for Queensland Government Procurement, replacing Sharon Bailey who </w:t>
      </w:r>
      <w:r w:rsidR="00742486">
        <w:t>previously substantively</w:t>
      </w:r>
      <w:r w:rsidR="00A0202A">
        <w:t xml:space="preserve"> held the position.</w:t>
      </w:r>
    </w:p>
    <w:p w14:paraId="13DB33FC" w14:textId="6A76C386" w:rsidR="009907FA" w:rsidRPr="00F128C2" w:rsidRDefault="00FF4FDC" w:rsidP="004C418A">
      <w:pPr>
        <w:pStyle w:val="BodyText"/>
      </w:pPr>
      <w:r w:rsidRPr="00F128C2">
        <w:t xml:space="preserve">Chris has an extensive background in executive level strategy, policy, stakeholder engagement and communications. He has </w:t>
      </w:r>
      <w:r w:rsidR="57A8277D">
        <w:t>held</w:t>
      </w:r>
      <w:r>
        <w:t xml:space="preserve"> </w:t>
      </w:r>
      <w:r w:rsidR="00F31B5D">
        <w:t>e</w:t>
      </w:r>
      <w:r w:rsidRPr="00F128C2">
        <w:t xml:space="preserve">xecutive positions within state government departments in </w:t>
      </w:r>
      <w:r w:rsidR="005A70AB" w:rsidRPr="00F128C2">
        <w:t>Queensland and</w:t>
      </w:r>
      <w:r w:rsidRPr="00F128C2">
        <w:t xml:space="preserve"> New South Wales. </w:t>
      </w:r>
    </w:p>
    <w:p w14:paraId="3A8DE070" w14:textId="2D73B142" w:rsidR="002C2862" w:rsidRPr="005339CA" w:rsidRDefault="00FF4FDC" w:rsidP="007D5C38">
      <w:pPr>
        <w:pStyle w:val="BodyText"/>
      </w:pPr>
      <w:r w:rsidRPr="00F128C2">
        <w:t>Chris also has been a partner in a national strategy and communications consultancy and ran his own consulting business. Chris is now focused on strengthening compliance to drive Queensland’s multi-billion procurement spend towards ethical suppliers.</w:t>
      </w:r>
    </w:p>
    <w:p w14:paraId="611FD29E" w14:textId="41521E8C" w:rsidR="00A66EC6" w:rsidRPr="00BC5390" w:rsidRDefault="00890817" w:rsidP="004B5440">
      <w:pPr>
        <w:pStyle w:val="DECHeading2"/>
        <w:rPr>
          <w:color w:val="auto"/>
          <w:sz w:val="32"/>
          <w:szCs w:val="32"/>
        </w:rPr>
      </w:pPr>
      <w:bookmarkStart w:id="718" w:name="_Irene_Violet"/>
      <w:bookmarkStart w:id="719" w:name="_Ainslie_Barron"/>
      <w:bookmarkStart w:id="720" w:name="_Toc73900130"/>
      <w:bookmarkStart w:id="721" w:name="_Toc111189238"/>
      <w:bookmarkStart w:id="722" w:name="_Toc138317866"/>
      <w:bookmarkStart w:id="723" w:name="Governance_Committees"/>
      <w:bookmarkStart w:id="724" w:name="_Toc172794898"/>
      <w:bookmarkStart w:id="725" w:name="_Toc172806446"/>
      <w:bookmarkStart w:id="726" w:name="_Toc172806732"/>
      <w:bookmarkStart w:id="727" w:name="_Toc172808594"/>
      <w:bookmarkStart w:id="728" w:name="_Toc174605733"/>
      <w:bookmarkStart w:id="729" w:name="_Toc176424871"/>
      <w:bookmarkStart w:id="730" w:name="_Toc176425030"/>
      <w:bookmarkEnd w:id="718"/>
      <w:bookmarkEnd w:id="719"/>
      <w:r w:rsidRPr="004B5440">
        <w:rPr>
          <w:rStyle w:val="Heading3Char"/>
          <w:sz w:val="36"/>
          <w:szCs w:val="36"/>
        </w:rPr>
        <w:t>Governance</w:t>
      </w:r>
      <w:r w:rsidRPr="001B482D">
        <w:rPr>
          <w:rStyle w:val="Heading3Char"/>
          <w:sz w:val="36"/>
          <w:szCs w:val="36"/>
        </w:rPr>
        <w:t xml:space="preserve"> </w:t>
      </w:r>
      <w:bookmarkEnd w:id="720"/>
      <w:bookmarkEnd w:id="721"/>
      <w:bookmarkEnd w:id="722"/>
      <w:bookmarkEnd w:id="723"/>
      <w:bookmarkEnd w:id="724"/>
      <w:bookmarkEnd w:id="725"/>
      <w:bookmarkEnd w:id="726"/>
      <w:bookmarkEnd w:id="727"/>
      <w:r w:rsidR="008277B4">
        <w:rPr>
          <w:rStyle w:val="Heading3Char"/>
          <w:sz w:val="36"/>
          <w:szCs w:val="36"/>
        </w:rPr>
        <w:t>c</w:t>
      </w:r>
      <w:r w:rsidRPr="00FC63E2">
        <w:rPr>
          <w:rStyle w:val="Heading3Char"/>
          <w:sz w:val="36"/>
          <w:szCs w:val="36"/>
        </w:rPr>
        <w:t>ommittees</w:t>
      </w:r>
      <w:bookmarkEnd w:id="728"/>
      <w:bookmarkEnd w:id="729"/>
      <w:bookmarkEnd w:id="730"/>
      <w:r w:rsidRPr="001B482D">
        <w:rPr>
          <w:rStyle w:val="Heading3Char"/>
          <w:sz w:val="36"/>
          <w:szCs w:val="36"/>
        </w:rPr>
        <w:t xml:space="preserve"> </w:t>
      </w:r>
    </w:p>
    <w:p w14:paraId="5152C1F7" w14:textId="00B6944A" w:rsidR="00CF766C" w:rsidRDefault="004328A6" w:rsidP="007D5C38">
      <w:pPr>
        <w:pStyle w:val="BodyText"/>
      </w:pPr>
      <w:r>
        <w:t>Prior to the machinery</w:t>
      </w:r>
      <w:r w:rsidR="00CD4919">
        <w:t>-</w:t>
      </w:r>
      <w:r>
        <w:t>of</w:t>
      </w:r>
      <w:r w:rsidR="00CD4919">
        <w:t>-</w:t>
      </w:r>
      <w:r>
        <w:t xml:space="preserve">government changes in December 2023, the Department of Energy and Public Works </w:t>
      </w:r>
      <w:r w:rsidR="008100AA">
        <w:t xml:space="preserve">operated </w:t>
      </w:r>
      <w:r w:rsidR="001A1BB0">
        <w:t>five</w:t>
      </w:r>
      <w:r w:rsidR="008100AA">
        <w:t xml:space="preserve"> subcommittees: </w:t>
      </w:r>
      <w:r w:rsidR="00352FAB">
        <w:t xml:space="preserve">Safety and Wellbeing; Sustainability and </w:t>
      </w:r>
      <w:r w:rsidR="00CD4919">
        <w:t>Resilience</w:t>
      </w:r>
      <w:r w:rsidR="00810748">
        <w:t>; Digital and ICT</w:t>
      </w:r>
      <w:r w:rsidR="001A1BB0">
        <w:t xml:space="preserve">; </w:t>
      </w:r>
      <w:r w:rsidR="00CF766C">
        <w:t>People and Culture</w:t>
      </w:r>
      <w:r w:rsidR="00CB2699">
        <w:t>,</w:t>
      </w:r>
      <w:r w:rsidR="001A1BB0">
        <w:t xml:space="preserve"> and the Audit and Risk Committee.</w:t>
      </w:r>
    </w:p>
    <w:p w14:paraId="014544D6" w14:textId="2AF8EB58" w:rsidR="00690A24" w:rsidRPr="001D7C9C" w:rsidRDefault="001A1BB0" w:rsidP="007D5C38">
      <w:pPr>
        <w:pStyle w:val="BodyText"/>
      </w:pPr>
      <w:r>
        <w:t xml:space="preserve">Four of these subcommittees </w:t>
      </w:r>
      <w:r w:rsidR="00C2696C">
        <w:t xml:space="preserve">were </w:t>
      </w:r>
      <w:r>
        <w:t>dissolved</w:t>
      </w:r>
      <w:r w:rsidR="00C2696C">
        <w:t xml:space="preserve"> </w:t>
      </w:r>
      <w:r w:rsidR="00394847">
        <w:t>through the machinery</w:t>
      </w:r>
      <w:r w:rsidR="002023F8">
        <w:t>-</w:t>
      </w:r>
      <w:r w:rsidR="00394847">
        <w:t>of</w:t>
      </w:r>
      <w:r w:rsidR="002023F8">
        <w:t>-</w:t>
      </w:r>
      <w:r w:rsidR="00394847">
        <w:t>government changes, with the</w:t>
      </w:r>
      <w:r w:rsidR="00BF60CD">
        <w:t xml:space="preserve"> Department of Energy and Climate</w:t>
      </w:r>
      <w:r w:rsidR="008624E1">
        <w:t xml:space="preserve"> </w:t>
      </w:r>
      <w:r w:rsidR="00CF766C">
        <w:t xml:space="preserve">Executive </w:t>
      </w:r>
      <w:r w:rsidR="00DD4924">
        <w:t>Board</w:t>
      </w:r>
      <w:r w:rsidR="008624E1">
        <w:t xml:space="preserve"> now</w:t>
      </w:r>
      <w:r w:rsidR="00DD4924">
        <w:t xml:space="preserve"> </w:t>
      </w:r>
      <w:r w:rsidR="00394847">
        <w:t>fulfilling</w:t>
      </w:r>
      <w:r w:rsidR="00DD4924">
        <w:t xml:space="preserve"> the </w:t>
      </w:r>
      <w:r w:rsidR="004328A6">
        <w:t xml:space="preserve">responsibilities of </w:t>
      </w:r>
      <w:r w:rsidR="00394847">
        <w:t>each</w:t>
      </w:r>
      <w:r w:rsidR="00EF169A">
        <w:t xml:space="preserve"> disestablished</w:t>
      </w:r>
      <w:r w:rsidR="00394847">
        <w:t xml:space="preserve"> subcommittee</w:t>
      </w:r>
      <w:r w:rsidR="004328A6">
        <w:t xml:space="preserve">. </w:t>
      </w:r>
      <w:r w:rsidR="00FA580A" w:rsidRPr="001D7C9C">
        <w:t>The</w:t>
      </w:r>
      <w:r w:rsidR="00890817" w:rsidRPr="001D7C9C">
        <w:t xml:space="preserve"> </w:t>
      </w:r>
      <w:r w:rsidR="00590A52">
        <w:t xml:space="preserve">Audit and Risk Committee </w:t>
      </w:r>
      <w:r w:rsidR="004A2488">
        <w:t>remains as a</w:t>
      </w:r>
      <w:r w:rsidR="002B716C">
        <w:t>n</w:t>
      </w:r>
      <w:r w:rsidR="00146B63" w:rsidDel="004A2488">
        <w:t xml:space="preserve"> </w:t>
      </w:r>
      <w:r w:rsidR="004A2488">
        <w:t xml:space="preserve">ongoing </w:t>
      </w:r>
      <w:r w:rsidR="00394847">
        <w:t>subcommittee</w:t>
      </w:r>
      <w:r w:rsidR="00146B63">
        <w:t xml:space="preserve"> in the department’s governance structure </w:t>
      </w:r>
      <w:r w:rsidR="00F36F42">
        <w:t xml:space="preserve">which </w:t>
      </w:r>
      <w:r w:rsidR="00146B63">
        <w:t>support</w:t>
      </w:r>
      <w:r w:rsidR="00F36F42">
        <w:t>s</w:t>
      </w:r>
      <w:r w:rsidR="00146B63">
        <w:t xml:space="preserve"> the Executive Board. </w:t>
      </w:r>
      <w:r w:rsidR="002E05E3">
        <w:t xml:space="preserve">The Terms of Reference for the Executive Board </w:t>
      </w:r>
      <w:r w:rsidR="00ED620B">
        <w:t>provide for</w:t>
      </w:r>
      <w:r w:rsidR="002E05E3">
        <w:t xml:space="preserve"> additional </w:t>
      </w:r>
      <w:r w:rsidR="006D5A39">
        <w:t xml:space="preserve">select </w:t>
      </w:r>
      <w:r w:rsidR="002E05E3">
        <w:t xml:space="preserve">committees </w:t>
      </w:r>
      <w:r w:rsidR="00ED620B">
        <w:t xml:space="preserve">which </w:t>
      </w:r>
      <w:r w:rsidR="00777144">
        <w:t>are established</w:t>
      </w:r>
      <w:r w:rsidR="002E05E3">
        <w:t xml:space="preserve"> on a </w:t>
      </w:r>
      <w:r w:rsidR="00A13095">
        <w:t xml:space="preserve">temporary </w:t>
      </w:r>
      <w:r w:rsidR="002E05E3">
        <w:t xml:space="preserve">basis to support specific initiatives or priorities. </w:t>
      </w:r>
    </w:p>
    <w:p w14:paraId="7785423A" w14:textId="1333FA2B" w:rsidR="00295434" w:rsidRDefault="00295434" w:rsidP="001B482D">
      <w:pPr>
        <w:pStyle w:val="DECHeading3"/>
      </w:pPr>
      <w:bookmarkStart w:id="731" w:name="Audit_Risk_Committee"/>
      <w:bookmarkStart w:id="732" w:name="_Toc172806447"/>
      <w:bookmarkStart w:id="733" w:name="_Toc172806733"/>
      <w:bookmarkStart w:id="734" w:name="_Toc172808595"/>
      <w:bookmarkStart w:id="735" w:name="_Toc174605734"/>
      <w:bookmarkStart w:id="736" w:name="_Toc176424872"/>
      <w:bookmarkStart w:id="737" w:name="_Toc176425031"/>
      <w:r w:rsidRPr="00FD630C">
        <w:t>Audit and Risk Committee</w:t>
      </w:r>
      <w:bookmarkEnd w:id="731"/>
      <w:bookmarkEnd w:id="732"/>
      <w:bookmarkEnd w:id="733"/>
      <w:bookmarkEnd w:id="734"/>
      <w:bookmarkEnd w:id="735"/>
      <w:bookmarkEnd w:id="736"/>
      <w:bookmarkEnd w:id="737"/>
      <w:r w:rsidRPr="00FD630C">
        <w:t xml:space="preserve"> </w:t>
      </w:r>
    </w:p>
    <w:p w14:paraId="4E4AA640" w14:textId="77777777" w:rsidR="00295434" w:rsidRPr="00BC5390" w:rsidRDefault="00295434" w:rsidP="00295434">
      <w:pPr>
        <w:pStyle w:val="BodyText"/>
      </w:pPr>
      <w:r w:rsidRPr="00BC5390">
        <w:t xml:space="preserve">The Audit and Risk Committee acts as an advisory service to the Director-General to assist in the effective discharge of the responsibilities in the </w:t>
      </w:r>
      <w:r w:rsidRPr="00BC5390">
        <w:rPr>
          <w:i/>
        </w:rPr>
        <w:t>Financial Accountability Act 2009</w:t>
      </w:r>
      <w:r w:rsidRPr="00BC5390">
        <w:t xml:space="preserve">, the </w:t>
      </w:r>
      <w:r w:rsidRPr="00BC5390">
        <w:rPr>
          <w:i/>
        </w:rPr>
        <w:t>Financial and Performance Management Standard 2019</w:t>
      </w:r>
      <w:r w:rsidRPr="00BC5390">
        <w:t xml:space="preserve"> and other relevant </w:t>
      </w:r>
      <w:proofErr w:type="gramStart"/>
      <w:r w:rsidRPr="00BC5390">
        <w:t>legislation</w:t>
      </w:r>
      <w:proofErr w:type="gramEnd"/>
      <w:r w:rsidRPr="00BC5390">
        <w:t xml:space="preserve"> and prescribed requirements. </w:t>
      </w:r>
    </w:p>
    <w:p w14:paraId="20D8D6C5" w14:textId="686E32D6" w:rsidR="00295434" w:rsidRDefault="00295434" w:rsidP="00295434">
      <w:pPr>
        <w:pStyle w:val="BodyText"/>
      </w:pPr>
      <w:r w:rsidRPr="00BC5390">
        <w:t xml:space="preserve">A key duty of the committee is to ensure processes are in place to provide reasonable assurance to the Director-General that the department’s core </w:t>
      </w:r>
      <w:r w:rsidR="003657B1" w:rsidRPr="00BC5390">
        <w:t xml:space="preserve">business goals and </w:t>
      </w:r>
      <w:r w:rsidRPr="00BC5390">
        <w:t xml:space="preserve">objectives are achieved in an efficient and economical manner, within an appropriate framework of governance, internal </w:t>
      </w:r>
      <w:proofErr w:type="gramStart"/>
      <w:r w:rsidRPr="00BC5390">
        <w:t>controls</w:t>
      </w:r>
      <w:proofErr w:type="gramEnd"/>
      <w:r w:rsidRPr="00BC5390">
        <w:t xml:space="preserve"> and risk management.</w:t>
      </w:r>
    </w:p>
    <w:p w14:paraId="39B3FE29" w14:textId="41FA242C" w:rsidR="00295434" w:rsidRPr="00BC5390" w:rsidRDefault="00295434" w:rsidP="00295434">
      <w:pPr>
        <w:pStyle w:val="BodyText"/>
        <w:rPr>
          <w:rFonts w:eastAsia="Calibri" w:cs="Calibri"/>
          <w:sz w:val="18"/>
          <w:lang w:val="de-DE"/>
        </w:rPr>
      </w:pPr>
      <w:r w:rsidRPr="00BC5390">
        <w:rPr>
          <w:b/>
          <w:lang w:val="de-DE"/>
        </w:rPr>
        <w:t xml:space="preserve">Chair: </w:t>
      </w:r>
      <w:r w:rsidR="00C22D99" w:rsidRPr="00BC5390">
        <w:rPr>
          <w:lang w:val="de-DE"/>
        </w:rPr>
        <w:t>Julie-Anne Schafer</w:t>
      </w:r>
      <w:r w:rsidRPr="00BC5390">
        <w:rPr>
          <w:lang w:val="de-DE"/>
        </w:rPr>
        <w:t xml:space="preserve"> </w:t>
      </w:r>
      <w:r w:rsidRPr="00BC5390">
        <w:rPr>
          <w:rFonts w:eastAsia="Calibri" w:cs="Calibri"/>
          <w:szCs w:val="20"/>
          <w:lang w:val="de-DE"/>
        </w:rPr>
        <w:t>(</w:t>
      </w:r>
      <w:r w:rsidR="001D7EFA">
        <w:rPr>
          <w:rFonts w:eastAsia="Calibri" w:cs="Calibri"/>
          <w:szCs w:val="20"/>
          <w:lang w:val="de-DE"/>
        </w:rPr>
        <w:t>e</w:t>
      </w:r>
      <w:r w:rsidRPr="00BC5390">
        <w:rPr>
          <w:rFonts w:eastAsia="Calibri" w:cs="Calibri"/>
          <w:szCs w:val="20"/>
          <w:lang w:val="de-DE"/>
        </w:rPr>
        <w:t>xternal member)</w:t>
      </w:r>
    </w:p>
    <w:p w14:paraId="492A4662" w14:textId="35088272" w:rsidR="00295434" w:rsidRPr="001D7EFA" w:rsidRDefault="00295434" w:rsidP="00295434">
      <w:pPr>
        <w:pStyle w:val="BodyText"/>
        <w:rPr>
          <w:b/>
        </w:rPr>
      </w:pPr>
      <w:r w:rsidRPr="001D7EFA">
        <w:rPr>
          <w:b/>
        </w:rPr>
        <w:t xml:space="preserve">Members: </w:t>
      </w:r>
    </w:p>
    <w:p w14:paraId="75DAEF1F" w14:textId="27EE79C6" w:rsidR="00295434" w:rsidRPr="00BC5390" w:rsidRDefault="00E95F8B" w:rsidP="001D7BC5">
      <w:pPr>
        <w:pStyle w:val="ListParagraph"/>
      </w:pPr>
      <w:r w:rsidRPr="00BC5390">
        <w:t>Christopher Johnson</w:t>
      </w:r>
      <w:r w:rsidR="00295434" w:rsidRPr="00BC5390">
        <w:t xml:space="preserve"> (</w:t>
      </w:r>
      <w:r w:rsidR="001D7EFA">
        <w:t>e</w:t>
      </w:r>
      <w:r w:rsidR="00295434" w:rsidRPr="00BC5390">
        <w:t>xternal member)</w:t>
      </w:r>
    </w:p>
    <w:p w14:paraId="3E046ACC" w14:textId="33EB3D8B" w:rsidR="00001A90" w:rsidRDefault="00001A90" w:rsidP="54CA4432">
      <w:pPr>
        <w:pStyle w:val="ListParagraph"/>
      </w:pPr>
      <w:r w:rsidRPr="00BC5390">
        <w:t xml:space="preserve">Irene Violet, Deputy Director-General, Corporate </w:t>
      </w:r>
      <w:r w:rsidR="006C78D6" w:rsidRPr="00BC5390">
        <w:t>Services</w:t>
      </w:r>
    </w:p>
    <w:p w14:paraId="7811B56E" w14:textId="20C21CD7" w:rsidR="004A2488" w:rsidRPr="00BC5390" w:rsidRDefault="00C15BBF" w:rsidP="54CA4432">
      <w:pPr>
        <w:pStyle w:val="ListParagraph"/>
      </w:pPr>
      <w:r>
        <w:t>Ainslie Barron, Assistant Director-General, Building Policy (until 18 December 2023 machinery of government changes)</w:t>
      </w:r>
    </w:p>
    <w:p w14:paraId="04D37240" w14:textId="27D7E6E9" w:rsidR="00295434" w:rsidRPr="00930A44" w:rsidRDefault="00295434" w:rsidP="00295434">
      <w:pPr>
        <w:pStyle w:val="BodyText"/>
        <w:rPr>
          <w:szCs w:val="20"/>
        </w:rPr>
      </w:pPr>
      <w:r w:rsidRPr="00930A44">
        <w:rPr>
          <w:szCs w:val="20"/>
        </w:rPr>
        <w:t xml:space="preserve">In </w:t>
      </w:r>
      <w:r w:rsidRPr="0013695A">
        <w:rPr>
          <w:rFonts w:eastAsia="Calibri" w:cs="Calibri"/>
          <w:color w:val="000000" w:themeColor="text1"/>
          <w:szCs w:val="20"/>
        </w:rPr>
        <w:t>202</w:t>
      </w:r>
      <w:r w:rsidR="0016740A">
        <w:rPr>
          <w:rFonts w:eastAsia="Calibri" w:cs="Calibri"/>
          <w:color w:val="000000" w:themeColor="text1"/>
          <w:szCs w:val="20"/>
        </w:rPr>
        <w:t>3</w:t>
      </w:r>
      <w:r w:rsidR="00DC447D">
        <w:rPr>
          <w:rFonts w:eastAsia="Calibri" w:cs="Calibri"/>
          <w:color w:val="000000" w:themeColor="text1"/>
          <w:szCs w:val="20"/>
        </w:rPr>
        <w:t>–</w:t>
      </w:r>
      <w:r w:rsidR="0016740A">
        <w:rPr>
          <w:rFonts w:eastAsia="Calibri" w:cs="Calibri"/>
          <w:color w:val="000000" w:themeColor="text1"/>
          <w:szCs w:val="20"/>
        </w:rPr>
        <w:t>24</w:t>
      </w:r>
      <w:r w:rsidRPr="0013695A">
        <w:rPr>
          <w:rFonts w:eastAsia="Calibri" w:cs="Calibri"/>
          <w:color w:val="000000" w:themeColor="text1"/>
          <w:szCs w:val="20"/>
        </w:rPr>
        <w:t>, the Audit and Risk Committee:</w:t>
      </w:r>
    </w:p>
    <w:p w14:paraId="5CE3D8B5" w14:textId="709DC15A" w:rsidR="00295434" w:rsidRPr="00BC5390" w:rsidRDefault="000000ED" w:rsidP="001D7BC5">
      <w:pPr>
        <w:pStyle w:val="ListParagraph"/>
      </w:pPr>
      <w:r w:rsidRPr="00BC5390">
        <w:lastRenderedPageBreak/>
        <w:t xml:space="preserve">considered internal audit reports and Queensland Audit Office reports including performance audit reports and associated </w:t>
      </w:r>
      <w:proofErr w:type="gramStart"/>
      <w:r w:rsidRPr="00BC5390">
        <w:t>recommendations</w:t>
      </w:r>
      <w:proofErr w:type="gramEnd"/>
    </w:p>
    <w:p w14:paraId="719E3D12" w14:textId="10756B69" w:rsidR="000000ED" w:rsidRPr="00BC5390" w:rsidRDefault="003863F7" w:rsidP="001D7BC5">
      <w:pPr>
        <w:pStyle w:val="ListParagraph"/>
      </w:pPr>
      <w:r w:rsidRPr="00BC5390">
        <w:t>r</w:t>
      </w:r>
      <w:r w:rsidR="000000ED" w:rsidRPr="00BC5390">
        <w:t>eceived updates on major initiatives in the department, including limited</w:t>
      </w:r>
      <w:r w:rsidR="00287744" w:rsidRPr="00BC5390">
        <w:t xml:space="preserve"> life</w:t>
      </w:r>
      <w:r w:rsidR="00E5101D" w:rsidRPr="00BC5390">
        <w:t xml:space="preserve"> programs and key departmental </w:t>
      </w:r>
      <w:proofErr w:type="gramStart"/>
      <w:r w:rsidR="00E5101D" w:rsidRPr="00BC5390">
        <w:t>risks</w:t>
      </w:r>
      <w:proofErr w:type="gramEnd"/>
    </w:p>
    <w:p w14:paraId="5AC47CE4" w14:textId="006A43E2" w:rsidR="00E5101D" w:rsidRPr="00BC5390" w:rsidRDefault="00F53652" w:rsidP="001D7BC5">
      <w:pPr>
        <w:pStyle w:val="ListParagraph"/>
      </w:pPr>
      <w:r w:rsidRPr="00BC5390">
        <w:t xml:space="preserve">monitored </w:t>
      </w:r>
      <w:r w:rsidR="00A30F89" w:rsidRPr="00BC5390">
        <w:t>and advised on the interim internal audit model which resulted from the machinery-of-government changes in December 2023.</w:t>
      </w:r>
    </w:p>
    <w:p w14:paraId="2BFD787D" w14:textId="00E56400" w:rsidR="00295434" w:rsidRPr="00DD6C23" w:rsidRDefault="00295434" w:rsidP="00295434">
      <w:pPr>
        <w:pStyle w:val="BodyText"/>
      </w:pPr>
      <w:r w:rsidRPr="00DD6C23">
        <w:t xml:space="preserve">The Audit and Risk Committee met on </w:t>
      </w:r>
      <w:r w:rsidR="00597F49" w:rsidRPr="00BC5390">
        <w:t>five</w:t>
      </w:r>
      <w:r w:rsidR="00597F49" w:rsidRPr="00DD6C23">
        <w:t xml:space="preserve"> </w:t>
      </w:r>
      <w:r w:rsidRPr="00DD6C23">
        <w:t xml:space="preserve">occasions during </w:t>
      </w:r>
      <w:r w:rsidR="0016740A">
        <w:t>2023</w:t>
      </w:r>
      <w:r w:rsidR="005C5F06">
        <w:t>–</w:t>
      </w:r>
      <w:r w:rsidR="0016740A">
        <w:t>24.</w:t>
      </w:r>
      <w:r w:rsidRPr="00DD6C23">
        <w:t xml:space="preserve"> </w:t>
      </w:r>
    </w:p>
    <w:p w14:paraId="75642A6B" w14:textId="591D66C4" w:rsidR="006A1368" w:rsidRDefault="00295434" w:rsidP="00295434">
      <w:pPr>
        <w:pStyle w:val="BodyText"/>
      </w:pPr>
      <w:r w:rsidRPr="00CA079A">
        <w:t>The remuneration paid to two external members was as follows:</w:t>
      </w:r>
      <w:r w:rsidRPr="00BC5390">
        <w:t xml:space="preserve"> </w:t>
      </w:r>
      <w:r w:rsidR="001763E5" w:rsidRPr="00BC5390">
        <w:t>Julie Anne Scha</w:t>
      </w:r>
      <w:r w:rsidR="00720951" w:rsidRPr="00BC5390">
        <w:t>fer</w:t>
      </w:r>
      <w:r w:rsidRPr="00BC5390">
        <w:t xml:space="preserve"> ($</w:t>
      </w:r>
      <w:r w:rsidR="00A10134">
        <w:t>3,</w:t>
      </w:r>
      <w:r w:rsidR="00CB3934">
        <w:t>098</w:t>
      </w:r>
      <w:r w:rsidRPr="00BC5390">
        <w:t xml:space="preserve">) and </w:t>
      </w:r>
      <w:r w:rsidR="00720951" w:rsidRPr="00BC5390">
        <w:t>Chris Johnson</w:t>
      </w:r>
      <w:r w:rsidRPr="00BC5390">
        <w:t xml:space="preserve"> ($</w:t>
      </w:r>
      <w:r w:rsidR="005D1CB5" w:rsidRPr="00BC5390">
        <w:t>6,006</w:t>
      </w:r>
      <w:r w:rsidRPr="00BC5390">
        <w:t>).</w:t>
      </w:r>
    </w:p>
    <w:p w14:paraId="2561BD49" w14:textId="091F9773" w:rsidR="003639C5" w:rsidRDefault="003639C5" w:rsidP="001B482D">
      <w:pPr>
        <w:pStyle w:val="DECHeading3"/>
      </w:pPr>
      <w:bookmarkStart w:id="738" w:name="_Toc172806448"/>
      <w:bookmarkStart w:id="739" w:name="_Toc172806734"/>
      <w:bookmarkStart w:id="740" w:name="_Toc172808596"/>
      <w:bookmarkStart w:id="741" w:name="_Toc174605735"/>
      <w:bookmarkStart w:id="742" w:name="_Toc176424873"/>
      <w:bookmarkStart w:id="743" w:name="_Toc176425032"/>
      <w:r>
        <w:t>Information Security Select Committee</w:t>
      </w:r>
      <w:bookmarkEnd w:id="738"/>
      <w:bookmarkEnd w:id="739"/>
      <w:bookmarkEnd w:id="740"/>
      <w:bookmarkEnd w:id="741"/>
      <w:bookmarkEnd w:id="742"/>
      <w:bookmarkEnd w:id="743"/>
    </w:p>
    <w:p w14:paraId="4E364C63" w14:textId="77777777" w:rsidR="00C523A4" w:rsidRPr="004066B5" w:rsidRDefault="00C523A4" w:rsidP="00C523A4">
      <w:pPr>
        <w:rPr>
          <w:lang w:eastAsia="en-AU"/>
        </w:rPr>
      </w:pPr>
      <w:r w:rsidRPr="004066B5">
        <w:rPr>
          <w:lang w:eastAsia="en-AU"/>
        </w:rPr>
        <w:t>The Information Security Select Committee will support the Director-General to comply with the Queensland Government Information Security Policy (IS18:2018</w:t>
      </w:r>
      <w:r>
        <w:rPr>
          <w:lang w:eastAsia="en-AU"/>
        </w:rPr>
        <w:t>)</w:t>
      </w:r>
      <w:r w:rsidRPr="004066B5">
        <w:rPr>
          <w:lang w:eastAsia="en-AU"/>
        </w:rPr>
        <w:t>.</w:t>
      </w:r>
      <w:r>
        <w:rPr>
          <w:lang w:eastAsia="en-AU"/>
        </w:rPr>
        <w:t xml:space="preserve"> </w:t>
      </w:r>
    </w:p>
    <w:p w14:paraId="141D4B0F" w14:textId="695100A2" w:rsidR="00C523A4" w:rsidRPr="004066B5" w:rsidRDefault="00C523A4" w:rsidP="00C523A4">
      <w:pPr>
        <w:rPr>
          <w:lang w:eastAsia="en-AU"/>
        </w:rPr>
      </w:pPr>
      <w:r w:rsidRPr="004066B5">
        <w:rPr>
          <w:lang w:eastAsia="en-AU"/>
        </w:rPr>
        <w:t>It will operate between June 2024 and September 2024</w:t>
      </w:r>
      <w:r>
        <w:rPr>
          <w:lang w:eastAsia="en-AU"/>
        </w:rPr>
        <w:t xml:space="preserve"> and will oversee </w:t>
      </w:r>
      <w:r w:rsidR="00BF60CD">
        <w:rPr>
          <w:lang w:eastAsia="en-AU"/>
        </w:rPr>
        <w:t>the department’s</w:t>
      </w:r>
      <w:r>
        <w:rPr>
          <w:lang w:eastAsia="en-AU"/>
        </w:rPr>
        <w:t xml:space="preserve"> information security annual return and the Information security plan for 2024–25</w:t>
      </w:r>
      <w:r w:rsidRPr="004066B5" w:rsidDel="000A5AC1">
        <w:rPr>
          <w:lang w:eastAsia="en-AU"/>
        </w:rPr>
        <w:t>.</w:t>
      </w:r>
    </w:p>
    <w:p w14:paraId="42D530CD" w14:textId="77777777" w:rsidR="00C523A4" w:rsidRDefault="00C523A4" w:rsidP="00C523A4">
      <w:pPr>
        <w:pStyle w:val="DECHeading4"/>
        <w:rPr>
          <w:lang w:eastAsia="en-AU"/>
        </w:rPr>
      </w:pPr>
      <w:bookmarkStart w:id="744" w:name="_Toc176424874"/>
      <w:bookmarkStart w:id="745" w:name="_Toc176425033"/>
      <w:r w:rsidRPr="00107E85">
        <w:rPr>
          <w:lang w:eastAsia="en-AU"/>
        </w:rPr>
        <w:t>Chair</w:t>
      </w:r>
      <w:r>
        <w:rPr>
          <w:lang w:eastAsia="en-AU"/>
        </w:rPr>
        <w:t xml:space="preserve">: </w:t>
      </w:r>
      <w:r w:rsidRPr="00570C25">
        <w:rPr>
          <w:b w:val="0"/>
          <w:lang w:eastAsia="en-AU"/>
        </w:rPr>
        <w:t>Deputy Director-General, Corporate Services</w:t>
      </w:r>
      <w:bookmarkEnd w:id="744"/>
      <w:bookmarkEnd w:id="745"/>
    </w:p>
    <w:p w14:paraId="07BE04B7" w14:textId="77777777" w:rsidR="00C523A4" w:rsidRPr="002458D2" w:rsidRDefault="00C523A4" w:rsidP="00C523A4">
      <w:pPr>
        <w:rPr>
          <w:b/>
        </w:rPr>
      </w:pPr>
      <w:r w:rsidRPr="002458D2">
        <w:rPr>
          <w:b/>
          <w:lang w:eastAsia="en-AU"/>
        </w:rPr>
        <w:t>Members:</w:t>
      </w:r>
      <w:r w:rsidRPr="002458D2">
        <w:rPr>
          <w:b/>
        </w:rPr>
        <w:t xml:space="preserve"> </w:t>
      </w:r>
    </w:p>
    <w:p w14:paraId="1FC78499" w14:textId="77777777" w:rsidR="00C523A4" w:rsidRDefault="00C523A4" w:rsidP="00C523A4">
      <w:pPr>
        <w:pStyle w:val="ListParagraph"/>
        <w:rPr>
          <w:lang w:eastAsia="en-AU"/>
        </w:rPr>
      </w:pPr>
      <w:r w:rsidRPr="00A7054A">
        <w:rPr>
          <w:lang w:eastAsia="en-AU"/>
        </w:rPr>
        <w:t xml:space="preserve">Deputy Director-General, </w:t>
      </w:r>
      <w:r w:rsidRPr="7370A06A">
        <w:rPr>
          <w:lang w:eastAsia="en-AU"/>
        </w:rPr>
        <w:t xml:space="preserve">Queensland Government </w:t>
      </w:r>
      <w:r w:rsidRPr="00A7054A">
        <w:rPr>
          <w:lang w:eastAsia="en-AU"/>
        </w:rPr>
        <w:t>Procurement</w:t>
      </w:r>
    </w:p>
    <w:p w14:paraId="4436AA30" w14:textId="77777777" w:rsidR="00C523A4" w:rsidRDefault="00C523A4" w:rsidP="00C523A4">
      <w:pPr>
        <w:pStyle w:val="ListParagraph"/>
        <w:numPr>
          <w:ilvl w:val="0"/>
          <w:numId w:val="11"/>
        </w:numPr>
        <w:rPr>
          <w:lang w:eastAsia="en-AU"/>
        </w:rPr>
      </w:pPr>
      <w:r w:rsidRPr="00A7054A">
        <w:rPr>
          <w:lang w:eastAsia="en-AU"/>
        </w:rPr>
        <w:t>General Manager, QFleet</w:t>
      </w:r>
    </w:p>
    <w:p w14:paraId="002BCDA8" w14:textId="77777777" w:rsidR="00C523A4" w:rsidRPr="007F3AE4" w:rsidRDefault="00C523A4" w:rsidP="00C523A4">
      <w:pPr>
        <w:pStyle w:val="ListParagraph"/>
        <w:numPr>
          <w:ilvl w:val="0"/>
          <w:numId w:val="11"/>
        </w:numPr>
        <w:rPr>
          <w:lang w:eastAsia="en-AU"/>
        </w:rPr>
      </w:pPr>
      <w:r w:rsidRPr="007F3AE4">
        <w:rPr>
          <w:lang w:eastAsia="en-AU"/>
        </w:rPr>
        <w:t>Executive Director, Strategy, National and Analytics, Energy</w:t>
      </w:r>
    </w:p>
    <w:p w14:paraId="2B7D4DD2" w14:textId="77777777" w:rsidR="00C523A4" w:rsidRPr="007F3AE4" w:rsidRDefault="00C523A4" w:rsidP="00C523A4">
      <w:pPr>
        <w:pStyle w:val="ListParagraph"/>
        <w:numPr>
          <w:ilvl w:val="0"/>
          <w:numId w:val="11"/>
        </w:numPr>
        <w:rPr>
          <w:lang w:eastAsia="en-AU"/>
        </w:rPr>
      </w:pPr>
      <w:r w:rsidRPr="007F3AE4">
        <w:rPr>
          <w:lang w:eastAsia="en-AU"/>
        </w:rPr>
        <w:t>Executive Director, Strategy, Performance and Digital</w:t>
      </w:r>
      <w:r>
        <w:rPr>
          <w:lang w:eastAsia="en-AU"/>
        </w:rPr>
        <w:t>, Corporate Services</w:t>
      </w:r>
    </w:p>
    <w:p w14:paraId="011F3614" w14:textId="77777777" w:rsidR="00C523A4" w:rsidRDefault="00C523A4" w:rsidP="00C523A4">
      <w:pPr>
        <w:pStyle w:val="BodyText"/>
        <w:rPr>
          <w:rFonts w:eastAsia="Calibri" w:cs="Calibri"/>
          <w:color w:val="000000" w:themeColor="text1"/>
          <w:szCs w:val="20"/>
        </w:rPr>
      </w:pPr>
      <w:r w:rsidRPr="00930A44">
        <w:rPr>
          <w:szCs w:val="20"/>
        </w:rPr>
        <w:t xml:space="preserve">In </w:t>
      </w:r>
      <w:r w:rsidRPr="0013695A">
        <w:rPr>
          <w:rFonts w:eastAsia="Calibri" w:cs="Calibri"/>
          <w:color w:val="000000" w:themeColor="text1"/>
          <w:szCs w:val="20"/>
        </w:rPr>
        <w:t>202</w:t>
      </w:r>
      <w:r>
        <w:rPr>
          <w:rFonts w:eastAsia="Calibri" w:cs="Calibri"/>
          <w:color w:val="000000" w:themeColor="text1"/>
          <w:szCs w:val="20"/>
        </w:rPr>
        <w:t>3–24</w:t>
      </w:r>
      <w:r w:rsidRPr="0013695A">
        <w:rPr>
          <w:rFonts w:eastAsia="Calibri" w:cs="Calibri"/>
          <w:color w:val="000000" w:themeColor="text1"/>
          <w:szCs w:val="20"/>
        </w:rPr>
        <w:t xml:space="preserve">, the </w:t>
      </w:r>
      <w:r>
        <w:rPr>
          <w:rFonts w:eastAsia="Calibri" w:cs="Calibri"/>
          <w:color w:val="000000" w:themeColor="text1"/>
          <w:szCs w:val="20"/>
        </w:rPr>
        <w:t>Information Security Select Committee</w:t>
      </w:r>
      <w:r w:rsidRPr="0013695A">
        <w:rPr>
          <w:rFonts w:eastAsia="Calibri" w:cs="Calibri"/>
          <w:color w:val="000000" w:themeColor="text1"/>
          <w:szCs w:val="20"/>
        </w:rPr>
        <w:t>:</w:t>
      </w:r>
    </w:p>
    <w:p w14:paraId="256A5564" w14:textId="77777777" w:rsidR="00C523A4" w:rsidRPr="00930A44" w:rsidRDefault="00C523A4" w:rsidP="00C523A4">
      <w:pPr>
        <w:pStyle w:val="BodyText"/>
        <w:numPr>
          <w:ilvl w:val="0"/>
          <w:numId w:val="11"/>
        </w:numPr>
        <w:rPr>
          <w:szCs w:val="20"/>
        </w:rPr>
      </w:pPr>
      <w:r>
        <w:rPr>
          <w:szCs w:val="20"/>
        </w:rPr>
        <w:t>Confirmed the role of Information Security Select Committee members.</w:t>
      </w:r>
    </w:p>
    <w:p w14:paraId="7B5A92AD" w14:textId="0533D9CD" w:rsidR="00C523A4" w:rsidRPr="00930A44" w:rsidRDefault="00C523A4" w:rsidP="00C523A4">
      <w:pPr>
        <w:pStyle w:val="BodyText"/>
        <w:numPr>
          <w:ilvl w:val="0"/>
          <w:numId w:val="11"/>
        </w:numPr>
        <w:rPr>
          <w:szCs w:val="20"/>
        </w:rPr>
      </w:pPr>
      <w:r>
        <w:rPr>
          <w:szCs w:val="20"/>
        </w:rPr>
        <w:t>Received an update on</w:t>
      </w:r>
      <w:r w:rsidR="00B56EDD">
        <w:rPr>
          <w:szCs w:val="20"/>
        </w:rPr>
        <w:t xml:space="preserve"> the department’s</w:t>
      </w:r>
      <w:r>
        <w:rPr>
          <w:szCs w:val="20"/>
        </w:rPr>
        <w:t xml:space="preserve"> progress towards implementing recommendations addressed to all government departments pertaining to cyber security from two Queensland Audit Office reports – </w:t>
      </w:r>
      <w:r w:rsidRPr="004A1638">
        <w:rPr>
          <w:i/>
          <w:iCs/>
          <w:szCs w:val="20"/>
        </w:rPr>
        <w:t>State entities 2023</w:t>
      </w:r>
      <w:r>
        <w:rPr>
          <w:szCs w:val="20"/>
        </w:rPr>
        <w:t xml:space="preserve"> and </w:t>
      </w:r>
      <w:proofErr w:type="gramStart"/>
      <w:r w:rsidRPr="004A1638">
        <w:rPr>
          <w:i/>
          <w:iCs/>
          <w:szCs w:val="20"/>
        </w:rPr>
        <w:t>Responding</w:t>
      </w:r>
      <w:proofErr w:type="gramEnd"/>
      <w:r w:rsidRPr="004A1638">
        <w:rPr>
          <w:i/>
          <w:iCs/>
          <w:szCs w:val="20"/>
        </w:rPr>
        <w:t xml:space="preserve"> to and recovering from cyber-attacks.</w:t>
      </w:r>
    </w:p>
    <w:p w14:paraId="5CB9E8C6" w14:textId="77777777" w:rsidR="00C523A4" w:rsidRPr="00EC1F72" w:rsidRDefault="00C523A4" w:rsidP="00C523A4">
      <w:pPr>
        <w:rPr>
          <w:lang w:eastAsia="en-AU"/>
        </w:rPr>
      </w:pPr>
      <w:r w:rsidRPr="00DD6C23">
        <w:t xml:space="preserve">The </w:t>
      </w:r>
      <w:r>
        <w:t>Information Security Select</w:t>
      </w:r>
      <w:r w:rsidRPr="00DD6C23">
        <w:t xml:space="preserve"> Committee met on </w:t>
      </w:r>
      <w:r>
        <w:t>one</w:t>
      </w:r>
      <w:r w:rsidRPr="00DD6C23">
        <w:t xml:space="preserve"> occasion during </w:t>
      </w:r>
      <w:r>
        <w:t>2023–24.</w:t>
      </w:r>
    </w:p>
    <w:p w14:paraId="0827CFA7" w14:textId="037C1266" w:rsidR="008F54F4" w:rsidRPr="002C1958" w:rsidRDefault="008F54F4" w:rsidP="002C1958">
      <w:pPr>
        <w:pStyle w:val="DECheading11"/>
        <w:rPr>
          <w:rStyle w:val="Heading3Char"/>
          <w:rFonts w:ascii="Arial Nova" w:hAnsi="Arial Nova"/>
          <w:sz w:val="40"/>
          <w:szCs w:val="44"/>
        </w:rPr>
      </w:pPr>
      <w:bookmarkStart w:id="746" w:name="_Toc172794899"/>
      <w:bookmarkStart w:id="747" w:name="_Toc172806449"/>
      <w:bookmarkStart w:id="748" w:name="_Toc172806735"/>
      <w:bookmarkStart w:id="749" w:name="_Toc172808410"/>
      <w:bookmarkStart w:id="750" w:name="_Toc172808598"/>
      <w:bookmarkStart w:id="751" w:name="_Toc174605737"/>
      <w:bookmarkStart w:id="752" w:name="_Toc176424875"/>
      <w:bookmarkStart w:id="753" w:name="_Toc176425034"/>
      <w:r w:rsidRPr="002C1958">
        <w:rPr>
          <w:rStyle w:val="Heading3Char"/>
          <w:rFonts w:ascii="Arial Nova" w:hAnsi="Arial Nova"/>
          <w:sz w:val="40"/>
          <w:szCs w:val="44"/>
        </w:rPr>
        <w:t xml:space="preserve">Public </w:t>
      </w:r>
      <w:r w:rsidR="00200DD2">
        <w:rPr>
          <w:rStyle w:val="Heading3Char"/>
          <w:rFonts w:ascii="Arial Nova" w:hAnsi="Arial Nova"/>
          <w:sz w:val="40"/>
          <w:szCs w:val="44"/>
        </w:rPr>
        <w:t>s</w:t>
      </w:r>
      <w:r w:rsidRPr="002C1958">
        <w:rPr>
          <w:rStyle w:val="Heading3Char"/>
          <w:rFonts w:ascii="Arial Nova" w:hAnsi="Arial Nova"/>
          <w:sz w:val="40"/>
          <w:szCs w:val="44"/>
        </w:rPr>
        <w:t xml:space="preserve">ector </w:t>
      </w:r>
      <w:r w:rsidR="00200DD2">
        <w:rPr>
          <w:rStyle w:val="Heading3Char"/>
          <w:rFonts w:ascii="Arial Nova" w:hAnsi="Arial Nova"/>
          <w:sz w:val="40"/>
          <w:szCs w:val="44"/>
        </w:rPr>
        <w:t>e</w:t>
      </w:r>
      <w:r w:rsidRPr="002C1958">
        <w:rPr>
          <w:rStyle w:val="Heading3Char"/>
          <w:rFonts w:ascii="Arial Nova" w:hAnsi="Arial Nova"/>
          <w:sz w:val="40"/>
          <w:szCs w:val="44"/>
        </w:rPr>
        <w:t>thics</w:t>
      </w:r>
      <w:bookmarkEnd w:id="746"/>
      <w:bookmarkEnd w:id="747"/>
      <w:bookmarkEnd w:id="748"/>
      <w:bookmarkEnd w:id="749"/>
      <w:bookmarkEnd w:id="750"/>
      <w:bookmarkEnd w:id="751"/>
      <w:bookmarkEnd w:id="752"/>
      <w:bookmarkEnd w:id="753"/>
    </w:p>
    <w:p w14:paraId="4E4E3E19" w14:textId="77777777" w:rsidR="008F54F4" w:rsidRPr="00D10EC9" w:rsidRDefault="008F54F4" w:rsidP="008F54F4">
      <w:pPr>
        <w:pStyle w:val="BodyText"/>
      </w:pPr>
      <w:r w:rsidRPr="00D10EC9">
        <w:t>When performing official duties, employees are required to demonstrate high ethical standards and values in accordance with</w:t>
      </w:r>
      <w:r w:rsidRPr="00D10EC9" w:rsidDel="00B12654">
        <w:t xml:space="preserve"> </w:t>
      </w:r>
      <w:r w:rsidRPr="00D10EC9">
        <w:t xml:space="preserve">the </w:t>
      </w:r>
      <w:r w:rsidRPr="00D10EC9">
        <w:rPr>
          <w:i/>
        </w:rPr>
        <w:t>Public Sector Ethics Act 1994</w:t>
      </w:r>
      <w:r w:rsidRPr="00D10EC9">
        <w:t xml:space="preserve"> (PSE Act) and the </w:t>
      </w:r>
      <w:r w:rsidRPr="00D10EC9">
        <w:rPr>
          <w:i/>
        </w:rPr>
        <w:t xml:space="preserve">Code of </w:t>
      </w:r>
      <w:r w:rsidRPr="00D10EC9">
        <w:rPr>
          <w:i/>
          <w:iCs/>
        </w:rPr>
        <w:t>C</w:t>
      </w:r>
      <w:r w:rsidRPr="00D10EC9">
        <w:rPr>
          <w:i/>
        </w:rPr>
        <w:t xml:space="preserve">onduct for the Queensland </w:t>
      </w:r>
      <w:r w:rsidRPr="00D10EC9">
        <w:rPr>
          <w:i/>
          <w:iCs/>
        </w:rPr>
        <w:t>Public Service</w:t>
      </w:r>
      <w:r w:rsidRPr="00D10EC9">
        <w:t xml:space="preserve"> (the Code of Conduct). </w:t>
      </w:r>
    </w:p>
    <w:p w14:paraId="2AB112B6" w14:textId="77777777" w:rsidR="008F54F4" w:rsidRPr="00D10EC9" w:rsidRDefault="008F54F4" w:rsidP="008F54F4">
      <w:pPr>
        <w:pStyle w:val="BodyText"/>
      </w:pPr>
      <w:r w:rsidRPr="00D10EC9">
        <w:t>To ensure the department’s employees are aware of their ethical obligations and standards of behaviour expected of them, the department provides online Public Sector Ethics training (PSET). PSET includes content relating to:</w:t>
      </w:r>
    </w:p>
    <w:p w14:paraId="66278A7C" w14:textId="79320331" w:rsidR="008F54F4" w:rsidRPr="00D10EC9" w:rsidRDefault="008F54F4" w:rsidP="00113DF0">
      <w:pPr>
        <w:pStyle w:val="Bulletsround"/>
        <w:keepLines/>
        <w:numPr>
          <w:ilvl w:val="0"/>
          <w:numId w:val="14"/>
        </w:numPr>
        <w:ind w:left="378"/>
        <w:rPr>
          <w:rStyle w:val="BodyTextChar"/>
        </w:rPr>
      </w:pPr>
      <w:r w:rsidRPr="00D10EC9">
        <w:t>the four principles set out in the PSE Act</w:t>
      </w:r>
    </w:p>
    <w:p w14:paraId="15F8A3FF" w14:textId="77777777" w:rsidR="008F54F4" w:rsidRPr="00D10EC9" w:rsidRDefault="008F54F4" w:rsidP="00113DF0">
      <w:pPr>
        <w:pStyle w:val="Bulletsround"/>
        <w:keepLines/>
        <w:numPr>
          <w:ilvl w:val="0"/>
          <w:numId w:val="14"/>
        </w:numPr>
        <w:ind w:left="378"/>
      </w:pPr>
      <w:r w:rsidRPr="00D10EC9">
        <w:t>the Code of Conduct</w:t>
      </w:r>
    </w:p>
    <w:p w14:paraId="7EB82528" w14:textId="77777777" w:rsidR="008F54F4" w:rsidRPr="00D10EC9" w:rsidRDefault="008F54F4" w:rsidP="00113DF0">
      <w:pPr>
        <w:pStyle w:val="Bulletsround"/>
        <w:keepLines/>
        <w:numPr>
          <w:ilvl w:val="0"/>
          <w:numId w:val="14"/>
        </w:numPr>
        <w:ind w:left="378"/>
      </w:pPr>
      <w:r w:rsidRPr="00D10EC9">
        <w:t>ethical decision making</w:t>
      </w:r>
    </w:p>
    <w:p w14:paraId="79766038" w14:textId="77777777" w:rsidR="008F54F4" w:rsidRPr="00D10EC9" w:rsidRDefault="008F54F4" w:rsidP="00113DF0">
      <w:pPr>
        <w:pStyle w:val="Bulletsround"/>
        <w:keepLines/>
        <w:numPr>
          <w:ilvl w:val="0"/>
          <w:numId w:val="14"/>
        </w:numPr>
        <w:ind w:left="378"/>
      </w:pPr>
      <w:r w:rsidRPr="00D10EC9">
        <w:t xml:space="preserve">other key legislation guiding professional conduct, including employees’ responsibilities and obligations. </w:t>
      </w:r>
    </w:p>
    <w:p w14:paraId="4D564BBD" w14:textId="77777777" w:rsidR="008F54F4" w:rsidRPr="00D10EC9" w:rsidRDefault="008F54F4" w:rsidP="008F54F4">
      <w:pPr>
        <w:pStyle w:val="BodyText"/>
      </w:pPr>
      <w:r w:rsidRPr="00D10EC9">
        <w:lastRenderedPageBreak/>
        <w:t xml:space="preserve">PSET is provided to new employees as part of induction. Existing employees are required to undertake a mandatory PSET refresher on an annual basis. </w:t>
      </w:r>
    </w:p>
    <w:p w14:paraId="02A47432" w14:textId="0B6EED7C" w:rsidR="008F54F4" w:rsidRPr="00D10EC9" w:rsidRDefault="008F54F4" w:rsidP="008F54F4">
      <w:pPr>
        <w:pStyle w:val="BodyText"/>
        <w:rPr>
          <w:rFonts w:eastAsia="Calibri" w:cs="Arial"/>
          <w:szCs w:val="20"/>
        </w:rPr>
      </w:pPr>
      <w:r w:rsidRPr="00D10EC9">
        <w:t>During 2023</w:t>
      </w:r>
      <w:r w:rsidR="005C2B60">
        <w:t>–</w:t>
      </w:r>
      <w:r w:rsidRPr="00D10EC9">
        <w:t xml:space="preserve">24, the department also developed and delivered a range of prevention, awareness and education initiatives relating to ethical conduct, with a particular focus on integrity, ethical decision making, corrupt conduct prevention and management of conflicts of interest. </w:t>
      </w:r>
    </w:p>
    <w:p w14:paraId="7A0A502B" w14:textId="019A0088" w:rsidR="008F54F4" w:rsidRPr="00D10EC9" w:rsidRDefault="008F54F4" w:rsidP="008F54F4">
      <w:pPr>
        <w:pStyle w:val="BodyText"/>
      </w:pPr>
      <w:r w:rsidRPr="00D10EC9">
        <w:t>The department has a robust</w:t>
      </w:r>
      <w:r w:rsidRPr="00D10EC9" w:rsidDel="00895EBC">
        <w:t xml:space="preserve"> </w:t>
      </w:r>
      <w:r w:rsidRPr="00D10EC9" w:rsidDel="00941BCE">
        <w:t>Integrity Framework</w:t>
      </w:r>
      <w:r w:rsidRPr="00D10EC9">
        <w:t>, which</w:t>
      </w:r>
      <w:r w:rsidRPr="00D10EC9" w:rsidDel="00941BCE">
        <w:t xml:space="preserve"> </w:t>
      </w:r>
      <w:r w:rsidRPr="00D10EC9">
        <w:t xml:space="preserve">represents an integrated approach to preventing, </w:t>
      </w:r>
      <w:proofErr w:type="gramStart"/>
      <w:r w:rsidRPr="00D10EC9">
        <w:t>detecting</w:t>
      </w:r>
      <w:proofErr w:type="gramEnd"/>
      <w:r w:rsidRPr="00D10EC9">
        <w:t xml:space="preserve"> and responding to serious wrongdoing (including suspected fraud and corruption) in the department. </w:t>
      </w:r>
    </w:p>
    <w:p w14:paraId="59CA4E44" w14:textId="26FD4B66" w:rsidR="005560DE" w:rsidRPr="00747FD1" w:rsidRDefault="008F54F4" w:rsidP="00A66476">
      <w:pPr>
        <w:pStyle w:val="BodyText"/>
      </w:pPr>
      <w:r w:rsidRPr="00D10EC9">
        <w:t xml:space="preserve">The Integrity Framework is underpinned by legislation governing ethical conduct (including the PSE Act), the Code of Conduct and the department’s integrity policies and procedures. </w:t>
      </w:r>
      <w:r w:rsidR="00D10D45" w:rsidRPr="00D10EC9">
        <w:t>The department</w:t>
      </w:r>
      <w:r w:rsidRPr="00D10EC9">
        <w:t xml:space="preserve"> promotes, </w:t>
      </w:r>
      <w:proofErr w:type="gramStart"/>
      <w:r w:rsidRPr="00D10EC9">
        <w:t>encourages</w:t>
      </w:r>
      <w:proofErr w:type="gramEnd"/>
      <w:r w:rsidRPr="00D10EC9">
        <w:t xml:space="preserve"> and supports an ethical and accountable culture within the department. </w:t>
      </w:r>
    </w:p>
    <w:p w14:paraId="364AAF2A" w14:textId="5C0EA23B" w:rsidR="00587CE7" w:rsidRPr="00BC5390" w:rsidRDefault="00890817" w:rsidP="001B482D">
      <w:pPr>
        <w:pStyle w:val="DECheading11"/>
      </w:pPr>
      <w:bookmarkStart w:id="754" w:name="_Toc73900132"/>
      <w:bookmarkStart w:id="755" w:name="_Toc111189239"/>
      <w:bookmarkStart w:id="756" w:name="_Toc138317867"/>
      <w:bookmarkStart w:id="757" w:name="Risk"/>
      <w:bookmarkStart w:id="758" w:name="_Toc172794900"/>
      <w:bookmarkStart w:id="759" w:name="_Toc172806450"/>
      <w:bookmarkStart w:id="760" w:name="_Toc172806736"/>
      <w:bookmarkStart w:id="761" w:name="_Toc172808411"/>
      <w:bookmarkStart w:id="762" w:name="_Toc172808599"/>
      <w:bookmarkStart w:id="763" w:name="_Toc174605738"/>
      <w:bookmarkStart w:id="764" w:name="_Toc176424876"/>
      <w:bookmarkStart w:id="765" w:name="_Toc176425035"/>
      <w:r w:rsidRPr="00D921E3">
        <w:t xml:space="preserve">Risk </w:t>
      </w:r>
      <w:proofErr w:type="gramStart"/>
      <w:r w:rsidR="0021292B">
        <w:t>m</w:t>
      </w:r>
      <w:r w:rsidRPr="00D921E3">
        <w:t>anagement</w:t>
      </w:r>
      <w:bookmarkEnd w:id="754"/>
      <w:bookmarkEnd w:id="755"/>
      <w:bookmarkEnd w:id="756"/>
      <w:bookmarkEnd w:id="757"/>
      <w:bookmarkEnd w:id="758"/>
      <w:bookmarkEnd w:id="759"/>
      <w:bookmarkEnd w:id="760"/>
      <w:bookmarkEnd w:id="761"/>
      <w:bookmarkEnd w:id="762"/>
      <w:bookmarkEnd w:id="763"/>
      <w:bookmarkEnd w:id="764"/>
      <w:bookmarkEnd w:id="765"/>
      <w:proofErr w:type="gramEnd"/>
    </w:p>
    <w:p w14:paraId="4C0006D2" w14:textId="3BBD571C" w:rsidR="00E44F85" w:rsidRPr="00BC5390" w:rsidRDefault="00D931DE" w:rsidP="007D5C38">
      <w:pPr>
        <w:pStyle w:val="BodyText"/>
      </w:pPr>
      <w:r w:rsidRPr="00BC5390">
        <w:t xml:space="preserve">As a result of the </w:t>
      </w:r>
      <w:r w:rsidR="00642EBF">
        <w:t>m</w:t>
      </w:r>
      <w:r w:rsidRPr="00BC5390">
        <w:t>achinery</w:t>
      </w:r>
      <w:r w:rsidR="00642EBF">
        <w:t>-</w:t>
      </w:r>
      <w:r w:rsidRPr="00BC5390">
        <w:t>of</w:t>
      </w:r>
      <w:r w:rsidR="00642EBF">
        <w:t>-g</w:t>
      </w:r>
      <w:r w:rsidRPr="00BC5390">
        <w:t>overnment changes on 18 December 2023, the department</w:t>
      </w:r>
      <w:r w:rsidR="0084130D" w:rsidRPr="00BC5390">
        <w:t xml:space="preserve"> renewed its risk </w:t>
      </w:r>
      <w:r w:rsidR="009C367B" w:rsidRPr="00BC5390">
        <w:t>system and</w:t>
      </w:r>
      <w:r w:rsidRPr="00BC5390">
        <w:t xml:space="preserve"> </w:t>
      </w:r>
      <w:r w:rsidR="003A7F75" w:rsidRPr="00BC5390">
        <w:t xml:space="preserve">built upon the </w:t>
      </w:r>
      <w:r w:rsidR="009C367B" w:rsidRPr="00BC5390">
        <w:t xml:space="preserve">processes </w:t>
      </w:r>
      <w:r w:rsidR="0084130D" w:rsidRPr="00BC5390">
        <w:t>in place for the previous Department of Energy and Public Works.</w:t>
      </w:r>
      <w:r w:rsidR="00E44F85" w:rsidRPr="00BC5390">
        <w:t xml:space="preserve"> </w:t>
      </w:r>
      <w:r w:rsidR="009C367B" w:rsidRPr="00BC5390">
        <w:t xml:space="preserve">The department’s risk system </w:t>
      </w:r>
      <w:r w:rsidR="004D2CDD" w:rsidRPr="00BC5390">
        <w:t>outlines</w:t>
      </w:r>
      <w:r w:rsidR="00E44F85" w:rsidRPr="00BC5390">
        <w:t xml:space="preserve"> six focus areas to integrate risk management into key planning processes, performance monitoring and departmental activities, </w:t>
      </w:r>
      <w:r w:rsidR="00C6505D" w:rsidRPr="00BC5390">
        <w:t xml:space="preserve">to </w:t>
      </w:r>
      <w:r w:rsidR="00E44F85" w:rsidRPr="00BC5390">
        <w:t>ensur</w:t>
      </w:r>
      <w:r w:rsidR="009A6DB6" w:rsidRPr="00BC5390">
        <w:t>e</w:t>
      </w:r>
      <w:r w:rsidR="00E44F85" w:rsidRPr="00BC5390">
        <w:t xml:space="preserve"> risk management is applied consistently and enable</w:t>
      </w:r>
      <w:r w:rsidR="00C6505D" w:rsidRPr="00BC5390">
        <w:t>s</w:t>
      </w:r>
      <w:r w:rsidR="00E44F85" w:rsidRPr="00BC5390">
        <w:t xml:space="preserve"> sound, </w:t>
      </w:r>
      <w:r w:rsidR="00B92515" w:rsidRPr="00BC5390">
        <w:t>evidence-based</w:t>
      </w:r>
      <w:r w:rsidR="00E44F85" w:rsidRPr="00BC5390">
        <w:t xml:space="preserve"> decision making</w:t>
      </w:r>
      <w:r w:rsidR="00BD02D7" w:rsidRPr="00BC5390">
        <w:t>.</w:t>
      </w:r>
    </w:p>
    <w:p w14:paraId="1027BEB2" w14:textId="3F2CF026" w:rsidR="00A04C08" w:rsidRPr="00BC5390" w:rsidRDefault="001F1F2A" w:rsidP="00D90DD8">
      <w:pPr>
        <w:pStyle w:val="ListParagraph"/>
        <w:numPr>
          <w:ilvl w:val="0"/>
          <w:numId w:val="10"/>
        </w:numPr>
      </w:pPr>
      <w:r w:rsidRPr="00BC5390">
        <w:rPr>
          <w:b/>
        </w:rPr>
        <w:t xml:space="preserve">Governance and </w:t>
      </w:r>
      <w:r w:rsidR="007D14E5">
        <w:rPr>
          <w:b/>
        </w:rPr>
        <w:t>a</w:t>
      </w:r>
      <w:r w:rsidRPr="00BC5390">
        <w:rPr>
          <w:b/>
        </w:rPr>
        <w:t>ssurance</w:t>
      </w:r>
      <w:r w:rsidRPr="00BC5390">
        <w:t xml:space="preserve"> - governance and accountability structure</w:t>
      </w:r>
      <w:r w:rsidR="00796107" w:rsidRPr="00BC5390">
        <w:t>s</w:t>
      </w:r>
      <w:r w:rsidRPr="00BC5390">
        <w:t xml:space="preserve"> mandate the risk function and ensures its effective operation</w:t>
      </w:r>
      <w:r w:rsidR="00A04C08" w:rsidRPr="00BC5390">
        <w:t xml:space="preserve">. The department’s </w:t>
      </w:r>
      <w:r w:rsidR="003224EE" w:rsidRPr="00BC5390">
        <w:t>Executive Board</w:t>
      </w:r>
      <w:r w:rsidR="00A04C08" w:rsidRPr="00BC5390">
        <w:t xml:space="preserve"> monitor relevant risks, </w:t>
      </w:r>
      <w:r w:rsidR="00325330" w:rsidRPr="00BC5390">
        <w:t>the Audit and Risk Committee</w:t>
      </w:r>
      <w:r w:rsidR="00A04C08" w:rsidRPr="00BC5390">
        <w:t xml:space="preserve"> and Internal Audit provide independent oversight and assurance</w:t>
      </w:r>
      <w:r w:rsidR="005053D6" w:rsidRPr="00BC5390">
        <w:t>.</w:t>
      </w:r>
    </w:p>
    <w:p w14:paraId="5414CEF1" w14:textId="411EA632" w:rsidR="00C429A3" w:rsidRPr="00BC5390" w:rsidRDefault="00C429A3" w:rsidP="00D90DD8">
      <w:pPr>
        <w:pStyle w:val="ListParagraph"/>
        <w:numPr>
          <w:ilvl w:val="0"/>
          <w:numId w:val="10"/>
        </w:numPr>
      </w:pPr>
      <w:r w:rsidRPr="00BC5390">
        <w:rPr>
          <w:b/>
        </w:rPr>
        <w:t>Policy and framework</w:t>
      </w:r>
      <w:r w:rsidRPr="00BC5390">
        <w:t xml:space="preserve"> - </w:t>
      </w:r>
      <w:r w:rsidR="009D6EB6" w:rsidRPr="00BC5390">
        <w:t>t</w:t>
      </w:r>
      <w:r w:rsidRPr="00BC5390">
        <w:t>he department’s Risk Management Framework, based on international standard AS/NZS ISO 31000:2018, and Risk Management Policy</w:t>
      </w:r>
      <w:r w:rsidR="00F80D91" w:rsidRPr="00BC5390">
        <w:t>,</w:t>
      </w:r>
      <w:r w:rsidRPr="00BC5390">
        <w:t xml:space="preserve"> sets the organisation’s tone and expectations, articulates processes</w:t>
      </w:r>
      <w:r w:rsidR="0032785D" w:rsidRPr="00BC5390">
        <w:t xml:space="preserve"> and</w:t>
      </w:r>
      <w:r w:rsidRPr="00BC5390">
        <w:t xml:space="preserve"> guides using risk management for effective prioritisation of resources.</w:t>
      </w:r>
    </w:p>
    <w:p w14:paraId="45567CC7" w14:textId="6FC0427A" w:rsidR="00B500BA" w:rsidRPr="00BC5390" w:rsidRDefault="00B500BA" w:rsidP="00D90DD8">
      <w:pPr>
        <w:pStyle w:val="ListParagraph"/>
        <w:numPr>
          <w:ilvl w:val="0"/>
          <w:numId w:val="10"/>
        </w:numPr>
      </w:pPr>
      <w:r w:rsidRPr="00BC5390">
        <w:rPr>
          <w:b/>
        </w:rPr>
        <w:t>Risk appetite</w:t>
      </w:r>
      <w:r w:rsidRPr="00BC5390">
        <w:t xml:space="preserve"> - </w:t>
      </w:r>
      <w:r w:rsidR="00417609" w:rsidRPr="00BC5390">
        <w:t>t</w:t>
      </w:r>
      <w:r w:rsidRPr="00BC5390">
        <w:t>he risk appetite sets risk taking expectations, supports resource allocation, and provides context to management in formulating strategy. The</w:t>
      </w:r>
      <w:r w:rsidR="00A11F03" w:rsidRPr="00BC5390">
        <w:t>re</w:t>
      </w:r>
      <w:r w:rsidRPr="00BC5390">
        <w:t xml:space="preserve"> </w:t>
      </w:r>
      <w:r w:rsidR="00A11F03" w:rsidRPr="00BC5390">
        <w:t>are</w:t>
      </w:r>
      <w:r w:rsidRPr="00BC5390">
        <w:t xml:space="preserve"> different tolerances depending on the nature of a risk, with no tolerance for fraud and corruption risks</w:t>
      </w:r>
      <w:r w:rsidR="00184B07" w:rsidRPr="00BC5390">
        <w:t xml:space="preserve"> and low tolerance for </w:t>
      </w:r>
      <w:r w:rsidR="0046623F" w:rsidRPr="00BC5390">
        <w:t xml:space="preserve">critical </w:t>
      </w:r>
      <w:r w:rsidR="00184B07" w:rsidRPr="00BC5390">
        <w:t xml:space="preserve">information </w:t>
      </w:r>
      <w:r w:rsidR="0046623F" w:rsidRPr="00BC5390">
        <w:t>asset</w:t>
      </w:r>
      <w:r w:rsidR="00184B07" w:rsidRPr="00BC5390">
        <w:t xml:space="preserve"> risks</w:t>
      </w:r>
      <w:r w:rsidRPr="00BC5390">
        <w:t>.</w:t>
      </w:r>
    </w:p>
    <w:p w14:paraId="7F757BBD" w14:textId="5DC49B8F" w:rsidR="00947D4B" w:rsidRPr="00BC5390" w:rsidRDefault="00947D4B" w:rsidP="00D90DD8">
      <w:pPr>
        <w:pStyle w:val="ListParagraph"/>
        <w:numPr>
          <w:ilvl w:val="0"/>
          <w:numId w:val="10"/>
        </w:numPr>
      </w:pPr>
      <w:r w:rsidRPr="00BC5390">
        <w:rPr>
          <w:b/>
        </w:rPr>
        <w:t>Execution</w:t>
      </w:r>
      <w:r w:rsidR="006F3282" w:rsidRPr="00BC5390">
        <w:t xml:space="preserve"> -</w:t>
      </w:r>
      <w:r w:rsidRPr="00BC5390">
        <w:t xml:space="preserve"> the department’s risk management process is based on the </w:t>
      </w:r>
      <w:r w:rsidR="000F31C1" w:rsidRPr="00BC5390">
        <w:t>AS/NZS</w:t>
      </w:r>
      <w:r w:rsidR="00883806" w:rsidRPr="00BC5390">
        <w:t xml:space="preserve"> </w:t>
      </w:r>
      <w:r w:rsidRPr="00BC5390">
        <w:t>ISO</w:t>
      </w:r>
      <w:r w:rsidR="00883806" w:rsidRPr="00BC5390">
        <w:t xml:space="preserve"> </w:t>
      </w:r>
      <w:r w:rsidRPr="00BC5390">
        <w:t>31000</w:t>
      </w:r>
      <w:r w:rsidR="00883806" w:rsidRPr="00BC5390">
        <w:t>:2018</w:t>
      </w:r>
      <w:r w:rsidRPr="00BC5390">
        <w:t xml:space="preserve"> standard – establishing the context, identifying, analysing, evaluating, treating, monitoring, </w:t>
      </w:r>
      <w:proofErr w:type="gramStart"/>
      <w:r w:rsidRPr="00BC5390">
        <w:t>reporting</w:t>
      </w:r>
      <w:proofErr w:type="gramEnd"/>
      <w:r w:rsidRPr="00BC5390">
        <w:t xml:space="preserve"> and communicating risks associated with any activity or function</w:t>
      </w:r>
      <w:r w:rsidR="00DF55B0" w:rsidRPr="00BC5390">
        <w:t>.</w:t>
      </w:r>
      <w:r w:rsidRPr="00BC5390">
        <w:t xml:space="preserve"> </w:t>
      </w:r>
      <w:r w:rsidR="00C6505D">
        <w:t>Strategic</w:t>
      </w:r>
      <w:r w:rsidR="00C6505D" w:rsidRPr="00BC5390">
        <w:t xml:space="preserve"> </w:t>
      </w:r>
      <w:r w:rsidR="005F6067" w:rsidRPr="00BC5390">
        <w:t xml:space="preserve">risks are managed </w:t>
      </w:r>
      <w:r w:rsidR="00223C74">
        <w:t xml:space="preserve">by </w:t>
      </w:r>
      <w:r w:rsidR="00F07AD2">
        <w:t>relevant Deputy</w:t>
      </w:r>
      <w:r w:rsidR="003D01C4">
        <w:t xml:space="preserve"> </w:t>
      </w:r>
      <w:r w:rsidR="00F07AD2">
        <w:t>Director</w:t>
      </w:r>
      <w:r w:rsidR="00992127">
        <w:t>s-</w:t>
      </w:r>
      <w:r w:rsidR="00F07AD2">
        <w:t>General</w:t>
      </w:r>
      <w:r w:rsidR="00223C74">
        <w:t xml:space="preserve"> and reported to the </w:t>
      </w:r>
      <w:r w:rsidR="00F07AD2">
        <w:t xml:space="preserve">Executive </w:t>
      </w:r>
      <w:r w:rsidR="00223C74">
        <w:t>Board.</w:t>
      </w:r>
      <w:r w:rsidR="008741E4">
        <w:t xml:space="preserve"> </w:t>
      </w:r>
      <w:r w:rsidR="00F21223" w:rsidDel="00223C74">
        <w:t>Operational</w:t>
      </w:r>
      <w:r w:rsidR="00F21223" w:rsidRPr="00BC5390">
        <w:t xml:space="preserve"> risks are managed within divisions</w:t>
      </w:r>
      <w:r w:rsidR="00AC0E73" w:rsidRPr="00BC5390">
        <w:t xml:space="preserve"> via centrally located risk registers</w:t>
      </w:r>
      <w:r w:rsidR="008952CB" w:rsidRPr="00BC5390">
        <w:t xml:space="preserve"> </w:t>
      </w:r>
      <w:r w:rsidR="00A274AC" w:rsidRPr="00BC5390">
        <w:t>and</w:t>
      </w:r>
      <w:r w:rsidR="008952CB" w:rsidRPr="00BC5390">
        <w:t xml:space="preserve"> a risk-based review schedule</w:t>
      </w:r>
      <w:r w:rsidR="00A274AC" w:rsidRPr="00BC5390">
        <w:t xml:space="preserve"> is</w:t>
      </w:r>
      <w:r w:rsidR="008952CB" w:rsidRPr="00BC5390">
        <w:t xml:space="preserve"> in place</w:t>
      </w:r>
      <w:r w:rsidR="00F21223" w:rsidRPr="00BC5390">
        <w:t>.</w:t>
      </w:r>
    </w:p>
    <w:p w14:paraId="2CF6A93A" w14:textId="663F7D34" w:rsidR="00947D4B" w:rsidRPr="00BC5390" w:rsidRDefault="00D708A9" w:rsidP="00B84F9B">
      <w:pPr>
        <w:pStyle w:val="BodyText"/>
        <w:ind w:left="360"/>
      </w:pPr>
      <w:r w:rsidRPr="00BC5390">
        <w:t xml:space="preserve">Reporting </w:t>
      </w:r>
      <w:r w:rsidR="00947D4B" w:rsidRPr="00BC5390">
        <w:t xml:space="preserve">to inform, </w:t>
      </w:r>
      <w:proofErr w:type="gramStart"/>
      <w:r w:rsidR="00947D4B" w:rsidRPr="00BC5390">
        <w:t>discuss</w:t>
      </w:r>
      <w:proofErr w:type="gramEnd"/>
      <w:r w:rsidR="00947D4B" w:rsidRPr="00BC5390">
        <w:t xml:space="preserve"> and support decision making regarding mitigations</w:t>
      </w:r>
      <w:r w:rsidR="007D033B" w:rsidRPr="00BC5390">
        <w:t xml:space="preserve"> is provided to</w:t>
      </w:r>
      <w:r w:rsidR="00947D4B" w:rsidRPr="00BC5390">
        <w:t xml:space="preserve"> </w:t>
      </w:r>
      <w:r w:rsidR="005B3384">
        <w:t xml:space="preserve">the Executive Board </w:t>
      </w:r>
      <w:r w:rsidR="00B4309E" w:rsidRPr="00BC5390">
        <w:t>and</w:t>
      </w:r>
      <w:r w:rsidR="00C55D74" w:rsidRPr="00BC5390">
        <w:t xml:space="preserve"> the</w:t>
      </w:r>
      <w:r w:rsidR="00947D4B" w:rsidRPr="00BC5390">
        <w:t xml:space="preserve"> Audit and Risk Committee. </w:t>
      </w:r>
    </w:p>
    <w:p w14:paraId="5B7E93BE" w14:textId="066FFB7E" w:rsidR="00151C09" w:rsidRPr="00BC5390" w:rsidRDefault="00151C09" w:rsidP="00D90DD8">
      <w:pPr>
        <w:pStyle w:val="ListParagraph"/>
        <w:numPr>
          <w:ilvl w:val="0"/>
          <w:numId w:val="10"/>
        </w:numPr>
      </w:pPr>
      <w:r w:rsidRPr="00BC5390">
        <w:rPr>
          <w:b/>
        </w:rPr>
        <w:t>Competency</w:t>
      </w:r>
      <w:r w:rsidRPr="00BC5390">
        <w:t xml:space="preserve"> - </w:t>
      </w:r>
      <w:r w:rsidR="00CF7D00" w:rsidRPr="00BC5390">
        <w:t>t</w:t>
      </w:r>
      <w:r w:rsidRPr="00BC5390">
        <w:t>he department is focussed on building risk management capability and better risk management practices.</w:t>
      </w:r>
      <w:r w:rsidR="005A0F19" w:rsidRPr="00BC5390">
        <w:t xml:space="preserve"> </w:t>
      </w:r>
      <w:r w:rsidR="00C0179E" w:rsidRPr="00BC5390">
        <w:t xml:space="preserve">To help build a risk-capable department, an online Risk Resource Centre is available for staff which incorporates tools, templates, </w:t>
      </w:r>
      <w:r w:rsidR="000D2540" w:rsidRPr="00BC5390">
        <w:t xml:space="preserve">and an </w:t>
      </w:r>
      <w:r w:rsidR="00C0179E" w:rsidRPr="00BC5390">
        <w:t>operational risk management manual</w:t>
      </w:r>
      <w:r w:rsidR="00332616" w:rsidRPr="00BC5390">
        <w:t>.</w:t>
      </w:r>
    </w:p>
    <w:p w14:paraId="3E8BDF49" w14:textId="542F8046" w:rsidR="002B5DF1" w:rsidRPr="00BC5390" w:rsidRDefault="00151C09" w:rsidP="00D90DD8">
      <w:pPr>
        <w:pStyle w:val="ListParagraph"/>
        <w:numPr>
          <w:ilvl w:val="0"/>
          <w:numId w:val="10"/>
        </w:numPr>
      </w:pPr>
      <w:r w:rsidRPr="00BC5390">
        <w:rPr>
          <w:b/>
        </w:rPr>
        <w:t>Culture</w:t>
      </w:r>
      <w:r w:rsidR="00D873C3" w:rsidRPr="00BC5390">
        <w:t xml:space="preserve"> - t</w:t>
      </w:r>
      <w:r w:rsidRPr="00BC5390">
        <w:t xml:space="preserve">he department aims to create a culture in which understanding, </w:t>
      </w:r>
      <w:proofErr w:type="gramStart"/>
      <w:r w:rsidRPr="00BC5390">
        <w:t>managing</w:t>
      </w:r>
      <w:proofErr w:type="gramEnd"/>
      <w:r w:rsidRPr="00BC5390">
        <w:t xml:space="preserve"> and accepting risks is seen as part of everyone’s everyday decision-making processes. The tone is set by the department’s </w:t>
      </w:r>
      <w:r w:rsidR="007228EC">
        <w:t>Executive Board</w:t>
      </w:r>
      <w:r w:rsidRPr="00BC5390">
        <w:t xml:space="preserve">. </w:t>
      </w:r>
    </w:p>
    <w:p w14:paraId="0A91FFB2" w14:textId="77777777" w:rsidR="00E41B0F" w:rsidRDefault="00E41B0F" w:rsidP="00B84F9B">
      <w:pPr>
        <w:pStyle w:val="Heading1"/>
        <w:sectPr w:rsidR="00E41B0F" w:rsidSect="00541D8A">
          <w:headerReference w:type="even" r:id="rId62"/>
          <w:headerReference w:type="default" r:id="rId63"/>
          <w:pgSz w:w="11906" w:h="16838"/>
          <w:pgMar w:top="2098" w:right="1191" w:bottom="1701" w:left="1191" w:header="720" w:footer="720" w:gutter="0"/>
          <w:cols w:space="310"/>
        </w:sectPr>
      </w:pPr>
      <w:bookmarkStart w:id="766" w:name="_Internal_Audit"/>
      <w:bookmarkStart w:id="767" w:name="_Toc73900134"/>
      <w:bookmarkStart w:id="768" w:name="Integrity_Services"/>
      <w:bookmarkStart w:id="769" w:name="Internal_audi"/>
      <w:bookmarkEnd w:id="766"/>
    </w:p>
    <w:p w14:paraId="5F407B98" w14:textId="11822ED3" w:rsidR="00587CE7" w:rsidRPr="00606F8A" w:rsidRDefault="00890817" w:rsidP="001B482D">
      <w:pPr>
        <w:pStyle w:val="DECheading11"/>
      </w:pPr>
      <w:bookmarkStart w:id="770" w:name="_Internal_Audit_1"/>
      <w:bookmarkStart w:id="771" w:name="_Toc111189240"/>
      <w:bookmarkStart w:id="772" w:name="_Toc138317868"/>
      <w:bookmarkStart w:id="773" w:name="_Toc172794901"/>
      <w:bookmarkStart w:id="774" w:name="_Toc172806451"/>
      <w:bookmarkStart w:id="775" w:name="_Toc172806737"/>
      <w:bookmarkStart w:id="776" w:name="_Toc172808412"/>
      <w:bookmarkStart w:id="777" w:name="_Toc172808600"/>
      <w:bookmarkStart w:id="778" w:name="_Toc174605739"/>
      <w:bookmarkStart w:id="779" w:name="_Toc176424877"/>
      <w:bookmarkStart w:id="780" w:name="_Toc176425036"/>
      <w:bookmarkEnd w:id="770"/>
      <w:r w:rsidRPr="0014232D">
        <w:lastRenderedPageBreak/>
        <w:t xml:space="preserve">Internal </w:t>
      </w:r>
      <w:r w:rsidR="00431B87">
        <w:t>a</w:t>
      </w:r>
      <w:r w:rsidRPr="0014232D">
        <w:t>udit</w:t>
      </w:r>
      <w:bookmarkStart w:id="781" w:name="_Toc73900135"/>
      <w:bookmarkEnd w:id="767"/>
      <w:bookmarkEnd w:id="768"/>
      <w:bookmarkEnd w:id="769"/>
      <w:bookmarkEnd w:id="771"/>
      <w:bookmarkEnd w:id="772"/>
      <w:bookmarkEnd w:id="773"/>
      <w:bookmarkEnd w:id="774"/>
      <w:bookmarkEnd w:id="775"/>
      <w:bookmarkEnd w:id="776"/>
      <w:bookmarkEnd w:id="777"/>
      <w:bookmarkEnd w:id="778"/>
      <w:bookmarkEnd w:id="779"/>
      <w:bookmarkEnd w:id="780"/>
    </w:p>
    <w:p w14:paraId="4FFB3061" w14:textId="272AC700" w:rsidR="00D26817" w:rsidRPr="00BC5390" w:rsidRDefault="00D26817" w:rsidP="00D26817">
      <w:pPr>
        <w:pStyle w:val="BodyText"/>
      </w:pPr>
      <w:bookmarkStart w:id="782" w:name="_Information_Systems_and"/>
      <w:bookmarkStart w:id="783" w:name="Information_Systems_Recordkeeping"/>
      <w:bookmarkStart w:id="784" w:name="_Toc111189241"/>
      <w:bookmarkStart w:id="785" w:name="_Toc138317869"/>
      <w:bookmarkEnd w:id="782"/>
      <w:r w:rsidRPr="00BC5390">
        <w:t xml:space="preserve">Internal Audit supports the department by providing assurance and advice to the Director-General, senior management and the Audit and Risk Committee on whether the department’s financial and operational controls are designed to manage the department’s risks and achieve the department’s objectives and are operating in an efficient and effective manner. </w:t>
      </w:r>
    </w:p>
    <w:p w14:paraId="727BE429" w14:textId="01C720CC" w:rsidR="00D26817" w:rsidRPr="00BC5390" w:rsidRDefault="00D26817" w:rsidP="00D26817">
      <w:pPr>
        <w:pStyle w:val="BodyText"/>
      </w:pPr>
      <w:r w:rsidRPr="00BC5390">
        <w:t>Internal Audit considers the departmental risks and changing risk environment when developing the strategic internal audit plan and triaging its program of works</w:t>
      </w:r>
      <w:r w:rsidR="00E90B9A" w:rsidRPr="00BC5390">
        <w:t xml:space="preserve"> and </w:t>
      </w:r>
      <w:r w:rsidRPr="00BC5390">
        <w:t>considers the coverage and management of risks and controls across the department to assess whether an appropriate level of assurance is maintained.</w:t>
      </w:r>
    </w:p>
    <w:p w14:paraId="15ECE8D7" w14:textId="7802584C" w:rsidR="00D26817" w:rsidRPr="00BC5390" w:rsidRDefault="00E90B9A" w:rsidP="00D26817">
      <w:pPr>
        <w:pStyle w:val="BodyText"/>
      </w:pPr>
      <w:r w:rsidRPr="00BC5390">
        <w:t>Prior to the machinery-of-government changes in December 2023, the department had a</w:t>
      </w:r>
      <w:r w:rsidR="00B00639" w:rsidRPr="00BC5390">
        <w:t xml:space="preserve"> separate</w:t>
      </w:r>
      <w:r w:rsidR="00DB1C47" w:rsidRPr="00BC5390">
        <w:t xml:space="preserve"> </w:t>
      </w:r>
      <w:r w:rsidR="00D26817" w:rsidRPr="00BC5390">
        <w:t xml:space="preserve">Internal Audit unit </w:t>
      </w:r>
      <w:r w:rsidR="00EA5875" w:rsidRPr="00BC5390">
        <w:t xml:space="preserve">to </w:t>
      </w:r>
      <w:r w:rsidR="00CA796A" w:rsidRPr="00BC5390">
        <w:t>provide</w:t>
      </w:r>
      <w:r w:rsidR="00D26817" w:rsidRPr="00BC5390">
        <w:t xml:space="preserve"> a quality assurance and improvement program to ensure the efficient, </w:t>
      </w:r>
      <w:proofErr w:type="gramStart"/>
      <w:r w:rsidR="00D26817" w:rsidRPr="00BC5390">
        <w:t>effective</w:t>
      </w:r>
      <w:proofErr w:type="gramEnd"/>
      <w:r w:rsidR="00D26817" w:rsidRPr="00BC5390">
        <w:t xml:space="preserve"> and economical operation of the function. </w:t>
      </w:r>
    </w:p>
    <w:p w14:paraId="03B53C1D" w14:textId="6EFF5DCB" w:rsidR="001E0AFA" w:rsidRPr="00BC5390" w:rsidRDefault="001E0AFA" w:rsidP="001E0AFA">
      <w:pPr>
        <w:pStyle w:val="BodyText"/>
      </w:pPr>
      <w:r w:rsidRPr="00BC5390">
        <w:t xml:space="preserve">Since the machinery-of-government change, the department has continued with an interim internal audit model, with coordination of internal audit activities being undertaken </w:t>
      </w:r>
      <w:r w:rsidR="00072C93" w:rsidRPr="00BC5390">
        <w:t>within</w:t>
      </w:r>
      <w:r w:rsidRPr="00BC5390">
        <w:t xml:space="preserve"> Corporate Services in direct consultation with the Audit and Risk Committee and Director-General while an outsourced model was implemented for 2024</w:t>
      </w:r>
      <w:r w:rsidR="009A4300">
        <w:t>–</w:t>
      </w:r>
      <w:r w:rsidRPr="00BC5390">
        <w:t>25.</w:t>
      </w:r>
    </w:p>
    <w:p w14:paraId="3CAD41F8" w14:textId="7185F612" w:rsidR="00D26817" w:rsidRPr="00BC5390" w:rsidRDefault="00D26817" w:rsidP="00D26817">
      <w:pPr>
        <w:pStyle w:val="BodyText"/>
      </w:pPr>
      <w:r w:rsidRPr="00BC5390">
        <w:t>During 202</w:t>
      </w:r>
      <w:r w:rsidR="0052345E" w:rsidRPr="00BC5390">
        <w:t>3</w:t>
      </w:r>
      <w:r w:rsidRPr="00BC5390">
        <w:t>–2</w:t>
      </w:r>
      <w:r w:rsidR="0052345E" w:rsidRPr="00BC5390">
        <w:t>4</w:t>
      </w:r>
      <w:r w:rsidRPr="00BC5390">
        <w:t xml:space="preserve">, Internal Audit: </w:t>
      </w:r>
    </w:p>
    <w:p w14:paraId="2D1EA967" w14:textId="4453E37A" w:rsidR="00D26817" w:rsidRPr="00BC5390" w:rsidRDefault="00425640" w:rsidP="00D90DD8">
      <w:pPr>
        <w:pStyle w:val="BodyText"/>
        <w:numPr>
          <w:ilvl w:val="0"/>
          <w:numId w:val="11"/>
        </w:numPr>
      </w:pPr>
      <w:r w:rsidRPr="00BC5390">
        <w:t xml:space="preserve">completed </w:t>
      </w:r>
      <w:r w:rsidR="00CA7C45" w:rsidRPr="00BC5390">
        <w:t xml:space="preserve">four </w:t>
      </w:r>
      <w:r w:rsidRPr="00BC5390">
        <w:t xml:space="preserve">management requests and provided ongoing assurance </w:t>
      </w:r>
      <w:r w:rsidR="007F5AF3" w:rsidRPr="00BC5390">
        <w:t>via continuous controls monitoring in</w:t>
      </w:r>
      <w:r w:rsidRPr="00BC5390">
        <w:t xml:space="preserve"> distinct </w:t>
      </w:r>
      <w:proofErr w:type="gramStart"/>
      <w:r w:rsidRPr="00BC5390">
        <w:t>areas</w:t>
      </w:r>
      <w:proofErr w:type="gramEnd"/>
    </w:p>
    <w:p w14:paraId="0A3E6110" w14:textId="39CFDCD7" w:rsidR="00425640" w:rsidRPr="00BC5390" w:rsidRDefault="00425640" w:rsidP="00D90DD8">
      <w:pPr>
        <w:pStyle w:val="BodyText"/>
        <w:numPr>
          <w:ilvl w:val="0"/>
          <w:numId w:val="11"/>
        </w:numPr>
      </w:pPr>
      <w:r w:rsidRPr="00BC5390">
        <w:t xml:space="preserve">provided independent advice on a variety of project </w:t>
      </w:r>
      <w:proofErr w:type="gramStart"/>
      <w:r w:rsidRPr="00BC5390">
        <w:t>committees</w:t>
      </w:r>
      <w:proofErr w:type="gramEnd"/>
    </w:p>
    <w:p w14:paraId="0D97754F" w14:textId="16D4C819" w:rsidR="00425640" w:rsidRPr="00BC5390" w:rsidRDefault="00425640" w:rsidP="00D90DD8">
      <w:pPr>
        <w:pStyle w:val="BodyText"/>
        <w:numPr>
          <w:ilvl w:val="0"/>
          <w:numId w:val="11"/>
        </w:numPr>
      </w:pPr>
      <w:r w:rsidRPr="00BC5390">
        <w:t xml:space="preserve">followed up on open audit </w:t>
      </w:r>
      <w:proofErr w:type="gramStart"/>
      <w:r w:rsidRPr="00BC5390">
        <w:t>recommendations</w:t>
      </w:r>
      <w:proofErr w:type="gramEnd"/>
    </w:p>
    <w:p w14:paraId="1AB39090" w14:textId="5B63BFD6" w:rsidR="00425640" w:rsidRPr="00BC5390" w:rsidRDefault="00425640" w:rsidP="00D90DD8">
      <w:pPr>
        <w:pStyle w:val="BodyText"/>
        <w:numPr>
          <w:ilvl w:val="0"/>
          <w:numId w:val="11"/>
        </w:numPr>
      </w:pPr>
      <w:r w:rsidRPr="00BC5390">
        <w:t>provided ad hoc advice to management on a range of issues</w:t>
      </w:r>
      <w:r w:rsidR="00752C1F" w:rsidRPr="00BC5390">
        <w:t>.</w:t>
      </w:r>
    </w:p>
    <w:p w14:paraId="406AE970" w14:textId="0D312CAF" w:rsidR="008D4A13" w:rsidRPr="00606F8A" w:rsidRDefault="00890817" w:rsidP="002C1958">
      <w:pPr>
        <w:pStyle w:val="DECheading11"/>
      </w:pPr>
      <w:bookmarkStart w:id="786" w:name="_Toc172794902"/>
      <w:bookmarkStart w:id="787" w:name="_Toc172806452"/>
      <w:bookmarkStart w:id="788" w:name="_Toc172806738"/>
      <w:bookmarkStart w:id="789" w:name="_Toc172808413"/>
      <w:bookmarkStart w:id="790" w:name="_Toc172808601"/>
      <w:bookmarkStart w:id="791" w:name="_Toc174605740"/>
      <w:bookmarkStart w:id="792" w:name="_Toc176424878"/>
      <w:bookmarkStart w:id="793" w:name="_Toc176425037"/>
      <w:r w:rsidRPr="00AB09B6">
        <w:t xml:space="preserve">Information </w:t>
      </w:r>
      <w:r w:rsidR="007E35FF">
        <w:t>s</w:t>
      </w:r>
      <w:r w:rsidRPr="00AB09B6">
        <w:t xml:space="preserve">ystems and </w:t>
      </w:r>
      <w:bookmarkEnd w:id="781"/>
      <w:bookmarkEnd w:id="783"/>
      <w:bookmarkEnd w:id="784"/>
      <w:bookmarkEnd w:id="785"/>
      <w:r w:rsidR="007E35FF">
        <w:t>r</w:t>
      </w:r>
      <w:r w:rsidRPr="00AB09B6">
        <w:t>ecordkeeping</w:t>
      </w:r>
      <w:bookmarkEnd w:id="786"/>
      <w:bookmarkEnd w:id="787"/>
      <w:bookmarkEnd w:id="788"/>
      <w:bookmarkEnd w:id="789"/>
      <w:bookmarkEnd w:id="790"/>
      <w:bookmarkEnd w:id="791"/>
      <w:bookmarkEnd w:id="792"/>
      <w:bookmarkEnd w:id="793"/>
    </w:p>
    <w:p w14:paraId="4F138530" w14:textId="06247A0D" w:rsidR="003E45D3" w:rsidRPr="0014291A" w:rsidRDefault="003E45D3" w:rsidP="007D5C38">
      <w:pPr>
        <w:pStyle w:val="BodyText"/>
        <w:rPr>
          <w:color w:val="000000" w:themeColor="text1"/>
        </w:rPr>
      </w:pPr>
      <w:r w:rsidRPr="0014291A">
        <w:rPr>
          <w:color w:val="000000" w:themeColor="text1"/>
        </w:rPr>
        <w:t xml:space="preserve">The department complies with the </w:t>
      </w:r>
      <w:r w:rsidRPr="0014291A">
        <w:rPr>
          <w:i/>
          <w:color w:val="000000" w:themeColor="text1"/>
        </w:rPr>
        <w:t>Public Records Act 2002</w:t>
      </w:r>
      <w:r w:rsidRPr="0014291A">
        <w:rPr>
          <w:color w:val="000000" w:themeColor="text1"/>
        </w:rPr>
        <w:t xml:space="preserve"> to keep and maintain records of business activities. The department’s Recordkeeping policy was developed in accordance with the Act, and </w:t>
      </w:r>
      <w:r w:rsidR="006F736C" w:rsidRPr="0014291A">
        <w:rPr>
          <w:color w:val="000000" w:themeColor="text1"/>
        </w:rPr>
        <w:t xml:space="preserve">the department’s </w:t>
      </w:r>
      <w:r w:rsidRPr="0014291A">
        <w:rPr>
          <w:color w:val="000000" w:themeColor="text1"/>
        </w:rPr>
        <w:t xml:space="preserve">supporting procedures provide guidance to employees on the creation and management of departmental business records. </w:t>
      </w:r>
    </w:p>
    <w:p w14:paraId="3AE96D83" w14:textId="6CB729BA" w:rsidR="003E45D3" w:rsidRPr="0014291A" w:rsidRDefault="006F736C" w:rsidP="007D5C38">
      <w:pPr>
        <w:pStyle w:val="BodyText"/>
        <w:rPr>
          <w:color w:val="000000" w:themeColor="text1"/>
        </w:rPr>
      </w:pPr>
      <w:r w:rsidRPr="0014291A">
        <w:rPr>
          <w:color w:val="000000" w:themeColor="text1"/>
        </w:rPr>
        <w:t xml:space="preserve">The department’s </w:t>
      </w:r>
      <w:r w:rsidR="003E45D3" w:rsidRPr="0014291A">
        <w:rPr>
          <w:color w:val="000000" w:themeColor="text1"/>
        </w:rPr>
        <w:t xml:space="preserve">public records are retained in accordance with general or core retention and disposal schedules and relevant legislation. </w:t>
      </w:r>
    </w:p>
    <w:p w14:paraId="22BF510C" w14:textId="4787A535" w:rsidR="007F7C68" w:rsidRPr="0014291A" w:rsidRDefault="003E45D3" w:rsidP="007D5C38">
      <w:pPr>
        <w:pStyle w:val="BodyText"/>
        <w:rPr>
          <w:color w:val="000000" w:themeColor="text1"/>
        </w:rPr>
      </w:pPr>
      <w:r w:rsidRPr="0014291A">
        <w:rPr>
          <w:color w:val="000000" w:themeColor="text1"/>
        </w:rPr>
        <w:t xml:space="preserve">In </w:t>
      </w:r>
      <w:r w:rsidR="0014291A" w:rsidRPr="0014291A">
        <w:rPr>
          <w:color w:val="000000" w:themeColor="text1"/>
        </w:rPr>
        <w:t>2023</w:t>
      </w:r>
      <w:r w:rsidR="00A33E36">
        <w:rPr>
          <w:color w:val="000000" w:themeColor="text1"/>
        </w:rPr>
        <w:t>–</w:t>
      </w:r>
      <w:r w:rsidR="0014291A" w:rsidRPr="0014291A">
        <w:rPr>
          <w:color w:val="000000" w:themeColor="text1"/>
        </w:rPr>
        <w:t>24</w:t>
      </w:r>
      <w:r w:rsidRPr="0014291A">
        <w:rPr>
          <w:color w:val="000000" w:themeColor="text1"/>
        </w:rPr>
        <w:t xml:space="preserve"> we</w:t>
      </w:r>
      <w:r w:rsidR="005C5C40">
        <w:rPr>
          <w:color w:val="000000" w:themeColor="text1"/>
        </w:rPr>
        <w:t xml:space="preserve"> </w:t>
      </w:r>
      <w:r w:rsidR="005C5C40" w:rsidRPr="005C5C40">
        <w:rPr>
          <w:color w:val="000000" w:themeColor="text1"/>
        </w:rPr>
        <w:t xml:space="preserve">have focused on transitioning records to the correct owning department following </w:t>
      </w:r>
      <w:r w:rsidR="005C5C40">
        <w:t>m</w:t>
      </w:r>
      <w:r w:rsidR="005C5C40" w:rsidRPr="00FB5AF8">
        <w:t>achinery</w:t>
      </w:r>
      <w:r w:rsidR="00EA150C">
        <w:t>-</w:t>
      </w:r>
      <w:r w:rsidR="005C5C40" w:rsidRPr="00FB5AF8">
        <w:t>of</w:t>
      </w:r>
      <w:r w:rsidR="00EA150C">
        <w:t>-</w:t>
      </w:r>
      <w:r w:rsidR="005C5C40">
        <w:t>g</w:t>
      </w:r>
      <w:r w:rsidR="005C5C40" w:rsidRPr="00FB5AF8">
        <w:t xml:space="preserve">overnment </w:t>
      </w:r>
      <w:r w:rsidR="005C5C40" w:rsidRPr="005C5C40">
        <w:rPr>
          <w:color w:val="000000" w:themeColor="text1"/>
        </w:rPr>
        <w:t>changes</w:t>
      </w:r>
      <w:r w:rsidR="00651B3E">
        <w:rPr>
          <w:color w:val="000000" w:themeColor="text1"/>
        </w:rPr>
        <w:t xml:space="preserve"> </w:t>
      </w:r>
      <w:r w:rsidR="00651B3E" w:rsidRPr="00590339">
        <w:t>effective 18 December 2023</w:t>
      </w:r>
      <w:r w:rsidR="005C5C40" w:rsidRPr="005C5C40">
        <w:rPr>
          <w:color w:val="000000" w:themeColor="text1"/>
        </w:rPr>
        <w:t>. This has been aided by corporate records mostly being created digitally and remaining digital throughout their lifecycle. Security is inbuilt into our records management system and there have been no serious breaches to report.</w:t>
      </w:r>
    </w:p>
    <w:p w14:paraId="1902250C" w14:textId="25E09962" w:rsidR="00660724" w:rsidRPr="00116531" w:rsidRDefault="007D4BA9" w:rsidP="00116531">
      <w:pPr>
        <w:pStyle w:val="DECHeading2"/>
        <w:rPr>
          <w:rStyle w:val="Heading3Char"/>
          <w:sz w:val="36"/>
          <w:szCs w:val="36"/>
        </w:rPr>
      </w:pPr>
      <w:bookmarkStart w:id="794" w:name="_Information_Security_attestation"/>
      <w:bookmarkStart w:id="795" w:name="_Toc111189242"/>
      <w:bookmarkStart w:id="796" w:name="_Toc138317870"/>
      <w:bookmarkStart w:id="797" w:name="_Toc172794903"/>
      <w:bookmarkStart w:id="798" w:name="_Toc172806453"/>
      <w:bookmarkStart w:id="799" w:name="_Toc172806739"/>
      <w:bookmarkStart w:id="800" w:name="_Toc172808602"/>
      <w:bookmarkStart w:id="801" w:name="_Toc174605741"/>
      <w:bookmarkStart w:id="802" w:name="_Toc176424879"/>
      <w:bookmarkStart w:id="803" w:name="_Toc176425038"/>
      <w:bookmarkEnd w:id="794"/>
      <w:r w:rsidRPr="00116531">
        <w:rPr>
          <w:rStyle w:val="Heading3Char"/>
          <w:sz w:val="36"/>
          <w:szCs w:val="36"/>
        </w:rPr>
        <w:t xml:space="preserve">Information </w:t>
      </w:r>
      <w:r w:rsidR="001B0F72">
        <w:rPr>
          <w:rStyle w:val="Heading3Char"/>
          <w:sz w:val="36"/>
          <w:szCs w:val="36"/>
        </w:rPr>
        <w:t>s</w:t>
      </w:r>
      <w:r w:rsidRPr="00116531">
        <w:rPr>
          <w:rStyle w:val="Heading3Char"/>
          <w:sz w:val="36"/>
          <w:szCs w:val="36"/>
        </w:rPr>
        <w:t>ecurity attestation</w:t>
      </w:r>
      <w:bookmarkEnd w:id="795"/>
      <w:bookmarkEnd w:id="796"/>
      <w:bookmarkEnd w:id="797"/>
      <w:bookmarkEnd w:id="798"/>
      <w:bookmarkEnd w:id="799"/>
      <w:bookmarkEnd w:id="800"/>
      <w:bookmarkEnd w:id="801"/>
      <w:bookmarkEnd w:id="802"/>
      <w:bookmarkEnd w:id="803"/>
    </w:p>
    <w:p w14:paraId="4733B2E0" w14:textId="2E0E8E9B" w:rsidR="00766F5E" w:rsidRPr="005339CA" w:rsidRDefault="00766F5E" w:rsidP="007D5C38">
      <w:pPr>
        <w:pStyle w:val="BodyText"/>
        <w:rPr>
          <w:color w:val="000000" w:themeColor="text1"/>
        </w:rPr>
      </w:pPr>
      <w:r w:rsidRPr="009E2C4D">
        <w:rPr>
          <w:color w:val="000000" w:themeColor="text1"/>
        </w:rPr>
        <w:t xml:space="preserve">During the mandatory annual information security reporting process, the Director-General attested to the </w:t>
      </w:r>
      <w:r w:rsidRPr="005339CA">
        <w:rPr>
          <w:color w:val="000000" w:themeColor="text1"/>
        </w:rPr>
        <w:t xml:space="preserve">appropriateness of the department’s information security risk management to the Queensland </w:t>
      </w:r>
      <w:r w:rsidR="007071DB">
        <w:rPr>
          <w:color w:val="000000" w:themeColor="text1"/>
        </w:rPr>
        <w:t>G</w:t>
      </w:r>
      <w:r w:rsidRPr="005339CA">
        <w:rPr>
          <w:color w:val="000000" w:themeColor="text1"/>
        </w:rPr>
        <w:t xml:space="preserve">overnment Chief Information Security </w:t>
      </w:r>
      <w:r w:rsidR="00DE73C1" w:rsidRPr="005339CA">
        <w:rPr>
          <w:color w:val="000000" w:themeColor="text1"/>
        </w:rPr>
        <w:t>Officer</w:t>
      </w:r>
      <w:r w:rsidRPr="005339CA">
        <w:rPr>
          <w:color w:val="000000" w:themeColor="text1"/>
        </w:rPr>
        <w:t xml:space="preserve">. Appropriate assurance activities were undertaken to inform this opinion and the department’s information security risk position. </w:t>
      </w:r>
    </w:p>
    <w:p w14:paraId="3D1164F5" w14:textId="149951F3" w:rsidR="00766F5E" w:rsidRPr="00606F8A" w:rsidRDefault="00766F5E" w:rsidP="007D5C38">
      <w:pPr>
        <w:pStyle w:val="BodyText"/>
      </w:pPr>
      <w:r w:rsidRPr="00606F8A">
        <w:t xml:space="preserve">The department is committed to continually enhancing its information security position and is implementing an Information Security Management System based on Australian standard ISO/IEC 27001 Information technology – Security techniques – Information security management systems – Requirements. </w:t>
      </w:r>
    </w:p>
    <w:p w14:paraId="72E307AC" w14:textId="01159854" w:rsidR="004A4505" w:rsidRPr="00606F8A" w:rsidRDefault="004A4505" w:rsidP="007D5C38">
      <w:pPr>
        <w:pStyle w:val="BodyText"/>
      </w:pPr>
      <w:r w:rsidRPr="00606F8A">
        <w:lastRenderedPageBreak/>
        <w:t>During 2023</w:t>
      </w:r>
      <w:r w:rsidR="005F36F4">
        <w:t>–</w:t>
      </w:r>
      <w:r w:rsidRPr="00606F8A">
        <w:t>24, the department did not suffer any serious security or data breaches. Our ICT service providers play an instrumental role in safeguarding our digital infrastructure from cyber threats by employing advanced detection systems and robust preventative measures.</w:t>
      </w:r>
    </w:p>
    <w:p w14:paraId="326D6719" w14:textId="21F3E36D" w:rsidR="00CC2951" w:rsidRPr="004724C1" w:rsidRDefault="004A4505" w:rsidP="007D5C38">
      <w:pPr>
        <w:pStyle w:val="BodyText"/>
        <w:rPr>
          <w:color w:val="0070C0"/>
        </w:rPr>
      </w:pPr>
      <w:r w:rsidRPr="00606F8A">
        <w:t xml:space="preserve">The department has recognised that third-party cyber security threats present a growing risk for the department as they can potentially create vulnerabilities through indirect access routes. </w:t>
      </w:r>
      <w:r w:rsidR="004A750A">
        <w:t>The department</w:t>
      </w:r>
      <w:r w:rsidRPr="00606F8A">
        <w:t xml:space="preserve"> closely manages and monitors third-party partnerships and enforce</w:t>
      </w:r>
      <w:r w:rsidR="00EF5561">
        <w:t>s</w:t>
      </w:r>
      <w:r w:rsidRPr="00606F8A">
        <w:t xml:space="preserve"> stringent security protocols to mitigate such risks.</w:t>
      </w:r>
    </w:p>
    <w:p w14:paraId="6D82EDE9" w14:textId="0417E654" w:rsidR="00EE3C29" w:rsidRPr="00116531" w:rsidRDefault="00890817" w:rsidP="00116531">
      <w:pPr>
        <w:pStyle w:val="DECheading11"/>
        <w:rPr>
          <w:rStyle w:val="Heading3Char"/>
          <w:rFonts w:ascii="Arial Nova" w:hAnsi="Arial Nova"/>
          <w:sz w:val="40"/>
          <w:szCs w:val="44"/>
        </w:rPr>
      </w:pPr>
      <w:bookmarkStart w:id="804" w:name="_External_Reviews"/>
      <w:bookmarkStart w:id="805" w:name="_Toc73900136"/>
      <w:bookmarkStart w:id="806" w:name="_Toc111189243"/>
      <w:bookmarkStart w:id="807" w:name="_Toc138317871"/>
      <w:bookmarkStart w:id="808" w:name="External_Reviews"/>
      <w:bookmarkStart w:id="809" w:name="_Toc172794904"/>
      <w:bookmarkStart w:id="810" w:name="_Toc172806454"/>
      <w:bookmarkStart w:id="811" w:name="_Toc172806740"/>
      <w:bookmarkStart w:id="812" w:name="_Toc172808414"/>
      <w:bookmarkStart w:id="813" w:name="_Toc172808603"/>
      <w:bookmarkStart w:id="814" w:name="_Toc174605742"/>
      <w:bookmarkStart w:id="815" w:name="_Toc176424880"/>
      <w:bookmarkStart w:id="816" w:name="_Toc176425039"/>
      <w:bookmarkEnd w:id="804"/>
      <w:r w:rsidRPr="00116531">
        <w:rPr>
          <w:rStyle w:val="Heading3Char"/>
          <w:rFonts w:ascii="Arial Nova" w:hAnsi="Arial Nova"/>
          <w:sz w:val="40"/>
          <w:szCs w:val="44"/>
        </w:rPr>
        <w:t xml:space="preserve">External </w:t>
      </w:r>
      <w:bookmarkEnd w:id="805"/>
      <w:bookmarkEnd w:id="806"/>
      <w:bookmarkEnd w:id="807"/>
      <w:bookmarkEnd w:id="808"/>
      <w:r w:rsidR="00452B84">
        <w:rPr>
          <w:rStyle w:val="Heading3Char"/>
          <w:rFonts w:ascii="Arial Nova" w:hAnsi="Arial Nova"/>
          <w:sz w:val="40"/>
          <w:szCs w:val="44"/>
        </w:rPr>
        <w:t>r</w:t>
      </w:r>
      <w:r w:rsidRPr="00116531">
        <w:rPr>
          <w:rStyle w:val="Heading3Char"/>
          <w:rFonts w:ascii="Arial Nova" w:hAnsi="Arial Nova"/>
          <w:sz w:val="40"/>
          <w:szCs w:val="44"/>
        </w:rPr>
        <w:t>eviews</w:t>
      </w:r>
      <w:bookmarkEnd w:id="809"/>
      <w:bookmarkEnd w:id="810"/>
      <w:bookmarkEnd w:id="811"/>
      <w:bookmarkEnd w:id="812"/>
      <w:bookmarkEnd w:id="813"/>
      <w:bookmarkEnd w:id="814"/>
      <w:bookmarkEnd w:id="815"/>
      <w:bookmarkEnd w:id="816"/>
      <w:r w:rsidRPr="00116531">
        <w:rPr>
          <w:rStyle w:val="Heading3Char"/>
          <w:rFonts w:ascii="Arial Nova" w:hAnsi="Arial Nova"/>
          <w:sz w:val="40"/>
          <w:szCs w:val="44"/>
        </w:rPr>
        <w:t xml:space="preserve"> </w:t>
      </w:r>
    </w:p>
    <w:p w14:paraId="1D3BA340" w14:textId="2A45511D" w:rsidR="0019609B" w:rsidRDefault="0019609B" w:rsidP="001B626A">
      <w:pPr>
        <w:pStyle w:val="BodyText"/>
      </w:pPr>
      <w:r>
        <w:t xml:space="preserve">The department was not involved in any </w:t>
      </w:r>
      <w:r w:rsidR="001C0B79">
        <w:t xml:space="preserve">performance audit </w:t>
      </w:r>
      <w:r>
        <w:t>review by the Queensland Audit Office (QAO) in 2023</w:t>
      </w:r>
      <w:r w:rsidR="00452B84">
        <w:t>–</w:t>
      </w:r>
      <w:r>
        <w:t xml:space="preserve">24. </w:t>
      </w:r>
    </w:p>
    <w:p w14:paraId="4E8CB41A" w14:textId="15EFDCF0" w:rsidR="00085C9F" w:rsidRDefault="00CF6DC4" w:rsidP="00072B0A">
      <w:pPr>
        <w:pStyle w:val="BodyText"/>
        <w:rPr>
          <w:lang w:eastAsia="en-GB"/>
        </w:rPr>
      </w:pPr>
      <w:r>
        <w:t>The department did not respond to any coronial inquests in the 2023</w:t>
      </w:r>
      <w:r w:rsidR="007036B6">
        <w:t>–</w:t>
      </w:r>
      <w:r>
        <w:t xml:space="preserve">24 period. </w:t>
      </w:r>
      <w:r w:rsidR="00085C9F">
        <w:rPr>
          <w:lang w:eastAsia="en-GB"/>
        </w:rPr>
        <w:br w:type="page"/>
      </w:r>
      <w:bookmarkStart w:id="817" w:name="_Toc73900141"/>
      <w:bookmarkStart w:id="818" w:name="_Toc111189251"/>
      <w:bookmarkStart w:id="819" w:name="_Toc138317872"/>
      <w:bookmarkStart w:id="820" w:name="Glossary"/>
    </w:p>
    <w:p w14:paraId="22DFE49A" w14:textId="7790BD29" w:rsidR="002D6C0E" w:rsidRDefault="002D6C0E" w:rsidP="0085609B">
      <w:pPr>
        <w:pStyle w:val="DECChapterHeading"/>
      </w:pPr>
      <w:bookmarkStart w:id="821" w:name="_Toc172794905"/>
      <w:bookmarkStart w:id="822" w:name="_Toc174605743"/>
      <w:bookmarkStart w:id="823" w:name="_Toc176424881"/>
      <w:bookmarkStart w:id="824" w:name="_Toc176425040"/>
      <w:r w:rsidRPr="00AF706E">
        <w:lastRenderedPageBreak/>
        <w:t xml:space="preserve">Service Delivery Statements – </w:t>
      </w:r>
      <w:bookmarkEnd w:id="821"/>
      <w:proofErr w:type="gramStart"/>
      <w:r w:rsidR="00D17592">
        <w:t>p</w:t>
      </w:r>
      <w:r w:rsidRPr="00AF706E">
        <w:t>erformance</w:t>
      </w:r>
      <w:bookmarkEnd w:id="822"/>
      <w:bookmarkEnd w:id="823"/>
      <w:bookmarkEnd w:id="824"/>
      <w:proofErr w:type="gramEnd"/>
      <w:r w:rsidRPr="00AF706E">
        <w:t xml:space="preserve"> </w:t>
      </w:r>
    </w:p>
    <w:p w14:paraId="0F90923D" w14:textId="35D4D832" w:rsidR="002D6C0E" w:rsidRPr="008E56A0" w:rsidRDefault="002D6C0E" w:rsidP="002D6C0E">
      <w:pPr>
        <w:pStyle w:val="BodyText"/>
      </w:pPr>
      <w:r w:rsidRPr="008E56A0">
        <w:t xml:space="preserve">We track our performance through a range of service standards, as published in the </w:t>
      </w:r>
      <w:r w:rsidRPr="00533218">
        <w:rPr>
          <w:i/>
        </w:rPr>
        <w:t>2023</w:t>
      </w:r>
      <w:r w:rsidR="009602A7">
        <w:rPr>
          <w:i/>
        </w:rPr>
        <w:t>–</w:t>
      </w:r>
      <w:r w:rsidRPr="00533218">
        <w:rPr>
          <w:i/>
        </w:rPr>
        <w:t>24 Service Delivery Statements</w:t>
      </w:r>
      <w:r w:rsidRPr="008E56A0">
        <w:t xml:space="preserve"> (SDS) budget paper. Service standards are provided for </w:t>
      </w:r>
      <w:r w:rsidR="00B349F1">
        <w:t>two</w:t>
      </w:r>
      <w:r w:rsidR="00B349F1" w:rsidRPr="008E56A0">
        <w:t xml:space="preserve"> </w:t>
      </w:r>
      <w:r w:rsidRPr="008E56A0">
        <w:t xml:space="preserve">service areas and </w:t>
      </w:r>
      <w:r w:rsidR="00533218">
        <w:t>one</w:t>
      </w:r>
      <w:r w:rsidRPr="008E56A0">
        <w:t xml:space="preserve"> </w:t>
      </w:r>
      <w:r w:rsidR="009F26CA">
        <w:t>c</w:t>
      </w:r>
      <w:r w:rsidRPr="008E56A0">
        <w:t xml:space="preserve">ommercialised </w:t>
      </w:r>
      <w:r w:rsidR="009F26CA">
        <w:t>b</w:t>
      </w:r>
      <w:r w:rsidRPr="008E56A0">
        <w:t xml:space="preserve">usiness unit (CBU): </w:t>
      </w:r>
    </w:p>
    <w:p w14:paraId="3846DEA4" w14:textId="77777777" w:rsidR="002D6C0E" w:rsidRDefault="002D6C0E" w:rsidP="002D6C0E">
      <w:pPr>
        <w:pStyle w:val="Bulletsround"/>
      </w:pPr>
      <w:r>
        <w:t xml:space="preserve">Grow Queensland's energy </w:t>
      </w:r>
      <w:proofErr w:type="gramStart"/>
      <w:r>
        <w:t>sector</w:t>
      </w:r>
      <w:proofErr w:type="gramEnd"/>
      <w:r>
        <w:t xml:space="preserve"> </w:t>
      </w:r>
    </w:p>
    <w:p w14:paraId="11D81811" w14:textId="77777777" w:rsidR="002D6C0E" w:rsidRPr="002C16FF" w:rsidRDefault="002D6C0E" w:rsidP="002D6C0E">
      <w:pPr>
        <w:pStyle w:val="Bulletsround"/>
      </w:pPr>
      <w:r w:rsidRPr="002C16FF">
        <w:t xml:space="preserve">Procurement policy and enabling </w:t>
      </w:r>
      <w:proofErr w:type="gramStart"/>
      <w:r w:rsidRPr="002C16FF">
        <w:t>services</w:t>
      </w:r>
      <w:proofErr w:type="gramEnd"/>
    </w:p>
    <w:p w14:paraId="6155668A" w14:textId="0A9003B8" w:rsidR="002D6C0E" w:rsidRDefault="002D6C0E" w:rsidP="002D6C0E">
      <w:pPr>
        <w:pStyle w:val="Bulletsround"/>
      </w:pPr>
      <w:r>
        <w:t>QFleet (CBU)</w:t>
      </w:r>
      <w:r w:rsidR="00116531">
        <w:t>.</w:t>
      </w:r>
    </w:p>
    <w:p w14:paraId="28555A5C" w14:textId="2216E37B" w:rsidR="002D6C0E" w:rsidRDefault="002D6C0E">
      <w:pPr>
        <w:spacing w:before="0" w:after="160" w:line="259" w:lineRule="auto"/>
      </w:pPr>
    </w:p>
    <w:tbl>
      <w:tblPr>
        <w:tblW w:w="9500"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6" w:space="0" w:color="969696" w:themeColor="accent3"/>
          <w:insideV w:val="single" w:sz="6" w:space="0" w:color="969696" w:themeColor="accent3"/>
        </w:tblBorders>
        <w:tblLayout w:type="fixed"/>
        <w:tblLook w:val="01E0" w:firstRow="1" w:lastRow="1" w:firstColumn="1" w:lastColumn="1" w:noHBand="0" w:noVBand="0"/>
        <w:tblCaption w:val="Service Delivery Statements service standards"/>
        <w:tblDescription w:val="Service standards, as published in the 2022–23 Service Delivery Statements (SDS) budget paper for the service area 'Grow Queensland's energy sector'."/>
      </w:tblPr>
      <w:tblGrid>
        <w:gridCol w:w="6606"/>
        <w:gridCol w:w="1447"/>
        <w:gridCol w:w="1447"/>
      </w:tblGrid>
      <w:tr w:rsidR="0069300C" w:rsidRPr="005133CA" w14:paraId="461CEA70" w14:textId="77777777" w:rsidTr="2599AD30">
        <w:trPr>
          <w:cantSplit/>
          <w:trHeight w:val="649"/>
          <w:tblHeader/>
        </w:trPr>
        <w:tc>
          <w:tcPr>
            <w:tcW w:w="6606" w:type="dxa"/>
            <w:shd w:val="clear" w:color="auto" w:fill="595959" w:themeFill="accent2" w:themeFillShade="80"/>
            <w:vAlign w:val="center"/>
            <w:hideMark/>
          </w:tcPr>
          <w:p w14:paraId="68656B8E" w14:textId="1A9F2F6B" w:rsidR="0069300C" w:rsidRPr="005133CA" w:rsidRDefault="0069300C" w:rsidP="00DB2CD2">
            <w:pPr>
              <w:pStyle w:val="EPWtableheading"/>
              <w:rPr>
                <w:b w:val="0"/>
              </w:rPr>
            </w:pPr>
            <w:r w:rsidRPr="005133CA">
              <w:t>Grow Queensland’s energy sector</w:t>
            </w:r>
          </w:p>
        </w:tc>
        <w:tc>
          <w:tcPr>
            <w:tcW w:w="1447" w:type="dxa"/>
            <w:shd w:val="clear" w:color="auto" w:fill="595959" w:themeFill="accent2" w:themeFillShade="80"/>
            <w:vAlign w:val="center"/>
            <w:hideMark/>
          </w:tcPr>
          <w:p w14:paraId="15DC285D" w14:textId="3CC6CF5E" w:rsidR="0069300C" w:rsidRPr="005133CA" w:rsidRDefault="0069300C" w:rsidP="00DB2CD2">
            <w:pPr>
              <w:pStyle w:val="EPWtableheading"/>
              <w:jc w:val="right"/>
              <w:rPr>
                <w:b w:val="0"/>
              </w:rPr>
            </w:pPr>
            <w:r w:rsidRPr="005133CA">
              <w:t>202</w:t>
            </w:r>
            <w:r>
              <w:t>3</w:t>
            </w:r>
            <w:r w:rsidR="004E7341">
              <w:t>–</w:t>
            </w:r>
            <w:r>
              <w:t>24</w:t>
            </w:r>
          </w:p>
          <w:p w14:paraId="3A054257" w14:textId="77777777" w:rsidR="0069300C" w:rsidRPr="005133CA" w:rsidRDefault="0069300C" w:rsidP="00DB2CD2">
            <w:pPr>
              <w:pStyle w:val="EPWtableheading"/>
              <w:jc w:val="right"/>
              <w:rPr>
                <w:b w:val="0"/>
              </w:rPr>
            </w:pPr>
            <w:r w:rsidRPr="005133CA">
              <w:t>target/est.</w:t>
            </w:r>
          </w:p>
        </w:tc>
        <w:tc>
          <w:tcPr>
            <w:tcW w:w="1447" w:type="dxa"/>
            <w:shd w:val="clear" w:color="auto" w:fill="595959" w:themeFill="accent2" w:themeFillShade="80"/>
            <w:vAlign w:val="center"/>
            <w:hideMark/>
          </w:tcPr>
          <w:p w14:paraId="4A5BD2F9" w14:textId="2CBC320B" w:rsidR="0069300C" w:rsidRPr="005133CA" w:rsidRDefault="0069300C" w:rsidP="0069300C">
            <w:pPr>
              <w:pStyle w:val="EPWtableheading"/>
              <w:jc w:val="right"/>
              <w:rPr>
                <w:b w:val="0"/>
              </w:rPr>
            </w:pPr>
            <w:r w:rsidRPr="005133CA">
              <w:t>202</w:t>
            </w:r>
            <w:r>
              <w:t>3</w:t>
            </w:r>
            <w:r w:rsidR="004E7341">
              <w:t>–</w:t>
            </w:r>
            <w:r>
              <w:t>24</w:t>
            </w:r>
          </w:p>
          <w:p w14:paraId="778861CD" w14:textId="77777777" w:rsidR="0069300C" w:rsidRPr="005133CA" w:rsidRDefault="0069300C" w:rsidP="00DB2CD2">
            <w:pPr>
              <w:pStyle w:val="EPWtableheading"/>
              <w:jc w:val="right"/>
              <w:rPr>
                <w:b w:val="0"/>
              </w:rPr>
            </w:pPr>
            <w:r w:rsidRPr="005133CA">
              <w:t>actual</w:t>
            </w:r>
          </w:p>
        </w:tc>
      </w:tr>
      <w:tr w:rsidR="0069300C" w:rsidRPr="005133CA" w14:paraId="53C5FEFA" w14:textId="77777777" w:rsidTr="2599AD30">
        <w:trPr>
          <w:tblHeader/>
        </w:trPr>
        <w:tc>
          <w:tcPr>
            <w:tcW w:w="9500" w:type="dxa"/>
            <w:gridSpan w:val="3"/>
            <w:shd w:val="clear" w:color="auto" w:fill="D9D9D9" w:themeFill="background1" w:themeFillShade="D9"/>
            <w:vAlign w:val="bottom"/>
          </w:tcPr>
          <w:p w14:paraId="5E5A92FE" w14:textId="77777777" w:rsidR="0069300C" w:rsidRPr="005133CA" w:rsidRDefault="0069300C" w:rsidP="00DB2CD2">
            <w:pPr>
              <w:pStyle w:val="BodyText"/>
            </w:pPr>
            <w:r w:rsidRPr="005133CA">
              <w:t>Effectiveness measures</w:t>
            </w:r>
          </w:p>
        </w:tc>
      </w:tr>
      <w:tr w:rsidR="0069300C" w:rsidRPr="005133CA" w14:paraId="5CE9E5E1" w14:textId="77777777" w:rsidTr="2599AD30">
        <w:trPr>
          <w:tblHeader/>
        </w:trPr>
        <w:tc>
          <w:tcPr>
            <w:tcW w:w="6606" w:type="dxa"/>
            <w:vAlign w:val="bottom"/>
          </w:tcPr>
          <w:p w14:paraId="6DD39B74" w14:textId="77777777" w:rsidR="0069300C" w:rsidRPr="005133CA" w:rsidRDefault="0069300C" w:rsidP="00DB2CD2">
            <w:pPr>
              <w:pStyle w:val="BodyText"/>
            </w:pPr>
            <w:r w:rsidRPr="005133CA">
              <w:t xml:space="preserve">Renewable energy as percentage of total energy consumed in </w:t>
            </w:r>
            <w:proofErr w:type="gramStart"/>
            <w:r w:rsidRPr="005133CA">
              <w:t>Queensland</w:t>
            </w:r>
            <w:proofErr w:type="gramEnd"/>
          </w:p>
          <w:p w14:paraId="0DE215B9" w14:textId="4B3554AB" w:rsidR="0069300C" w:rsidRPr="005133CA" w:rsidRDefault="0069300C" w:rsidP="00DB2CD2">
            <w:pPr>
              <w:pStyle w:val="SDSNotes"/>
            </w:pPr>
            <w:r w:rsidRPr="005133CA">
              <w:t xml:space="preserve">Percentage of energy consumed in Queensland is calculated as a 12-month moving average. </w:t>
            </w:r>
          </w:p>
        </w:tc>
        <w:tc>
          <w:tcPr>
            <w:tcW w:w="1447" w:type="dxa"/>
          </w:tcPr>
          <w:p w14:paraId="3568019F" w14:textId="46845F9D" w:rsidR="0069300C" w:rsidRPr="005133CA" w:rsidRDefault="006D50EE" w:rsidP="00DB2CD2">
            <w:pPr>
              <w:pStyle w:val="BodyText"/>
              <w:jc w:val="right"/>
            </w:pPr>
            <w:r>
              <w:t>25.9%</w:t>
            </w:r>
          </w:p>
        </w:tc>
        <w:tc>
          <w:tcPr>
            <w:tcW w:w="1447" w:type="dxa"/>
            <w:shd w:val="clear" w:color="auto" w:fill="FFFFFF" w:themeFill="background1"/>
          </w:tcPr>
          <w:p w14:paraId="7212F911" w14:textId="514BF4F2" w:rsidR="0069300C" w:rsidRPr="006D50EE" w:rsidRDefault="0E40FEBE" w:rsidP="2599AD30">
            <w:pPr>
              <w:pStyle w:val="BodyText"/>
              <w:jc w:val="right"/>
            </w:pPr>
            <w:r>
              <w:t>28.2%</w:t>
            </w:r>
          </w:p>
        </w:tc>
      </w:tr>
      <w:tr w:rsidR="006D50EE" w:rsidRPr="005133CA" w14:paraId="01568D25" w14:textId="77777777" w:rsidTr="2599AD30">
        <w:trPr>
          <w:tblHeader/>
        </w:trPr>
        <w:tc>
          <w:tcPr>
            <w:tcW w:w="6606" w:type="dxa"/>
            <w:vAlign w:val="bottom"/>
          </w:tcPr>
          <w:p w14:paraId="1424C760" w14:textId="77777777" w:rsidR="006D50EE" w:rsidRPr="005133CA" w:rsidRDefault="006D50EE" w:rsidP="006D50EE">
            <w:pPr>
              <w:pStyle w:val="BodyText"/>
            </w:pPr>
            <w:r w:rsidRPr="005133CA">
              <w:t>Average time of energy (electricity and gas) licensing assessments</w:t>
            </w:r>
          </w:p>
          <w:p w14:paraId="62017129" w14:textId="41166A6F" w:rsidR="006D50EE" w:rsidRPr="005133CA" w:rsidRDefault="00400B3F" w:rsidP="006D50EE">
            <w:pPr>
              <w:pStyle w:val="SDSNotes"/>
            </w:pPr>
            <w:r w:rsidRPr="005133CA">
              <w:t xml:space="preserve">The favourable variance between the </w:t>
            </w:r>
            <w:r w:rsidRPr="004B5440">
              <w:t>2023</w:t>
            </w:r>
            <w:r w:rsidR="00EB1E20" w:rsidRPr="004B5440">
              <w:t>–</w:t>
            </w:r>
            <w:r w:rsidRPr="004B5440">
              <w:t>24 Actual and the 2023</w:t>
            </w:r>
            <w:r w:rsidR="00EB1E20" w:rsidRPr="004B5440">
              <w:t>–</w:t>
            </w:r>
            <w:r w:rsidRPr="004B5440">
              <w:t>24 Target/Estimate and the published 2023</w:t>
            </w:r>
            <w:r w:rsidR="00EB1E20" w:rsidRPr="004B5440">
              <w:t>–</w:t>
            </w:r>
            <w:r w:rsidRPr="004B5440">
              <w:t>24 Estimated Actual (</w:t>
            </w:r>
            <w:r w:rsidR="005F7843" w:rsidRPr="004B5440">
              <w:t xml:space="preserve">68 days) is </w:t>
            </w:r>
            <w:r w:rsidRPr="004B5440">
              <w:t>t</w:t>
            </w:r>
            <w:r w:rsidR="006D50EE" w:rsidRPr="00072B0A">
              <w:t>he result of improved efficiency when processing and assessing applications.</w:t>
            </w:r>
          </w:p>
        </w:tc>
        <w:tc>
          <w:tcPr>
            <w:tcW w:w="1447" w:type="dxa"/>
          </w:tcPr>
          <w:p w14:paraId="6C5F1014" w14:textId="02E7A9D9" w:rsidR="006D50EE" w:rsidRPr="005133CA" w:rsidRDefault="002137A4" w:rsidP="006D50EE">
            <w:pPr>
              <w:pStyle w:val="BodyText"/>
              <w:jc w:val="right"/>
            </w:pPr>
            <w:r>
              <w:t>&lt;120 days</w:t>
            </w:r>
          </w:p>
        </w:tc>
        <w:tc>
          <w:tcPr>
            <w:tcW w:w="1447" w:type="dxa"/>
            <w:shd w:val="clear" w:color="auto" w:fill="auto"/>
          </w:tcPr>
          <w:p w14:paraId="15F8B579" w14:textId="5D2F08F9" w:rsidR="006D50EE" w:rsidRPr="005133CA" w:rsidRDefault="00B808A1" w:rsidP="006D50EE">
            <w:pPr>
              <w:pStyle w:val="BodyText"/>
              <w:jc w:val="right"/>
            </w:pPr>
            <w:r>
              <w:t>74 days</w:t>
            </w:r>
          </w:p>
        </w:tc>
      </w:tr>
      <w:tr w:rsidR="006D50EE" w:rsidRPr="005133CA" w14:paraId="4D965296" w14:textId="77777777" w:rsidTr="2599AD30">
        <w:trPr>
          <w:trHeight w:val="391"/>
          <w:tblHeader/>
        </w:trPr>
        <w:tc>
          <w:tcPr>
            <w:tcW w:w="9500" w:type="dxa"/>
            <w:gridSpan w:val="3"/>
            <w:shd w:val="clear" w:color="auto" w:fill="D9D9D9" w:themeFill="background1" w:themeFillShade="D9"/>
            <w:vAlign w:val="bottom"/>
          </w:tcPr>
          <w:p w14:paraId="70718208" w14:textId="77777777" w:rsidR="006D50EE" w:rsidRPr="005133CA" w:rsidRDefault="006D50EE" w:rsidP="006D50EE">
            <w:pPr>
              <w:pStyle w:val="BodyText"/>
            </w:pPr>
            <w:r w:rsidRPr="005133CA">
              <w:t>Efficiency measure</w:t>
            </w:r>
          </w:p>
        </w:tc>
      </w:tr>
      <w:tr w:rsidR="006D50EE" w:rsidRPr="005133CA" w14:paraId="54C1693D" w14:textId="77777777" w:rsidTr="2599AD30">
        <w:trPr>
          <w:tblHeader/>
        </w:trPr>
        <w:tc>
          <w:tcPr>
            <w:tcW w:w="6606" w:type="dxa"/>
            <w:vAlign w:val="bottom"/>
          </w:tcPr>
          <w:p w14:paraId="1AEB163E" w14:textId="77777777" w:rsidR="006D50EE" w:rsidRPr="004B5440" w:rsidRDefault="006D50EE" w:rsidP="006D50EE">
            <w:pPr>
              <w:pStyle w:val="BodyText"/>
            </w:pPr>
            <w:r w:rsidRPr="004B5440">
              <w:t xml:space="preserve">Cost per biofuels exemption application </w:t>
            </w:r>
            <w:proofErr w:type="gramStart"/>
            <w:r w:rsidRPr="004B5440">
              <w:t>assessed</w:t>
            </w:r>
            <w:proofErr w:type="gramEnd"/>
          </w:p>
          <w:p w14:paraId="47C10285" w14:textId="5255DF71" w:rsidR="006D50EE" w:rsidRPr="005133CA" w:rsidRDefault="7B81C291" w:rsidP="006D50EE">
            <w:pPr>
              <w:pStyle w:val="SDSNotes"/>
            </w:pPr>
            <w:r w:rsidRPr="00072B0A">
              <w:rPr>
                <w:rFonts w:eastAsia="Arial Nova Light" w:cs="Arial Nova Light"/>
                <w:color w:val="000000" w:themeColor="text2"/>
              </w:rPr>
              <w:t xml:space="preserve">The favourable variance between the 2023–24 Actual and the 2023–24 Target/Estimate </w:t>
            </w:r>
            <w:r w:rsidR="006E09E2" w:rsidRPr="00072B0A">
              <w:rPr>
                <w:rFonts w:eastAsia="Arial Nova Light" w:cs="Arial Nova Light"/>
                <w:color w:val="000000" w:themeColor="text2"/>
              </w:rPr>
              <w:t xml:space="preserve">is due to </w:t>
            </w:r>
            <w:r w:rsidR="00EF6FDF" w:rsidRPr="00072B0A">
              <w:rPr>
                <w:rFonts w:eastAsia="Arial Nova Light" w:cs="Arial Nova Light"/>
                <w:color w:val="000000" w:themeColor="text2"/>
              </w:rPr>
              <w:t>improved processing efficiencies</w:t>
            </w:r>
            <w:r w:rsidR="00E04C9A" w:rsidRPr="00072B0A">
              <w:rPr>
                <w:rFonts w:eastAsia="Arial Nova Light" w:cs="Arial Nova Light"/>
                <w:color w:val="000000" w:themeColor="text2"/>
              </w:rPr>
              <w:t xml:space="preserve">. The </w:t>
            </w:r>
            <w:r w:rsidR="0039437E" w:rsidRPr="00072B0A">
              <w:rPr>
                <w:rFonts w:eastAsia="Arial Nova Light" w:cs="Arial Nova Light"/>
                <w:color w:val="000000" w:themeColor="text2"/>
              </w:rPr>
              <w:t xml:space="preserve">minor </w:t>
            </w:r>
            <w:r w:rsidR="00E04C9A" w:rsidRPr="00072B0A">
              <w:rPr>
                <w:rFonts w:eastAsia="Arial Nova Light" w:cs="Arial Nova Light"/>
                <w:color w:val="000000" w:themeColor="text2"/>
              </w:rPr>
              <w:t>variance between</w:t>
            </w:r>
            <w:r w:rsidRPr="00072B0A">
              <w:rPr>
                <w:rFonts w:eastAsia="Arial Nova Light" w:cs="Arial Nova Light"/>
                <w:color w:val="000000" w:themeColor="text2"/>
              </w:rPr>
              <w:t xml:space="preserve"> the published </w:t>
            </w:r>
            <w:r w:rsidR="008D427E" w:rsidRPr="00072B0A">
              <w:rPr>
                <w:rFonts w:eastAsia="Arial Nova Light" w:cs="Arial Nova Light"/>
                <w:color w:val="000000" w:themeColor="text2"/>
              </w:rPr>
              <w:t xml:space="preserve">2023–24 </w:t>
            </w:r>
            <w:r w:rsidRPr="00072B0A">
              <w:rPr>
                <w:rFonts w:eastAsia="Arial Nova Light" w:cs="Arial Nova Light"/>
                <w:color w:val="000000" w:themeColor="text2"/>
              </w:rPr>
              <w:t>Estimated Actual ($3,</w:t>
            </w:r>
            <w:r w:rsidR="007E3C82" w:rsidRPr="00072B0A">
              <w:rPr>
                <w:rFonts w:eastAsia="Arial Nova Light" w:cs="Arial Nova Light"/>
                <w:color w:val="000000" w:themeColor="text2"/>
              </w:rPr>
              <w:t>270</w:t>
            </w:r>
            <w:r w:rsidRPr="00072B0A">
              <w:rPr>
                <w:rFonts w:eastAsia="Arial Nova Light" w:cs="Arial Nova Light"/>
                <w:color w:val="000000" w:themeColor="text2"/>
              </w:rPr>
              <w:t xml:space="preserve">) </w:t>
            </w:r>
            <w:r w:rsidR="00276EDD" w:rsidRPr="00072B0A">
              <w:rPr>
                <w:rFonts w:eastAsia="Arial Nova Light" w:cs="Arial Nova Light"/>
                <w:color w:val="000000" w:themeColor="text2"/>
              </w:rPr>
              <w:t xml:space="preserve">and </w:t>
            </w:r>
            <w:r w:rsidR="008E4510" w:rsidRPr="00072B0A">
              <w:rPr>
                <w:rFonts w:eastAsia="Arial Nova Light" w:cs="Arial Nova Light"/>
                <w:color w:val="000000" w:themeColor="text2"/>
              </w:rPr>
              <w:t>the 2023–24 Actual</w:t>
            </w:r>
            <w:r w:rsidR="003C66BA" w:rsidRPr="00072B0A">
              <w:rPr>
                <w:rFonts w:eastAsia="Arial Nova Light" w:cs="Arial Nova Light"/>
                <w:color w:val="000000" w:themeColor="text2"/>
              </w:rPr>
              <w:t xml:space="preserve"> is </w:t>
            </w:r>
            <w:r w:rsidR="003D7C20" w:rsidRPr="00072B0A">
              <w:rPr>
                <w:rFonts w:eastAsia="Arial Nova Light" w:cs="Arial Nova Light"/>
                <w:color w:val="000000" w:themeColor="text2"/>
              </w:rPr>
              <w:t>due t</w:t>
            </w:r>
            <w:r w:rsidR="003536E5" w:rsidRPr="00072B0A">
              <w:rPr>
                <w:rFonts w:eastAsia="Arial Nova Light" w:cs="Arial Nova Light"/>
                <w:color w:val="000000" w:themeColor="text2"/>
              </w:rPr>
              <w:t>o</w:t>
            </w:r>
            <w:r w:rsidR="0039437E" w:rsidRPr="00072B0A">
              <w:rPr>
                <w:rFonts w:eastAsia="Arial Nova Light" w:cs="Arial Nova Light"/>
                <w:color w:val="000000" w:themeColor="text2"/>
              </w:rPr>
              <w:t xml:space="preserve"> final quarter </w:t>
            </w:r>
            <w:r w:rsidR="000C6FA8" w:rsidRPr="00072B0A">
              <w:rPr>
                <w:rFonts w:eastAsia="Arial Nova Light" w:cs="Arial Nova Light"/>
                <w:color w:val="000000" w:themeColor="text2"/>
              </w:rPr>
              <w:t xml:space="preserve">adjustments and is still </w:t>
            </w:r>
            <w:r w:rsidR="00CA7E1E" w:rsidRPr="00072B0A">
              <w:rPr>
                <w:rFonts w:eastAsia="Arial Nova Light" w:cs="Arial Nova Light"/>
                <w:color w:val="000000" w:themeColor="text2"/>
              </w:rPr>
              <w:t>within the target.</w:t>
            </w:r>
          </w:p>
        </w:tc>
        <w:tc>
          <w:tcPr>
            <w:tcW w:w="1447" w:type="dxa"/>
          </w:tcPr>
          <w:p w14:paraId="528A726B" w14:textId="3D9172E7" w:rsidR="006D50EE" w:rsidRPr="005133CA" w:rsidRDefault="002137A4" w:rsidP="006D50EE">
            <w:pPr>
              <w:pStyle w:val="BodyText"/>
              <w:jc w:val="right"/>
            </w:pPr>
            <w:r>
              <w:t>&lt;$4,680</w:t>
            </w:r>
          </w:p>
        </w:tc>
        <w:tc>
          <w:tcPr>
            <w:tcW w:w="1447" w:type="dxa"/>
            <w:shd w:val="clear" w:color="auto" w:fill="FFFFFF" w:themeFill="background1"/>
          </w:tcPr>
          <w:p w14:paraId="2454655D" w14:textId="7A3E3F49" w:rsidR="006D50EE" w:rsidRPr="005133CA" w:rsidRDefault="005A70E5" w:rsidP="006D50EE">
            <w:pPr>
              <w:pStyle w:val="BodyText"/>
              <w:jc w:val="right"/>
            </w:pPr>
            <w:r>
              <w:t>$</w:t>
            </w:r>
            <w:r w:rsidRPr="005A70E5">
              <w:t>3</w:t>
            </w:r>
            <w:r w:rsidR="00EB1E20">
              <w:t>,</w:t>
            </w:r>
            <w:r w:rsidRPr="005A70E5">
              <w:t>320</w:t>
            </w:r>
          </w:p>
        </w:tc>
      </w:tr>
    </w:tbl>
    <w:p w14:paraId="3B348F82" w14:textId="77777777" w:rsidR="0069300C" w:rsidRDefault="0069300C">
      <w:pPr>
        <w:spacing w:before="0" w:after="160" w:line="259" w:lineRule="auto"/>
      </w:pPr>
    </w:p>
    <w:tbl>
      <w:tblPr>
        <w:tblW w:w="9500"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6" w:space="0" w:color="969696" w:themeColor="accent3"/>
          <w:insideV w:val="single" w:sz="6" w:space="0" w:color="969696" w:themeColor="accent3"/>
        </w:tblBorders>
        <w:tblLayout w:type="fixed"/>
        <w:tblLook w:val="01E0" w:firstRow="1" w:lastRow="1" w:firstColumn="1" w:lastColumn="1" w:noHBand="0" w:noVBand="0"/>
        <w:tblCaption w:val="Service Delivery Statements service standards"/>
        <w:tblDescription w:val="Service standards, as published in the 2022–23 Service Delivery Statements (SDS) budget paper for the service area 'Grow Queensland's energy sector'."/>
      </w:tblPr>
      <w:tblGrid>
        <w:gridCol w:w="6606"/>
        <w:gridCol w:w="1447"/>
        <w:gridCol w:w="1447"/>
      </w:tblGrid>
      <w:tr w:rsidR="008970D1" w:rsidRPr="005133CA" w14:paraId="15292062" w14:textId="77777777" w:rsidTr="00DB2CD2">
        <w:trPr>
          <w:cantSplit/>
          <w:trHeight w:val="649"/>
          <w:tblHeader/>
        </w:trPr>
        <w:tc>
          <w:tcPr>
            <w:tcW w:w="6606" w:type="dxa"/>
            <w:shd w:val="clear" w:color="auto" w:fill="595959" w:themeFill="text1" w:themeFillTint="A6"/>
            <w:vAlign w:val="center"/>
            <w:hideMark/>
          </w:tcPr>
          <w:p w14:paraId="6434F559" w14:textId="73ED73E1" w:rsidR="008970D1" w:rsidRPr="005133CA" w:rsidRDefault="008A30B8" w:rsidP="00DB2CD2">
            <w:pPr>
              <w:pStyle w:val="EPWtableheading"/>
              <w:rPr>
                <w:b w:val="0"/>
              </w:rPr>
            </w:pPr>
            <w:r>
              <w:lastRenderedPageBreak/>
              <w:t>Procurement policy and enabling services</w:t>
            </w:r>
          </w:p>
        </w:tc>
        <w:tc>
          <w:tcPr>
            <w:tcW w:w="1447" w:type="dxa"/>
            <w:shd w:val="clear" w:color="auto" w:fill="595959" w:themeFill="text1" w:themeFillTint="A6"/>
            <w:vAlign w:val="center"/>
            <w:hideMark/>
          </w:tcPr>
          <w:p w14:paraId="5EB5422E" w14:textId="3BAA7DDD" w:rsidR="008970D1" w:rsidRPr="005133CA" w:rsidRDefault="008970D1" w:rsidP="00DB2CD2">
            <w:pPr>
              <w:pStyle w:val="EPWtableheading"/>
              <w:jc w:val="right"/>
              <w:rPr>
                <w:b w:val="0"/>
              </w:rPr>
            </w:pPr>
            <w:r w:rsidRPr="005133CA">
              <w:t>202</w:t>
            </w:r>
            <w:r>
              <w:t>3</w:t>
            </w:r>
            <w:r w:rsidR="00D80C23">
              <w:t>–</w:t>
            </w:r>
            <w:r>
              <w:t>24</w:t>
            </w:r>
          </w:p>
          <w:p w14:paraId="6AB8B94C" w14:textId="77777777" w:rsidR="008970D1" w:rsidRPr="005133CA" w:rsidRDefault="008970D1" w:rsidP="00DB2CD2">
            <w:pPr>
              <w:pStyle w:val="EPWtableheading"/>
              <w:jc w:val="right"/>
              <w:rPr>
                <w:b w:val="0"/>
              </w:rPr>
            </w:pPr>
            <w:r w:rsidRPr="005133CA">
              <w:t>target/est.</w:t>
            </w:r>
          </w:p>
        </w:tc>
        <w:tc>
          <w:tcPr>
            <w:tcW w:w="1447" w:type="dxa"/>
            <w:shd w:val="clear" w:color="auto" w:fill="595959" w:themeFill="text1" w:themeFillTint="A6"/>
            <w:vAlign w:val="center"/>
            <w:hideMark/>
          </w:tcPr>
          <w:p w14:paraId="4BA9899A" w14:textId="607DC159" w:rsidR="008970D1" w:rsidRPr="005133CA" w:rsidRDefault="008970D1" w:rsidP="00DB2CD2">
            <w:pPr>
              <w:pStyle w:val="EPWtableheading"/>
              <w:jc w:val="right"/>
              <w:rPr>
                <w:b w:val="0"/>
              </w:rPr>
            </w:pPr>
            <w:r w:rsidRPr="005133CA">
              <w:t>202</w:t>
            </w:r>
            <w:r>
              <w:t>3</w:t>
            </w:r>
            <w:r w:rsidR="00D80C23">
              <w:t>–</w:t>
            </w:r>
            <w:r>
              <w:t>24</w:t>
            </w:r>
          </w:p>
          <w:p w14:paraId="4210AF7D" w14:textId="77777777" w:rsidR="008970D1" w:rsidRPr="005133CA" w:rsidRDefault="008970D1" w:rsidP="00DB2CD2">
            <w:pPr>
              <w:pStyle w:val="EPWtableheading"/>
              <w:jc w:val="right"/>
              <w:rPr>
                <w:b w:val="0"/>
              </w:rPr>
            </w:pPr>
            <w:r w:rsidRPr="005133CA">
              <w:t>actual</w:t>
            </w:r>
          </w:p>
        </w:tc>
      </w:tr>
      <w:tr w:rsidR="008970D1" w:rsidRPr="005133CA" w14:paraId="62BAF89A" w14:textId="77777777" w:rsidTr="00DB2CD2">
        <w:trPr>
          <w:tblHeader/>
        </w:trPr>
        <w:tc>
          <w:tcPr>
            <w:tcW w:w="9500" w:type="dxa"/>
            <w:gridSpan w:val="3"/>
            <w:shd w:val="clear" w:color="auto" w:fill="D9D9D9" w:themeFill="background1" w:themeFillShade="D9"/>
            <w:vAlign w:val="bottom"/>
          </w:tcPr>
          <w:p w14:paraId="65CC1E80" w14:textId="77777777" w:rsidR="008970D1" w:rsidRPr="005133CA" w:rsidRDefault="008970D1" w:rsidP="00DB2CD2">
            <w:pPr>
              <w:pStyle w:val="BodyText"/>
            </w:pPr>
            <w:r w:rsidRPr="005133CA">
              <w:t>Effectiveness measures</w:t>
            </w:r>
          </w:p>
        </w:tc>
      </w:tr>
      <w:tr w:rsidR="008970D1" w:rsidRPr="005133CA" w14:paraId="3708D3E7" w14:textId="77777777" w:rsidTr="00DB2CD2">
        <w:trPr>
          <w:tblHeader/>
        </w:trPr>
        <w:tc>
          <w:tcPr>
            <w:tcW w:w="6606" w:type="dxa"/>
            <w:vAlign w:val="bottom"/>
          </w:tcPr>
          <w:p w14:paraId="1793C715" w14:textId="51B1C663" w:rsidR="008970D1" w:rsidRPr="005133CA" w:rsidRDefault="00F209E4" w:rsidP="00F209E4">
            <w:pPr>
              <w:pStyle w:val="BodyText"/>
            </w:pPr>
            <w:r>
              <w:t>Overall customer satisfaction with the enabling activities that support agency implementation of the Queensland Procurement Policy</w:t>
            </w:r>
          </w:p>
        </w:tc>
        <w:tc>
          <w:tcPr>
            <w:tcW w:w="1447" w:type="dxa"/>
          </w:tcPr>
          <w:p w14:paraId="1B492648" w14:textId="7AE86292" w:rsidR="008970D1" w:rsidRPr="005133CA" w:rsidRDefault="00DC1445" w:rsidP="00DC1445">
            <w:pPr>
              <w:pStyle w:val="BodyText"/>
              <w:jc w:val="right"/>
            </w:pPr>
            <w:r w:rsidRPr="001C77FF">
              <w:rPr>
                <w:rFonts w:ascii="Arial" w:hAnsi="Arial" w:cs="Arial"/>
              </w:rPr>
              <w:t>≥</w:t>
            </w:r>
            <w:r>
              <w:t>90%</w:t>
            </w:r>
          </w:p>
        </w:tc>
        <w:tc>
          <w:tcPr>
            <w:tcW w:w="1447" w:type="dxa"/>
            <w:shd w:val="clear" w:color="auto" w:fill="FFFFFF" w:themeFill="background1"/>
          </w:tcPr>
          <w:p w14:paraId="604E4DBA" w14:textId="030B0E00" w:rsidR="008970D1" w:rsidRPr="00767E97" w:rsidRDefault="00767E97" w:rsidP="00DB2CD2">
            <w:pPr>
              <w:pStyle w:val="BodyText"/>
              <w:jc w:val="right"/>
            </w:pPr>
            <w:r w:rsidRPr="00767E97">
              <w:t>90.3%</w:t>
            </w:r>
          </w:p>
        </w:tc>
      </w:tr>
      <w:tr w:rsidR="008970D1" w:rsidRPr="005133CA" w14:paraId="7F23DB4B" w14:textId="77777777" w:rsidTr="00DB2CD2">
        <w:trPr>
          <w:trHeight w:val="391"/>
          <w:tblHeader/>
        </w:trPr>
        <w:tc>
          <w:tcPr>
            <w:tcW w:w="9500" w:type="dxa"/>
            <w:gridSpan w:val="3"/>
            <w:shd w:val="clear" w:color="auto" w:fill="D9D9D9"/>
            <w:vAlign w:val="bottom"/>
          </w:tcPr>
          <w:p w14:paraId="6270095B" w14:textId="77777777" w:rsidR="008970D1" w:rsidRPr="005133CA" w:rsidRDefault="008970D1" w:rsidP="00DC1445">
            <w:pPr>
              <w:pStyle w:val="BodyText"/>
            </w:pPr>
            <w:r w:rsidRPr="005133CA">
              <w:t>Efficiency measure</w:t>
            </w:r>
          </w:p>
        </w:tc>
      </w:tr>
      <w:tr w:rsidR="008970D1" w:rsidRPr="005133CA" w14:paraId="66E6486B" w14:textId="77777777" w:rsidTr="00DB2CD2">
        <w:trPr>
          <w:tblHeader/>
        </w:trPr>
        <w:tc>
          <w:tcPr>
            <w:tcW w:w="6606" w:type="dxa"/>
            <w:vAlign w:val="bottom"/>
          </w:tcPr>
          <w:p w14:paraId="63C816D9" w14:textId="77777777" w:rsidR="008970D1" w:rsidRDefault="00DC1445" w:rsidP="00DC1445">
            <w:pPr>
              <w:pStyle w:val="BodyText"/>
            </w:pPr>
            <w:r>
              <w:t xml:space="preserve">Operating cost per $1,000 of managed spend on general goods and </w:t>
            </w:r>
            <w:proofErr w:type="gramStart"/>
            <w:r>
              <w:t>services</w:t>
            </w:r>
            <w:proofErr w:type="gramEnd"/>
          </w:p>
          <w:p w14:paraId="3EE6D178" w14:textId="264F912B" w:rsidR="008970D1" w:rsidRPr="005133CA" w:rsidRDefault="00D16AFE" w:rsidP="00987560">
            <w:pPr>
              <w:pStyle w:val="DECNotes"/>
            </w:pPr>
            <w:r>
              <w:t>General Goods and Services report one quarter behind due to availability of Supplier data. This data will be published at www.</w:t>
            </w:r>
            <w:r w:rsidR="00BE6916">
              <w:t>energyandclimate</w:t>
            </w:r>
            <w:r>
              <w:t>.qld.gov.au by 31 December 202</w:t>
            </w:r>
            <w:r w:rsidR="00563445">
              <w:t>4</w:t>
            </w:r>
          </w:p>
        </w:tc>
        <w:tc>
          <w:tcPr>
            <w:tcW w:w="1447" w:type="dxa"/>
          </w:tcPr>
          <w:p w14:paraId="37FEC9B4" w14:textId="07E97AB4" w:rsidR="008970D1" w:rsidRPr="005133CA" w:rsidRDefault="00DC1445" w:rsidP="00DC1445">
            <w:pPr>
              <w:pStyle w:val="BodyText"/>
              <w:jc w:val="right"/>
            </w:pPr>
            <w:r>
              <w:t>&lt;$2</w:t>
            </w:r>
          </w:p>
        </w:tc>
        <w:tc>
          <w:tcPr>
            <w:tcW w:w="1447" w:type="dxa"/>
            <w:shd w:val="clear" w:color="auto" w:fill="FFFFFF" w:themeFill="background1"/>
          </w:tcPr>
          <w:p w14:paraId="448CC174" w14:textId="0610A6FC" w:rsidR="008970D1" w:rsidRPr="005133CA" w:rsidRDefault="00446297" w:rsidP="00DB2CD2">
            <w:pPr>
              <w:pStyle w:val="BodyText"/>
              <w:jc w:val="right"/>
            </w:pPr>
            <w:r w:rsidRPr="00987560">
              <w:t>N/A</w:t>
            </w:r>
          </w:p>
        </w:tc>
      </w:tr>
    </w:tbl>
    <w:p w14:paraId="2C72A0B8" w14:textId="77777777" w:rsidR="0069300C" w:rsidRDefault="0069300C">
      <w:pPr>
        <w:spacing w:before="0" w:after="160" w:line="259" w:lineRule="auto"/>
      </w:pPr>
    </w:p>
    <w:tbl>
      <w:tblPr>
        <w:tblW w:w="9500"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6" w:space="0" w:color="969696" w:themeColor="accent3"/>
          <w:insideV w:val="single" w:sz="6" w:space="0" w:color="969696" w:themeColor="accent3"/>
        </w:tblBorders>
        <w:tblLayout w:type="fixed"/>
        <w:tblLook w:val="01E0" w:firstRow="1" w:lastRow="1" w:firstColumn="1" w:lastColumn="1" w:noHBand="0" w:noVBand="0"/>
        <w:tblCaption w:val="Service Delivery Statements service standards"/>
        <w:tblDescription w:val="Service standards, as published in the 2022–23 Service Delivery Statements (SDS) budget paper for the service area 'Grow Queensland's energy sector'."/>
      </w:tblPr>
      <w:tblGrid>
        <w:gridCol w:w="6606"/>
        <w:gridCol w:w="1447"/>
        <w:gridCol w:w="1447"/>
      </w:tblGrid>
      <w:tr w:rsidR="00247584" w:rsidRPr="005133CA" w14:paraId="3DF70BEC" w14:textId="77777777" w:rsidTr="042B6417">
        <w:trPr>
          <w:cantSplit/>
          <w:trHeight w:val="649"/>
          <w:tblHeader/>
        </w:trPr>
        <w:tc>
          <w:tcPr>
            <w:tcW w:w="6606" w:type="dxa"/>
            <w:shd w:val="clear" w:color="auto" w:fill="595959" w:themeFill="accent2" w:themeFillShade="80"/>
            <w:vAlign w:val="center"/>
            <w:hideMark/>
          </w:tcPr>
          <w:p w14:paraId="23BE57B2" w14:textId="14B8D235" w:rsidR="00247584" w:rsidRPr="005133CA" w:rsidRDefault="00E13B66" w:rsidP="00DB2CD2">
            <w:pPr>
              <w:pStyle w:val="EPWtableheading"/>
              <w:rPr>
                <w:b w:val="0"/>
                <w:bCs w:val="0"/>
              </w:rPr>
            </w:pPr>
            <w:bookmarkStart w:id="825" w:name="_Toc172794907"/>
            <w:bookmarkStart w:id="826" w:name="_Toc172808415"/>
            <w:r>
              <w:t>QFleet</w:t>
            </w:r>
          </w:p>
        </w:tc>
        <w:tc>
          <w:tcPr>
            <w:tcW w:w="1447" w:type="dxa"/>
            <w:shd w:val="clear" w:color="auto" w:fill="595959" w:themeFill="accent2" w:themeFillShade="80"/>
            <w:vAlign w:val="center"/>
            <w:hideMark/>
          </w:tcPr>
          <w:p w14:paraId="5836FA17" w14:textId="6A5A56B5" w:rsidR="00247584" w:rsidRPr="005133CA" w:rsidRDefault="00247584" w:rsidP="00DB2CD2">
            <w:pPr>
              <w:pStyle w:val="EPWtableheading"/>
              <w:jc w:val="right"/>
              <w:rPr>
                <w:b w:val="0"/>
              </w:rPr>
            </w:pPr>
            <w:r w:rsidRPr="005133CA">
              <w:t>202</w:t>
            </w:r>
            <w:r>
              <w:t>3</w:t>
            </w:r>
            <w:r w:rsidR="00206DC1">
              <w:t>–</w:t>
            </w:r>
            <w:r>
              <w:t>24</w:t>
            </w:r>
          </w:p>
          <w:p w14:paraId="5025278F" w14:textId="77777777" w:rsidR="00247584" w:rsidRPr="005133CA" w:rsidRDefault="00247584" w:rsidP="00DB2CD2">
            <w:pPr>
              <w:pStyle w:val="EPWtableheading"/>
              <w:jc w:val="right"/>
              <w:rPr>
                <w:b w:val="0"/>
              </w:rPr>
            </w:pPr>
            <w:r w:rsidRPr="005133CA">
              <w:t>target/est.</w:t>
            </w:r>
          </w:p>
        </w:tc>
        <w:tc>
          <w:tcPr>
            <w:tcW w:w="1447" w:type="dxa"/>
            <w:shd w:val="clear" w:color="auto" w:fill="595959" w:themeFill="accent2" w:themeFillShade="80"/>
            <w:vAlign w:val="center"/>
            <w:hideMark/>
          </w:tcPr>
          <w:p w14:paraId="3C6B85AC" w14:textId="0478561B" w:rsidR="00247584" w:rsidRPr="005133CA" w:rsidRDefault="00247584" w:rsidP="00DB2CD2">
            <w:pPr>
              <w:pStyle w:val="EPWtableheading"/>
              <w:jc w:val="right"/>
              <w:rPr>
                <w:b w:val="0"/>
              </w:rPr>
            </w:pPr>
            <w:r w:rsidRPr="005133CA">
              <w:t>202</w:t>
            </w:r>
            <w:r>
              <w:t>3</w:t>
            </w:r>
            <w:r w:rsidR="00206DC1">
              <w:t>–</w:t>
            </w:r>
            <w:r>
              <w:t>24</w:t>
            </w:r>
          </w:p>
          <w:p w14:paraId="03F3E078" w14:textId="77777777" w:rsidR="00247584" w:rsidRPr="005133CA" w:rsidRDefault="00247584" w:rsidP="00DB2CD2">
            <w:pPr>
              <w:pStyle w:val="EPWtableheading"/>
              <w:jc w:val="right"/>
              <w:rPr>
                <w:b w:val="0"/>
              </w:rPr>
            </w:pPr>
            <w:r w:rsidRPr="005133CA">
              <w:t>actual</w:t>
            </w:r>
          </w:p>
        </w:tc>
      </w:tr>
      <w:tr w:rsidR="00247584" w:rsidRPr="005133CA" w14:paraId="63D04C99" w14:textId="77777777" w:rsidTr="042B6417">
        <w:trPr>
          <w:trHeight w:val="300"/>
          <w:tblHeader/>
        </w:trPr>
        <w:tc>
          <w:tcPr>
            <w:tcW w:w="9500" w:type="dxa"/>
            <w:gridSpan w:val="3"/>
            <w:shd w:val="clear" w:color="auto" w:fill="D9D9D9" w:themeFill="background1" w:themeFillShade="D9"/>
            <w:vAlign w:val="bottom"/>
          </w:tcPr>
          <w:p w14:paraId="49913CA4" w14:textId="77777777" w:rsidR="00247584" w:rsidRPr="005133CA" w:rsidRDefault="00247584" w:rsidP="00DB2CD2">
            <w:pPr>
              <w:pStyle w:val="BodyText"/>
            </w:pPr>
            <w:r w:rsidRPr="005133CA">
              <w:t>Effectiveness measures</w:t>
            </w:r>
          </w:p>
        </w:tc>
      </w:tr>
      <w:tr w:rsidR="00A46C22" w:rsidRPr="005133CA" w14:paraId="50C7AB7B" w14:textId="77777777" w:rsidTr="042B6417">
        <w:trPr>
          <w:trHeight w:val="300"/>
          <w:tblHeader/>
        </w:trPr>
        <w:tc>
          <w:tcPr>
            <w:tcW w:w="6606" w:type="dxa"/>
          </w:tcPr>
          <w:p w14:paraId="0BD315B9" w14:textId="77777777" w:rsidR="00CD70F1" w:rsidRDefault="00A46C22" w:rsidP="00CD70F1">
            <w:pPr>
              <w:pStyle w:val="BodyText"/>
            </w:pPr>
            <w:r>
              <w:t>Percentage of QFleet vehicles with 5-star ANCAP safety rating</w:t>
            </w:r>
          </w:p>
          <w:p w14:paraId="3B51ABA3" w14:textId="70F1C7F1" w:rsidR="00A46C22" w:rsidRDefault="00A46C22" w:rsidP="00503431">
            <w:pPr>
              <w:pStyle w:val="SDSNotes"/>
            </w:pPr>
          </w:p>
        </w:tc>
        <w:tc>
          <w:tcPr>
            <w:tcW w:w="1447" w:type="dxa"/>
          </w:tcPr>
          <w:p w14:paraId="473255DF" w14:textId="5A4CF62A" w:rsidR="00A46C22" w:rsidRPr="00857166" w:rsidRDefault="00A46C22" w:rsidP="00A46C22">
            <w:pPr>
              <w:pStyle w:val="BodyText"/>
              <w:jc w:val="right"/>
            </w:pPr>
            <w:r w:rsidRPr="00857166">
              <w:t>90%</w:t>
            </w:r>
          </w:p>
        </w:tc>
        <w:tc>
          <w:tcPr>
            <w:tcW w:w="1447" w:type="dxa"/>
            <w:shd w:val="clear" w:color="auto" w:fill="FFFFFF" w:themeFill="background1"/>
          </w:tcPr>
          <w:p w14:paraId="711514B1" w14:textId="53DA3ECF" w:rsidR="00A46C22" w:rsidRPr="00857166" w:rsidRDefault="00BD294D" w:rsidP="00A46C22">
            <w:pPr>
              <w:pStyle w:val="BodyText"/>
              <w:jc w:val="right"/>
            </w:pPr>
            <w:r w:rsidRPr="00857166">
              <w:t>93%</w:t>
            </w:r>
          </w:p>
        </w:tc>
      </w:tr>
      <w:tr w:rsidR="00A46C22" w:rsidRPr="005133CA" w14:paraId="429EE168" w14:textId="77777777" w:rsidTr="042B6417">
        <w:trPr>
          <w:trHeight w:val="300"/>
          <w:tblHeader/>
        </w:trPr>
        <w:tc>
          <w:tcPr>
            <w:tcW w:w="6606" w:type="dxa"/>
          </w:tcPr>
          <w:p w14:paraId="222A3DBE" w14:textId="77777777" w:rsidR="00A46C22" w:rsidRDefault="00A46C22" w:rsidP="00A46C22">
            <w:pPr>
              <w:pStyle w:val="BodyText"/>
            </w:pPr>
            <w:r>
              <w:t xml:space="preserve">Fleet vehicle utilisation compared to agreed leased </w:t>
            </w:r>
            <w:proofErr w:type="gramStart"/>
            <w:r>
              <w:t>parameters</w:t>
            </w:r>
            <w:proofErr w:type="gramEnd"/>
          </w:p>
          <w:p w14:paraId="5D1B3B13" w14:textId="48842543" w:rsidR="00A46C22" w:rsidRDefault="00857166" w:rsidP="00A46C22">
            <w:pPr>
              <w:pStyle w:val="SDSNotes"/>
            </w:pPr>
            <w:r w:rsidRPr="003134B8">
              <w:rPr>
                <w:color w:val="000000"/>
              </w:rPr>
              <w:t xml:space="preserve">The variance between 2023–24 Target/Estimate and 2023–24 Estimated Actual is mainly due to </w:t>
            </w:r>
            <w:r>
              <w:rPr>
                <w:color w:val="000000"/>
              </w:rPr>
              <w:t>agency flexible working arrangements and the reduced demands on motor vehicle use.</w:t>
            </w:r>
          </w:p>
        </w:tc>
        <w:tc>
          <w:tcPr>
            <w:tcW w:w="1447" w:type="dxa"/>
          </w:tcPr>
          <w:p w14:paraId="78B63D03" w14:textId="0AA7FDB3" w:rsidR="00A46C22" w:rsidRPr="00857166" w:rsidRDefault="00A46C22" w:rsidP="00A46C22">
            <w:pPr>
              <w:pStyle w:val="BodyText"/>
              <w:jc w:val="right"/>
            </w:pPr>
            <w:r w:rsidRPr="00857166">
              <w:t>90%</w:t>
            </w:r>
          </w:p>
        </w:tc>
        <w:tc>
          <w:tcPr>
            <w:tcW w:w="1447" w:type="dxa"/>
            <w:shd w:val="clear" w:color="auto" w:fill="FFFFFF" w:themeFill="background1"/>
          </w:tcPr>
          <w:p w14:paraId="024F98A0" w14:textId="36D6EFAF" w:rsidR="00A46C22" w:rsidRPr="00857166" w:rsidRDefault="00F3389D" w:rsidP="00A46C22">
            <w:pPr>
              <w:pStyle w:val="BodyText"/>
              <w:jc w:val="right"/>
            </w:pPr>
            <w:r w:rsidRPr="00857166">
              <w:t>77%</w:t>
            </w:r>
          </w:p>
        </w:tc>
      </w:tr>
      <w:tr w:rsidR="00145D97" w:rsidRPr="005133CA" w14:paraId="4726BB63" w14:textId="77777777" w:rsidTr="042B6417">
        <w:trPr>
          <w:trHeight w:val="391"/>
          <w:tblHeader/>
        </w:trPr>
        <w:tc>
          <w:tcPr>
            <w:tcW w:w="9500" w:type="dxa"/>
            <w:gridSpan w:val="3"/>
            <w:shd w:val="clear" w:color="auto" w:fill="D9D9D9" w:themeFill="background1" w:themeFillShade="D9"/>
            <w:vAlign w:val="bottom"/>
          </w:tcPr>
          <w:p w14:paraId="4748991D" w14:textId="77777777" w:rsidR="00145D97" w:rsidRPr="00E01FE3" w:rsidRDefault="00145D97" w:rsidP="00145D97">
            <w:pPr>
              <w:pStyle w:val="BodyText"/>
            </w:pPr>
            <w:r w:rsidRPr="00E01FE3">
              <w:t>Efficiency measure</w:t>
            </w:r>
          </w:p>
        </w:tc>
      </w:tr>
      <w:tr w:rsidR="00A46C22" w:rsidRPr="005133CA" w14:paraId="48AE1909" w14:textId="77777777" w:rsidTr="042B6417">
        <w:trPr>
          <w:trHeight w:val="300"/>
          <w:tblHeader/>
        </w:trPr>
        <w:tc>
          <w:tcPr>
            <w:tcW w:w="6606" w:type="dxa"/>
          </w:tcPr>
          <w:p w14:paraId="353B35C7" w14:textId="77777777" w:rsidR="00A46C22" w:rsidRDefault="00A46C22" w:rsidP="00A46C22">
            <w:pPr>
              <w:pStyle w:val="BodyText"/>
            </w:pPr>
            <w:r>
              <w:t>Total current assets over total current liabilities</w:t>
            </w:r>
          </w:p>
          <w:p w14:paraId="33EF943D" w14:textId="2C7AE429" w:rsidR="00A46C22" w:rsidRPr="008E0D6C" w:rsidRDefault="723D04E8">
            <w:pPr>
              <w:pStyle w:val="SDSNotes"/>
            </w:pPr>
            <w:r w:rsidRPr="008E0D6C">
              <w:rPr>
                <w:rFonts w:eastAsiaTheme="minorEastAsia" w:cstheme="minorBidi"/>
                <w:color w:val="000000" w:themeColor="text2"/>
              </w:rPr>
              <w:t>The variance between 2023-24 Target/Estimate and 2023-24 Actual is mainly due a change in vehicle acquisition strategies to overcome supply chain issues, with flow on impacts to cash balances, higher payables, taxation and increased short-term borrowings</w:t>
            </w:r>
            <w:r w:rsidRPr="008E0D6C">
              <w:rPr>
                <w:rFonts w:eastAsia="Calibri" w:cs="Calibri"/>
                <w:i/>
                <w:iCs/>
                <w:color w:val="000000" w:themeColor="text2"/>
              </w:rPr>
              <w:t>.</w:t>
            </w:r>
          </w:p>
        </w:tc>
        <w:tc>
          <w:tcPr>
            <w:tcW w:w="1447" w:type="dxa"/>
          </w:tcPr>
          <w:p w14:paraId="0916C8BF" w14:textId="3028E244" w:rsidR="00A46C22" w:rsidRPr="005133CA" w:rsidRDefault="00A46C22" w:rsidP="00A46C22">
            <w:pPr>
              <w:pStyle w:val="BodyText"/>
              <w:jc w:val="right"/>
            </w:pPr>
            <w:r>
              <w:t>12:1</w:t>
            </w:r>
          </w:p>
        </w:tc>
        <w:tc>
          <w:tcPr>
            <w:tcW w:w="1447" w:type="dxa"/>
            <w:shd w:val="clear" w:color="auto" w:fill="FFFFFF" w:themeFill="background1"/>
          </w:tcPr>
          <w:p w14:paraId="4A200008" w14:textId="45BC0ACA" w:rsidR="00A46C22" w:rsidRPr="00A93126" w:rsidRDefault="435C78AD" w:rsidP="042B6417">
            <w:pPr>
              <w:pStyle w:val="BodyText"/>
              <w:jc w:val="right"/>
            </w:pPr>
            <w:r w:rsidRPr="00A93126">
              <w:t>0.63:1</w:t>
            </w:r>
          </w:p>
        </w:tc>
      </w:tr>
      <w:tr w:rsidR="00A46C22" w:rsidRPr="005133CA" w14:paraId="69C6432C" w14:textId="77777777" w:rsidTr="042B6417">
        <w:trPr>
          <w:trHeight w:val="300"/>
          <w:tblHeader/>
        </w:trPr>
        <w:tc>
          <w:tcPr>
            <w:tcW w:w="6606" w:type="dxa"/>
          </w:tcPr>
          <w:p w14:paraId="278789EF" w14:textId="77777777" w:rsidR="00A46C22" w:rsidRPr="003471C1" w:rsidRDefault="00A46C22" w:rsidP="042B6417">
            <w:pPr>
              <w:pStyle w:val="BodyText"/>
            </w:pPr>
            <w:r w:rsidRPr="00350E83">
              <w:rPr>
                <w:rFonts w:eastAsiaTheme="minorEastAsia"/>
                <w:szCs w:val="20"/>
              </w:rPr>
              <w:t>Financial return as a percentage of total net assets</w:t>
            </w:r>
          </w:p>
          <w:p w14:paraId="30B15D0A" w14:textId="6574E7AF" w:rsidR="00A46C22" w:rsidRPr="001009AB" w:rsidRDefault="1ABFEDD8">
            <w:pPr>
              <w:pStyle w:val="SDSNotes"/>
              <w:rPr>
                <w:color w:val="000000" w:themeColor="text2"/>
              </w:rPr>
            </w:pPr>
            <w:r w:rsidRPr="001009AB">
              <w:rPr>
                <w:rFonts w:eastAsiaTheme="minorEastAsia" w:cstheme="minorBidi"/>
                <w:color w:val="000000" w:themeColor="text2"/>
              </w:rPr>
              <w:t>The variance between 2023-24 Target/Estimate and 2023</w:t>
            </w:r>
            <w:r w:rsidRPr="001009AB">
              <w:rPr>
                <w:rFonts w:ascii="Cambria Math" w:eastAsiaTheme="minorEastAsia" w:hAnsi="Cambria Math" w:cs="Cambria Math"/>
                <w:color w:val="000000" w:themeColor="text2"/>
              </w:rPr>
              <w:t>‑</w:t>
            </w:r>
            <w:r w:rsidRPr="001009AB">
              <w:rPr>
                <w:rFonts w:eastAsiaTheme="minorEastAsia" w:cstheme="minorBidi"/>
                <w:color w:val="000000" w:themeColor="text2"/>
              </w:rPr>
              <w:t>24 Actual is mainly due to a higher operating surplus achieved than budgeted.</w:t>
            </w:r>
          </w:p>
        </w:tc>
        <w:tc>
          <w:tcPr>
            <w:tcW w:w="1447" w:type="dxa"/>
          </w:tcPr>
          <w:p w14:paraId="1F4B20E7" w14:textId="2B7D248B" w:rsidR="00A46C22" w:rsidRPr="005133CA" w:rsidRDefault="00A46C22" w:rsidP="00A46C22">
            <w:pPr>
              <w:pStyle w:val="BodyText"/>
              <w:jc w:val="right"/>
            </w:pPr>
            <w:r>
              <w:t>5.1%</w:t>
            </w:r>
          </w:p>
        </w:tc>
        <w:tc>
          <w:tcPr>
            <w:tcW w:w="1447" w:type="dxa"/>
            <w:shd w:val="clear" w:color="auto" w:fill="FFFFFF" w:themeFill="background1"/>
          </w:tcPr>
          <w:p w14:paraId="2039F059" w14:textId="7FAFAF1E" w:rsidR="00A46C22" w:rsidRPr="00A93126" w:rsidRDefault="6C46E4E9">
            <w:pPr>
              <w:pStyle w:val="BodyText"/>
              <w:jc w:val="right"/>
            </w:pPr>
            <w:r w:rsidRPr="00A93126">
              <w:t>10.6</w:t>
            </w:r>
            <w:r w:rsidR="003411DA">
              <w:t>%</w:t>
            </w:r>
          </w:p>
        </w:tc>
      </w:tr>
      <w:tr w:rsidR="00A46C22" w:rsidRPr="005133CA" w14:paraId="7C573C08" w14:textId="77777777" w:rsidTr="042B6417">
        <w:trPr>
          <w:trHeight w:val="300"/>
          <w:tblHeader/>
        </w:trPr>
        <w:tc>
          <w:tcPr>
            <w:tcW w:w="6606" w:type="dxa"/>
          </w:tcPr>
          <w:p w14:paraId="71E1146C" w14:textId="77777777" w:rsidR="00A46C22" w:rsidRDefault="00A46C22" w:rsidP="00A46C22">
            <w:pPr>
              <w:pStyle w:val="BodyText"/>
            </w:pPr>
            <w:r>
              <w:t>Total net debt as a percentage of total capital</w:t>
            </w:r>
          </w:p>
          <w:p w14:paraId="11948022" w14:textId="32867401" w:rsidR="00A46C22" w:rsidRPr="008E0D6C" w:rsidRDefault="27D30F76">
            <w:pPr>
              <w:pStyle w:val="SDSNotes"/>
            </w:pPr>
            <w:r w:rsidRPr="008E0D6C">
              <w:rPr>
                <w:rFonts w:eastAsiaTheme="minorEastAsia" w:cstheme="minorBidi"/>
                <w:color w:val="000000" w:themeColor="text2"/>
              </w:rPr>
              <w:t>The variance between 2023-24 Target/Estimate and 2023</w:t>
            </w:r>
            <w:r w:rsidRPr="008E0D6C">
              <w:rPr>
                <w:rFonts w:ascii="Cambria Math" w:eastAsiaTheme="minorEastAsia" w:hAnsi="Cambria Math" w:cs="Cambria Math"/>
                <w:color w:val="000000" w:themeColor="text2"/>
              </w:rPr>
              <w:t>‑</w:t>
            </w:r>
            <w:r w:rsidRPr="008E0D6C">
              <w:rPr>
                <w:rFonts w:eastAsiaTheme="minorEastAsia" w:cstheme="minorBidi"/>
                <w:color w:val="000000" w:themeColor="text2"/>
              </w:rPr>
              <w:t xml:space="preserve">24 Actual is mainly due </w:t>
            </w:r>
            <w:r w:rsidR="09825EC4" w:rsidRPr="008E0D6C">
              <w:rPr>
                <w:rFonts w:eastAsiaTheme="minorEastAsia" w:cstheme="minorBidi"/>
                <w:color w:val="000000" w:themeColor="text2"/>
              </w:rPr>
              <w:t xml:space="preserve">to </w:t>
            </w:r>
            <w:r w:rsidRPr="008E0D6C">
              <w:rPr>
                <w:rFonts w:eastAsiaTheme="minorEastAsia" w:cstheme="minorBidi"/>
                <w:color w:val="000000" w:themeColor="text2"/>
              </w:rPr>
              <w:t xml:space="preserve">higher net debt </w:t>
            </w:r>
            <w:proofErr w:type="gramStart"/>
            <w:r w:rsidRPr="008E0D6C">
              <w:rPr>
                <w:rFonts w:eastAsiaTheme="minorEastAsia" w:cstheme="minorBidi"/>
                <w:color w:val="000000" w:themeColor="text2"/>
              </w:rPr>
              <w:t>as a result of</w:t>
            </w:r>
            <w:proofErr w:type="gramEnd"/>
            <w:r w:rsidRPr="008E0D6C">
              <w:rPr>
                <w:rFonts w:eastAsiaTheme="minorEastAsia" w:cstheme="minorBidi"/>
                <w:color w:val="000000" w:themeColor="text2"/>
              </w:rPr>
              <w:t xml:space="preserve"> a lower cash balance and increase in short-term borrowings.</w:t>
            </w:r>
          </w:p>
        </w:tc>
        <w:tc>
          <w:tcPr>
            <w:tcW w:w="1447" w:type="dxa"/>
          </w:tcPr>
          <w:p w14:paraId="090456FF" w14:textId="7AEFBA2A" w:rsidR="00A46C22" w:rsidRPr="005133CA" w:rsidRDefault="00A46C22" w:rsidP="00A46C22">
            <w:pPr>
              <w:pStyle w:val="BodyText"/>
              <w:jc w:val="right"/>
            </w:pPr>
            <w:r>
              <w:t>59.1%</w:t>
            </w:r>
          </w:p>
        </w:tc>
        <w:tc>
          <w:tcPr>
            <w:tcW w:w="1447" w:type="dxa"/>
            <w:shd w:val="clear" w:color="auto" w:fill="FFFFFF" w:themeFill="background1"/>
          </w:tcPr>
          <w:p w14:paraId="068A226C" w14:textId="11DE1CF8" w:rsidR="00A46C22" w:rsidRPr="00A93126" w:rsidRDefault="0BE2221F">
            <w:pPr>
              <w:pStyle w:val="BodyText"/>
              <w:jc w:val="right"/>
            </w:pPr>
            <w:r w:rsidRPr="00A93126">
              <w:t>65.8</w:t>
            </w:r>
            <w:r w:rsidR="003411DA">
              <w:t>%</w:t>
            </w:r>
          </w:p>
        </w:tc>
      </w:tr>
    </w:tbl>
    <w:p w14:paraId="44F1264F" w14:textId="77777777" w:rsidR="007D0E6A" w:rsidRDefault="007D0E6A" w:rsidP="002A6070">
      <w:pPr>
        <w:pStyle w:val="DECChapterHeading"/>
      </w:pPr>
    </w:p>
    <w:p w14:paraId="2056948D" w14:textId="77777777" w:rsidR="007D0E6A" w:rsidRDefault="007D0E6A">
      <w:pPr>
        <w:spacing w:before="0" w:after="160" w:line="259" w:lineRule="auto"/>
        <w:rPr>
          <w:rFonts w:eastAsiaTheme="majorEastAsia" w:cstheme="majorBidi"/>
          <w:b/>
          <w:bCs/>
          <w:color w:val="000000" w:themeColor="text1"/>
          <w:sz w:val="60"/>
          <w:szCs w:val="60"/>
        </w:rPr>
      </w:pPr>
      <w:r>
        <w:br w:type="page"/>
      </w:r>
    </w:p>
    <w:p w14:paraId="687BA02F" w14:textId="1CD589C5" w:rsidR="009679F8" w:rsidRPr="005133CA" w:rsidRDefault="009679F8" w:rsidP="002A6070">
      <w:pPr>
        <w:pStyle w:val="DECChapterHeading"/>
      </w:pPr>
      <w:bookmarkStart w:id="827" w:name="_Toc144747833"/>
      <w:bookmarkStart w:id="828" w:name="Appendicies"/>
      <w:bookmarkStart w:id="829" w:name="_Toc176425041"/>
      <w:r w:rsidRPr="005133CA">
        <w:lastRenderedPageBreak/>
        <w:t>Appendices</w:t>
      </w:r>
      <w:bookmarkEnd w:id="825"/>
      <w:bookmarkEnd w:id="826"/>
      <w:bookmarkEnd w:id="827"/>
      <w:bookmarkEnd w:id="828"/>
      <w:bookmarkEnd w:id="829"/>
    </w:p>
    <w:p w14:paraId="69BD2761" w14:textId="54970D89" w:rsidR="009679F8" w:rsidRPr="005133CA" w:rsidRDefault="009679F8" w:rsidP="001B482D">
      <w:pPr>
        <w:pStyle w:val="DECheading11"/>
      </w:pPr>
      <w:bookmarkStart w:id="830" w:name="_Toc144747834"/>
      <w:bookmarkStart w:id="831" w:name="_Toc172794908"/>
      <w:bookmarkStart w:id="832" w:name="_Toc172806455"/>
      <w:bookmarkStart w:id="833" w:name="_Toc172808416"/>
      <w:bookmarkStart w:id="834" w:name="_Toc176425042"/>
      <w:bookmarkStart w:id="835" w:name="Statutory_bodies"/>
      <w:r w:rsidRPr="005133CA">
        <w:t>Appendix 1 – Statutory bodies</w:t>
      </w:r>
      <w:bookmarkEnd w:id="830"/>
      <w:bookmarkEnd w:id="831"/>
      <w:bookmarkEnd w:id="832"/>
      <w:bookmarkEnd w:id="833"/>
      <w:bookmarkEnd w:id="834"/>
    </w:p>
    <w:bookmarkEnd w:id="835"/>
    <w:p w14:paraId="189C9B31" w14:textId="5D554CB6" w:rsidR="009679F8" w:rsidRPr="005133CA" w:rsidRDefault="009679F8" w:rsidP="009679F8">
      <w:pPr>
        <w:pStyle w:val="BodyText"/>
      </w:pPr>
      <w:r w:rsidRPr="005133CA">
        <w:t xml:space="preserve">The following statutory </w:t>
      </w:r>
      <w:r w:rsidR="00AF0C91">
        <w:t>body</w:t>
      </w:r>
      <w:r w:rsidRPr="005133CA">
        <w:t xml:space="preserve"> prepare</w:t>
      </w:r>
      <w:r w:rsidR="00AF0C91">
        <w:t>s a</w:t>
      </w:r>
      <w:r w:rsidRPr="005133CA">
        <w:t xml:space="preserve"> separate annual repor</w:t>
      </w:r>
      <w:r w:rsidR="00AF0C91">
        <w:t>t</w:t>
      </w:r>
      <w:r w:rsidRPr="005133CA">
        <w:t xml:space="preserve"> that </w:t>
      </w:r>
      <w:r w:rsidR="00AF0C91">
        <w:t>is</w:t>
      </w:r>
      <w:r w:rsidRPr="005133CA">
        <w:t xml:space="preserve"> provided to the Minister for Energy</w:t>
      </w:r>
      <w:r w:rsidR="00447158">
        <w:t xml:space="preserve"> and Clean Economy Jobs. </w:t>
      </w:r>
    </w:p>
    <w:tbl>
      <w:tblPr>
        <w:tblStyle w:val="TableGrid0"/>
        <w:tblW w:w="9510" w:type="dxa"/>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6" w:space="0" w:color="969696" w:themeColor="accent3"/>
          <w:insideV w:val="single" w:sz="6" w:space="0" w:color="969696" w:themeColor="accent3"/>
        </w:tblBorders>
        <w:tblCellMar>
          <w:top w:w="51" w:type="dxa"/>
          <w:left w:w="113" w:type="dxa"/>
          <w:right w:w="96" w:type="dxa"/>
        </w:tblCellMar>
        <w:tblLook w:val="04A0" w:firstRow="1" w:lastRow="0" w:firstColumn="1" w:lastColumn="0" w:noHBand="0" w:noVBand="1"/>
      </w:tblPr>
      <w:tblGrid>
        <w:gridCol w:w="3539"/>
        <w:gridCol w:w="3402"/>
        <w:gridCol w:w="2569"/>
      </w:tblGrid>
      <w:tr w:rsidR="009679F8" w:rsidRPr="005133CA" w14:paraId="69C19299" w14:textId="77777777">
        <w:trPr>
          <w:trHeight w:val="602"/>
        </w:trPr>
        <w:tc>
          <w:tcPr>
            <w:tcW w:w="3539" w:type="dxa"/>
            <w:shd w:val="clear" w:color="auto" w:fill="595959" w:themeFill="text1" w:themeFillTint="A6"/>
          </w:tcPr>
          <w:p w14:paraId="4AFA704E" w14:textId="77777777" w:rsidR="009679F8" w:rsidRPr="005133CA" w:rsidRDefault="009679F8" w:rsidP="001B482D">
            <w:pPr>
              <w:pStyle w:val="DECTableheader"/>
              <w:rPr>
                <w:b/>
              </w:rPr>
            </w:pPr>
            <w:r w:rsidRPr="005133CA">
              <w:t>Name of body as described in the constituting Act</w:t>
            </w:r>
          </w:p>
        </w:tc>
        <w:tc>
          <w:tcPr>
            <w:tcW w:w="3402" w:type="dxa"/>
            <w:shd w:val="clear" w:color="auto" w:fill="595959" w:themeFill="text1" w:themeFillTint="A6"/>
            <w:vAlign w:val="center"/>
          </w:tcPr>
          <w:p w14:paraId="04B34172" w14:textId="77777777" w:rsidR="009679F8" w:rsidRPr="005133CA" w:rsidRDefault="009679F8" w:rsidP="001B482D">
            <w:pPr>
              <w:pStyle w:val="DECTableheader"/>
              <w:rPr>
                <w:b/>
              </w:rPr>
            </w:pPr>
            <w:r w:rsidRPr="005133CA">
              <w:t>Constituting Act</w:t>
            </w:r>
          </w:p>
        </w:tc>
        <w:tc>
          <w:tcPr>
            <w:tcW w:w="2569" w:type="dxa"/>
            <w:shd w:val="clear" w:color="auto" w:fill="595959" w:themeFill="text1" w:themeFillTint="A6"/>
            <w:vAlign w:val="center"/>
          </w:tcPr>
          <w:p w14:paraId="6BE27579" w14:textId="77777777" w:rsidR="009679F8" w:rsidRPr="005133CA" w:rsidRDefault="009679F8" w:rsidP="001B482D">
            <w:pPr>
              <w:pStyle w:val="DECTableheader"/>
              <w:rPr>
                <w:b/>
              </w:rPr>
            </w:pPr>
            <w:r w:rsidRPr="005133CA">
              <w:t>Annual reporting arrangements</w:t>
            </w:r>
          </w:p>
        </w:tc>
      </w:tr>
      <w:tr w:rsidR="009679F8" w:rsidRPr="005133CA" w14:paraId="03579174" w14:textId="77777777">
        <w:trPr>
          <w:trHeight w:val="602"/>
        </w:trPr>
        <w:tc>
          <w:tcPr>
            <w:tcW w:w="3539" w:type="dxa"/>
            <w:tcBorders>
              <w:top w:val="single" w:sz="6" w:space="0" w:color="969696" w:themeColor="accent3"/>
            </w:tcBorders>
            <w:vAlign w:val="center"/>
          </w:tcPr>
          <w:p w14:paraId="0C54EE6E" w14:textId="77777777" w:rsidR="009679F8" w:rsidRPr="005133CA" w:rsidRDefault="009679F8">
            <w:pPr>
              <w:pStyle w:val="BodyText"/>
            </w:pPr>
            <w:r w:rsidRPr="005133CA">
              <w:t>Energy and Water Ombudsman of Queensland</w:t>
            </w:r>
          </w:p>
        </w:tc>
        <w:tc>
          <w:tcPr>
            <w:tcW w:w="3402" w:type="dxa"/>
            <w:tcBorders>
              <w:top w:val="single" w:sz="6" w:space="0" w:color="969696" w:themeColor="accent3"/>
            </w:tcBorders>
            <w:vAlign w:val="center"/>
          </w:tcPr>
          <w:p w14:paraId="314BBB9E" w14:textId="77777777" w:rsidR="009679F8" w:rsidRPr="001D4F29" w:rsidRDefault="009679F8">
            <w:pPr>
              <w:pStyle w:val="BodyText"/>
              <w:rPr>
                <w:i/>
              </w:rPr>
            </w:pPr>
            <w:r w:rsidRPr="001D4F29">
              <w:rPr>
                <w:i/>
              </w:rPr>
              <w:t>Energy and Water Ombudsman Act 2006</w:t>
            </w:r>
          </w:p>
        </w:tc>
        <w:tc>
          <w:tcPr>
            <w:tcW w:w="2569" w:type="dxa"/>
            <w:tcBorders>
              <w:top w:val="single" w:sz="6" w:space="0" w:color="969696" w:themeColor="accent3"/>
            </w:tcBorders>
            <w:vAlign w:val="center"/>
          </w:tcPr>
          <w:p w14:paraId="41696514" w14:textId="77777777" w:rsidR="009679F8" w:rsidRPr="005133CA" w:rsidRDefault="009679F8">
            <w:pPr>
              <w:pStyle w:val="BodyText"/>
            </w:pPr>
            <w:r w:rsidRPr="005133CA">
              <w:t>Annual report to Parliament</w:t>
            </w:r>
          </w:p>
        </w:tc>
      </w:tr>
    </w:tbl>
    <w:p w14:paraId="2F5240D5" w14:textId="77777777" w:rsidR="009679F8" w:rsidRPr="005133CA" w:rsidRDefault="009679F8" w:rsidP="009679F8">
      <w:pPr>
        <w:pStyle w:val="BodyText"/>
      </w:pPr>
    </w:p>
    <w:p w14:paraId="018E0406" w14:textId="77777777" w:rsidR="009679F8" w:rsidRPr="005133CA" w:rsidRDefault="009679F8" w:rsidP="009679F8">
      <w:pPr>
        <w:pStyle w:val="BodyText"/>
      </w:pPr>
      <w:r w:rsidRPr="005133CA">
        <w:br w:type="page"/>
      </w:r>
    </w:p>
    <w:p w14:paraId="403D0916" w14:textId="7443597F" w:rsidR="009679F8" w:rsidRPr="005133CA" w:rsidRDefault="009679F8" w:rsidP="001B482D">
      <w:pPr>
        <w:pStyle w:val="DECheading11"/>
      </w:pPr>
      <w:bookmarkStart w:id="836" w:name="_Appendix_2_–"/>
      <w:bookmarkStart w:id="837" w:name="_Toc144747835"/>
      <w:bookmarkStart w:id="838" w:name="_Toc172794909"/>
      <w:bookmarkStart w:id="839" w:name="_Toc172806456"/>
      <w:bookmarkStart w:id="840" w:name="_Toc172808417"/>
      <w:bookmarkStart w:id="841" w:name="_Toc176425043"/>
      <w:bookmarkStart w:id="842" w:name="Government_bodies"/>
      <w:bookmarkEnd w:id="836"/>
      <w:r w:rsidRPr="005133CA">
        <w:lastRenderedPageBreak/>
        <w:t>Appendix 2 – Government bodies</w:t>
      </w:r>
      <w:bookmarkEnd w:id="837"/>
      <w:bookmarkEnd w:id="838"/>
      <w:bookmarkEnd w:id="839"/>
      <w:bookmarkEnd w:id="840"/>
      <w:bookmarkEnd w:id="841"/>
    </w:p>
    <w:bookmarkEnd w:id="842"/>
    <w:p w14:paraId="00925F99" w14:textId="4E591F98" w:rsidR="009679F8" w:rsidRPr="00CF6DC4" w:rsidRDefault="009679F8" w:rsidP="009679F8">
      <w:pPr>
        <w:pStyle w:val="BodyText"/>
      </w:pPr>
      <w:r w:rsidRPr="00CF6DC4">
        <w:t xml:space="preserve">The </w:t>
      </w:r>
      <w:r w:rsidR="00207B53">
        <w:t>Tripartite Procurement Advisory Panel</w:t>
      </w:r>
      <w:r w:rsidRPr="00CF6DC4">
        <w:t xml:space="preserve"> </w:t>
      </w:r>
      <w:r w:rsidR="003C3916" w:rsidRPr="00CF6DC4">
        <w:t>was</w:t>
      </w:r>
      <w:r>
        <w:t xml:space="preserve"> </w:t>
      </w:r>
      <w:r w:rsidR="00D1085F">
        <w:t>the only</w:t>
      </w:r>
      <w:r w:rsidRPr="00CF6DC4">
        <w:t xml:space="preserve"> active</w:t>
      </w:r>
      <w:r>
        <w:t xml:space="preserve"> </w:t>
      </w:r>
      <w:r w:rsidR="00D1085F">
        <w:t>government body</w:t>
      </w:r>
      <w:r w:rsidRPr="00CF6DC4">
        <w:t xml:space="preserve"> during </w:t>
      </w:r>
      <w:r w:rsidR="003C3916" w:rsidRPr="00CF6DC4">
        <w:t>2023</w:t>
      </w:r>
      <w:r w:rsidR="001D4F29">
        <w:t>–</w:t>
      </w:r>
      <w:r w:rsidR="003C3916" w:rsidRPr="00CF6DC4">
        <w:t>24</w:t>
      </w:r>
      <w:r w:rsidRPr="00CF6DC4">
        <w:t xml:space="preserve"> with reporting arrangements to the department. </w:t>
      </w:r>
    </w:p>
    <w:p w14:paraId="064F2F6D" w14:textId="4444C05B" w:rsidR="00905342" w:rsidRDefault="00905342" w:rsidP="009679F8">
      <w:pPr>
        <w:pStyle w:val="Bulletsround"/>
        <w:numPr>
          <w:ilvl w:val="0"/>
          <w:numId w:val="0"/>
        </w:numPr>
      </w:pPr>
      <w:r>
        <w:t>The Queensland Climate Advisory Council was not active throughout 2023</w:t>
      </w:r>
      <w:r w:rsidR="001D4F29">
        <w:t>–</w:t>
      </w:r>
      <w:r>
        <w:t>24</w:t>
      </w:r>
      <w:r w:rsidR="005A5247">
        <w:t>.</w:t>
      </w:r>
    </w:p>
    <w:p w14:paraId="679792E8" w14:textId="67781F21" w:rsidR="009679F8" w:rsidRPr="009679F8" w:rsidRDefault="009679F8" w:rsidP="009679F8">
      <w:pPr>
        <w:pStyle w:val="Bulletsround"/>
        <w:numPr>
          <w:ilvl w:val="0"/>
          <w:numId w:val="0"/>
        </w:numPr>
      </w:pPr>
      <w:r w:rsidRPr="005133CA">
        <w:t>The Advisory Council to the Energy and Water Ombudsman Queensland (EWOQ) forms part of the EWOQ and as such will be reported in the EWOQ Annual Report.</w:t>
      </w:r>
    </w:p>
    <w:p w14:paraId="07A4039F" w14:textId="6DB9E925" w:rsidR="00554DAF" w:rsidRPr="009679F8" w:rsidRDefault="00554DAF" w:rsidP="009679F8">
      <w:pPr>
        <w:pStyle w:val="Bulletsround"/>
        <w:numPr>
          <w:ilvl w:val="0"/>
          <w:numId w:val="0"/>
        </w:numPr>
      </w:pPr>
      <w:r w:rsidRPr="00CF6DC4">
        <w:t xml:space="preserve">Additional information on government bodies is available on the department’s website: </w:t>
      </w:r>
      <w:hyperlink r:id="rId64" w:history="1">
        <w:r w:rsidRPr="008C2F9B">
          <w:rPr>
            <w:rStyle w:val="Hyperlink"/>
          </w:rPr>
          <w:t>www.energyandclimate.qld.gov.au</w:t>
        </w:r>
      </w:hyperlink>
    </w:p>
    <w:tbl>
      <w:tblPr>
        <w:tblStyle w:val="TableGrid"/>
        <w:tblW w:w="9493"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6" w:space="0" w:color="969696" w:themeColor="accent3"/>
          <w:insideV w:val="single" w:sz="6" w:space="0" w:color="969696" w:themeColor="accent3"/>
        </w:tblBorders>
        <w:tblLayout w:type="fixed"/>
        <w:tblLook w:val="04A0" w:firstRow="1" w:lastRow="0" w:firstColumn="1" w:lastColumn="0" w:noHBand="0" w:noVBand="1"/>
      </w:tblPr>
      <w:tblGrid>
        <w:gridCol w:w="1785"/>
        <w:gridCol w:w="7708"/>
      </w:tblGrid>
      <w:tr w:rsidR="009679F8" w:rsidRPr="005133CA" w14:paraId="3B4F3463" w14:textId="77777777" w:rsidTr="1370EF3B">
        <w:trPr>
          <w:trHeight w:val="553"/>
        </w:trPr>
        <w:tc>
          <w:tcPr>
            <w:tcW w:w="9493" w:type="dxa"/>
            <w:gridSpan w:val="2"/>
            <w:shd w:val="clear" w:color="auto" w:fill="595959" w:themeFill="accent2" w:themeFillShade="80"/>
            <w:hideMark/>
          </w:tcPr>
          <w:p w14:paraId="3CEBC0C6" w14:textId="45F3938B" w:rsidR="009679F8" w:rsidRPr="005133CA" w:rsidRDefault="009679F8" w:rsidP="001B482D">
            <w:pPr>
              <w:pStyle w:val="DECTableheader"/>
              <w:rPr>
                <w:b/>
                <w:color w:val="000000" w:themeColor="text1"/>
              </w:rPr>
            </w:pPr>
            <w:r w:rsidRPr="005133CA">
              <w:t>Tripartite Procurement Advisory Panel</w:t>
            </w:r>
          </w:p>
        </w:tc>
      </w:tr>
      <w:tr w:rsidR="009679F8" w:rsidRPr="005133CA" w14:paraId="2D71D168" w14:textId="77777777" w:rsidTr="00891DDB">
        <w:trPr>
          <w:trHeight w:val="435"/>
        </w:trPr>
        <w:tc>
          <w:tcPr>
            <w:tcW w:w="1785" w:type="dxa"/>
            <w:shd w:val="clear" w:color="auto" w:fill="auto"/>
            <w:hideMark/>
          </w:tcPr>
          <w:p w14:paraId="6899863D" w14:textId="77777777" w:rsidR="009679F8" w:rsidRPr="005133CA" w:rsidRDefault="009679F8">
            <w:pPr>
              <w:pStyle w:val="BodyText"/>
            </w:pPr>
            <w:r w:rsidRPr="005133CA">
              <w:t>Act or instrument</w:t>
            </w:r>
          </w:p>
        </w:tc>
        <w:tc>
          <w:tcPr>
            <w:tcW w:w="7708" w:type="dxa"/>
            <w:shd w:val="clear" w:color="auto" w:fill="auto"/>
          </w:tcPr>
          <w:p w14:paraId="64BFCEEA" w14:textId="77777777" w:rsidR="009679F8" w:rsidRPr="0019609B" w:rsidRDefault="009679F8">
            <w:pPr>
              <w:pStyle w:val="BodyText"/>
            </w:pPr>
            <w:r w:rsidRPr="0019609B">
              <w:t>Terms of Reference</w:t>
            </w:r>
          </w:p>
        </w:tc>
      </w:tr>
      <w:tr w:rsidR="009679F8" w:rsidRPr="005133CA" w14:paraId="1D546C77" w14:textId="77777777" w:rsidTr="00891DDB">
        <w:trPr>
          <w:trHeight w:val="567"/>
        </w:trPr>
        <w:tc>
          <w:tcPr>
            <w:tcW w:w="1785" w:type="dxa"/>
            <w:shd w:val="clear" w:color="auto" w:fill="auto"/>
            <w:hideMark/>
          </w:tcPr>
          <w:p w14:paraId="027B59ED" w14:textId="77777777" w:rsidR="009679F8" w:rsidRPr="005133CA" w:rsidRDefault="009679F8">
            <w:pPr>
              <w:pStyle w:val="BodyText"/>
            </w:pPr>
            <w:r w:rsidRPr="005133CA">
              <w:t>Functions</w:t>
            </w:r>
          </w:p>
        </w:tc>
        <w:tc>
          <w:tcPr>
            <w:tcW w:w="7708" w:type="dxa"/>
            <w:shd w:val="clear" w:color="auto" w:fill="auto"/>
          </w:tcPr>
          <w:p w14:paraId="51359617" w14:textId="539B7AEB" w:rsidR="009679F8" w:rsidRPr="00CF6DC4" w:rsidRDefault="009679F8">
            <w:pPr>
              <w:pStyle w:val="BodyText"/>
            </w:pPr>
            <w:r w:rsidRPr="00CF6DC4">
              <w:t xml:space="preserve">The Tripartite Procurement Advisory Panel (the Panel) is the independent, expert body providing advice and recommendations to the Queensland </w:t>
            </w:r>
            <w:r w:rsidR="007071DB">
              <w:t>G</w:t>
            </w:r>
            <w:r w:rsidRPr="00CF6DC4">
              <w:t xml:space="preserve">overnment on penalties (demerits and/or sanction) applicable under the Ethical Supplier Mandate </w:t>
            </w:r>
            <w:r w:rsidR="00B14B73">
              <w:t xml:space="preserve">(the Mandate) </w:t>
            </w:r>
            <w:r w:rsidRPr="00CF6DC4">
              <w:t xml:space="preserve">for non-compliance with the Ethical Supplier Threshold </w:t>
            </w:r>
            <w:r w:rsidR="00037529">
              <w:t xml:space="preserve">(the Threshold) </w:t>
            </w:r>
            <w:r w:rsidRPr="00CF6DC4">
              <w:t>and/or other contractual commitments.</w:t>
            </w:r>
          </w:p>
          <w:p w14:paraId="0FCBC4A8" w14:textId="77777777" w:rsidR="009679F8" w:rsidRPr="00CF6DC4" w:rsidRDefault="009679F8">
            <w:pPr>
              <w:pStyle w:val="BodyText"/>
            </w:pPr>
            <w:r w:rsidRPr="00CF6DC4">
              <w:t xml:space="preserve">The Panel's role covers three broad areas which include: </w:t>
            </w:r>
          </w:p>
          <w:p w14:paraId="17441269" w14:textId="1FD5FEDE" w:rsidR="009679F8" w:rsidRPr="00CF6DC4" w:rsidRDefault="009679F8" w:rsidP="00113DF0">
            <w:pPr>
              <w:pStyle w:val="BodyText"/>
              <w:numPr>
                <w:ilvl w:val="0"/>
                <w:numId w:val="15"/>
              </w:numPr>
            </w:pPr>
            <w:r w:rsidRPr="00CF6DC4">
              <w:t>Providing advice and recommendation</w:t>
            </w:r>
            <w:r w:rsidR="00D871B5" w:rsidRPr="00CF6DC4">
              <w:t>s</w:t>
            </w:r>
            <w:r w:rsidRPr="00CF6DC4">
              <w:t xml:space="preserve"> to </w:t>
            </w:r>
            <w:r w:rsidR="008C32F2" w:rsidRPr="00CF6DC4">
              <w:t xml:space="preserve">relevant </w:t>
            </w:r>
            <w:r w:rsidRPr="00CF6DC4">
              <w:t xml:space="preserve">decision makers regarding </w:t>
            </w:r>
            <w:r w:rsidR="00FA476A" w:rsidRPr="00CF6DC4">
              <w:t>app</w:t>
            </w:r>
            <w:r w:rsidR="00254EE3" w:rsidRPr="00CF6DC4">
              <w:t>ropriate</w:t>
            </w:r>
            <w:r w:rsidR="00FA476A" w:rsidRPr="00CF6DC4">
              <w:t xml:space="preserve"> </w:t>
            </w:r>
            <w:r w:rsidRPr="00CF6DC4">
              <w:t>penalt</w:t>
            </w:r>
            <w:r w:rsidR="00FA476A" w:rsidRPr="00CF6DC4">
              <w:t>ies</w:t>
            </w:r>
            <w:r w:rsidRPr="00CF6DC4">
              <w:t xml:space="preserve"> and/or remedial action </w:t>
            </w:r>
            <w:r w:rsidR="00CD5358" w:rsidRPr="00CF6DC4">
              <w:t>regarding</w:t>
            </w:r>
            <w:r w:rsidR="00B3017D" w:rsidRPr="00CF6DC4">
              <w:t xml:space="preserve"> </w:t>
            </w:r>
            <w:r w:rsidR="005F1507" w:rsidRPr="00CF6DC4">
              <w:t>breaches of the Threshold and other</w:t>
            </w:r>
            <w:r w:rsidR="001438DB" w:rsidRPr="00CF6DC4">
              <w:t xml:space="preserve"> contractual</w:t>
            </w:r>
            <w:r w:rsidRPr="00CF6DC4">
              <w:t xml:space="preserve"> non-compliance</w:t>
            </w:r>
            <w:r w:rsidR="00422CE3" w:rsidRPr="00CF6DC4">
              <w:t>s</w:t>
            </w:r>
            <w:r w:rsidRPr="00CF6DC4">
              <w:t xml:space="preserve"> </w:t>
            </w:r>
            <w:r w:rsidR="001438DB" w:rsidRPr="00CF6DC4">
              <w:t>under</w:t>
            </w:r>
            <w:r w:rsidRPr="00CF6DC4">
              <w:t xml:space="preserve"> the Mandate.</w:t>
            </w:r>
          </w:p>
          <w:p w14:paraId="29831485" w14:textId="77777777" w:rsidR="009679F8" w:rsidRPr="00CF6DC4" w:rsidRDefault="009679F8" w:rsidP="00113DF0">
            <w:pPr>
              <w:pStyle w:val="BodyText"/>
              <w:numPr>
                <w:ilvl w:val="0"/>
                <w:numId w:val="15"/>
              </w:numPr>
            </w:pPr>
            <w:r w:rsidRPr="00CF6DC4">
              <w:t>Providing broader systems improvement advice for consideration by the procuring agency.</w:t>
            </w:r>
          </w:p>
          <w:p w14:paraId="24B70C02" w14:textId="77777777" w:rsidR="009679F8" w:rsidRPr="00CF6DC4" w:rsidRDefault="009679F8" w:rsidP="00113DF0">
            <w:pPr>
              <w:pStyle w:val="BodyText"/>
              <w:numPr>
                <w:ilvl w:val="0"/>
                <w:numId w:val="15"/>
              </w:numPr>
            </w:pPr>
            <w:r w:rsidRPr="00CF6DC4">
              <w:t>Reviewing all appeals lodged by suppliers.</w:t>
            </w:r>
          </w:p>
        </w:tc>
      </w:tr>
      <w:tr w:rsidR="009679F8" w:rsidRPr="005133CA" w14:paraId="0B67A49F" w14:textId="77777777" w:rsidTr="00C258DA">
        <w:trPr>
          <w:trHeight w:val="1125"/>
        </w:trPr>
        <w:tc>
          <w:tcPr>
            <w:tcW w:w="1785" w:type="dxa"/>
            <w:shd w:val="clear" w:color="auto" w:fill="auto"/>
            <w:hideMark/>
          </w:tcPr>
          <w:p w14:paraId="4AD1CC80" w14:textId="77777777" w:rsidR="009679F8" w:rsidRPr="005133CA" w:rsidRDefault="009679F8">
            <w:pPr>
              <w:pStyle w:val="BodyText"/>
            </w:pPr>
            <w:r w:rsidRPr="005133CA">
              <w:t>Achievements</w:t>
            </w:r>
          </w:p>
        </w:tc>
        <w:tc>
          <w:tcPr>
            <w:tcW w:w="7708" w:type="dxa"/>
            <w:shd w:val="clear" w:color="auto" w:fill="auto"/>
          </w:tcPr>
          <w:p w14:paraId="6D9F17F9" w14:textId="0D02DD32" w:rsidR="009679F8" w:rsidRPr="00783759" w:rsidRDefault="00271C9C">
            <w:pPr>
              <w:pStyle w:val="BodyText"/>
            </w:pPr>
            <w:r w:rsidRPr="00783759">
              <w:t>In 2023</w:t>
            </w:r>
            <w:r w:rsidR="00C258DA">
              <w:t>–</w:t>
            </w:r>
            <w:r w:rsidRPr="00783759">
              <w:t xml:space="preserve">24, </w:t>
            </w:r>
            <w:bookmarkStart w:id="843" w:name="_Hlk171587167"/>
            <w:r w:rsidRPr="00783759">
              <w:t xml:space="preserve">22 cases of alleged supplier non-compliance were </w:t>
            </w:r>
            <w:r w:rsidR="00C82550" w:rsidRPr="00783759">
              <w:t>considered by</w:t>
            </w:r>
            <w:r w:rsidRPr="00783759">
              <w:t xml:space="preserve"> the Panel. </w:t>
            </w:r>
            <w:r w:rsidR="0026257F" w:rsidRPr="00783759">
              <w:t>Of these, s</w:t>
            </w:r>
            <w:r w:rsidR="00C82550" w:rsidRPr="00783759">
              <w:t>ixt</w:t>
            </w:r>
            <w:r w:rsidRPr="00783759">
              <w:t xml:space="preserve">een cases were confirmed as non-compliant, leading to sanctions for </w:t>
            </w:r>
            <w:r w:rsidR="00C82550" w:rsidRPr="00783759">
              <w:t>three</w:t>
            </w:r>
            <w:r w:rsidRPr="00783759">
              <w:t xml:space="preserve"> suppliers and demerits for </w:t>
            </w:r>
            <w:r w:rsidR="008642C2" w:rsidRPr="00783759">
              <w:t>thirteen</w:t>
            </w:r>
            <w:r w:rsidR="00C82550" w:rsidRPr="00783759">
              <w:t xml:space="preserve"> suppliers</w:t>
            </w:r>
            <w:r w:rsidRPr="00783759">
              <w:t>.</w:t>
            </w:r>
            <w:bookmarkEnd w:id="843"/>
            <w:r w:rsidRPr="00783759">
              <w:t xml:space="preserve"> </w:t>
            </w:r>
            <w:proofErr w:type="gramStart"/>
            <w:r w:rsidRPr="00783759">
              <w:t>A</w:t>
            </w:r>
            <w:r w:rsidR="003452EE" w:rsidRPr="00783759">
              <w:t>t</w:t>
            </w:r>
            <w:proofErr w:type="gramEnd"/>
            <w:r w:rsidR="003452EE" w:rsidRPr="00783759">
              <w:t xml:space="preserve"> 30 June 2024, </w:t>
            </w:r>
            <w:r w:rsidR="008642C2" w:rsidRPr="00783759">
              <w:t>six</w:t>
            </w:r>
            <w:r w:rsidRPr="00783759">
              <w:t xml:space="preserve"> cases </w:t>
            </w:r>
            <w:r w:rsidR="003452EE" w:rsidRPr="00783759">
              <w:t>we</w:t>
            </w:r>
            <w:r w:rsidRPr="00783759">
              <w:t xml:space="preserve">re pending referral </w:t>
            </w:r>
            <w:r w:rsidR="0026257F" w:rsidRPr="00783759">
              <w:t>to decision makers</w:t>
            </w:r>
            <w:r w:rsidRPr="00783759">
              <w:t>.</w:t>
            </w:r>
          </w:p>
        </w:tc>
      </w:tr>
      <w:tr w:rsidR="009679F8" w:rsidRPr="005133CA" w14:paraId="2DDB94BC" w14:textId="77777777" w:rsidTr="00891DDB">
        <w:trPr>
          <w:trHeight w:val="636"/>
        </w:trPr>
        <w:tc>
          <w:tcPr>
            <w:tcW w:w="1785" w:type="dxa"/>
            <w:shd w:val="clear" w:color="auto" w:fill="auto"/>
            <w:hideMark/>
          </w:tcPr>
          <w:p w14:paraId="2223104D" w14:textId="77777777" w:rsidR="009679F8" w:rsidRPr="005133CA" w:rsidRDefault="009679F8">
            <w:pPr>
              <w:pStyle w:val="BodyText"/>
            </w:pPr>
            <w:r w:rsidRPr="005133CA">
              <w:t>Financial reporting</w:t>
            </w:r>
          </w:p>
        </w:tc>
        <w:tc>
          <w:tcPr>
            <w:tcW w:w="7708" w:type="dxa"/>
            <w:shd w:val="clear" w:color="auto" w:fill="auto"/>
          </w:tcPr>
          <w:p w14:paraId="363517B7" w14:textId="3BA76786" w:rsidR="009679F8" w:rsidRPr="00783759" w:rsidRDefault="009679F8">
            <w:pPr>
              <w:pStyle w:val="BodyText"/>
            </w:pPr>
            <w:r w:rsidRPr="00783759">
              <w:t xml:space="preserve">Costs associated with the Panel are included as expenditure in the accounts of the Department of Energy and </w:t>
            </w:r>
            <w:r w:rsidR="00C47593" w:rsidRPr="00783759">
              <w:t>Climate</w:t>
            </w:r>
            <w:r w:rsidRPr="00783759">
              <w:t xml:space="preserve"> (costs taken from the operational budget). The departmental accounts are audited by the Auditor-General.</w:t>
            </w:r>
          </w:p>
        </w:tc>
      </w:tr>
    </w:tbl>
    <w:p w14:paraId="699F8935" w14:textId="77777777" w:rsidR="00ED3B79" w:rsidRDefault="00ED3B79">
      <w:r>
        <w:br w:type="page"/>
      </w:r>
    </w:p>
    <w:tbl>
      <w:tblPr>
        <w:tblStyle w:val="TableGrid"/>
        <w:tblW w:w="9493" w:type="dxa"/>
        <w:tblBorders>
          <w:top w:val="single" w:sz="4" w:space="0" w:color="969696" w:themeColor="accent3"/>
          <w:left w:val="single" w:sz="4" w:space="0" w:color="969696" w:themeColor="accent3"/>
          <w:bottom w:val="single" w:sz="4" w:space="0" w:color="969696" w:themeColor="accent3"/>
          <w:right w:val="single" w:sz="4" w:space="0" w:color="969696" w:themeColor="accent3"/>
          <w:insideH w:val="single" w:sz="6" w:space="0" w:color="969696" w:themeColor="accent3"/>
          <w:insideV w:val="single" w:sz="6" w:space="0" w:color="969696" w:themeColor="accent3"/>
        </w:tblBorders>
        <w:tblLayout w:type="fixed"/>
        <w:tblLook w:val="04A0" w:firstRow="1" w:lastRow="0" w:firstColumn="1" w:lastColumn="0" w:noHBand="0" w:noVBand="1"/>
      </w:tblPr>
      <w:tblGrid>
        <w:gridCol w:w="1785"/>
        <w:gridCol w:w="1747"/>
        <w:gridCol w:w="1264"/>
        <w:gridCol w:w="1448"/>
        <w:gridCol w:w="1434"/>
        <w:gridCol w:w="1815"/>
      </w:tblGrid>
      <w:tr w:rsidR="009679F8" w:rsidRPr="005133CA" w14:paraId="155842A1" w14:textId="77777777" w:rsidTr="00891DDB">
        <w:trPr>
          <w:trHeight w:val="452"/>
        </w:trPr>
        <w:tc>
          <w:tcPr>
            <w:tcW w:w="9493" w:type="dxa"/>
            <w:gridSpan w:val="6"/>
            <w:shd w:val="clear" w:color="auto" w:fill="auto"/>
            <w:hideMark/>
          </w:tcPr>
          <w:p w14:paraId="5BE5AE30" w14:textId="179C7E21" w:rsidR="009679F8" w:rsidRPr="005133CA" w:rsidRDefault="009679F8">
            <w:pPr>
              <w:pStyle w:val="BodyText"/>
              <w:rPr>
                <w:color w:val="000000" w:themeColor="text1"/>
              </w:rPr>
            </w:pPr>
            <w:r w:rsidRPr="005133CA">
              <w:lastRenderedPageBreak/>
              <w:t>Remuneration</w:t>
            </w:r>
            <w:r w:rsidRPr="005133CA">
              <w:rPr>
                <w:color w:val="000000" w:themeColor="text1"/>
              </w:rPr>
              <w:t xml:space="preserve"> </w:t>
            </w:r>
          </w:p>
        </w:tc>
      </w:tr>
      <w:tr w:rsidR="009679F8" w:rsidRPr="005133CA" w14:paraId="26905116" w14:textId="77777777" w:rsidTr="00891DDB">
        <w:trPr>
          <w:trHeight w:val="1056"/>
        </w:trPr>
        <w:tc>
          <w:tcPr>
            <w:tcW w:w="1785" w:type="dxa"/>
            <w:shd w:val="clear" w:color="auto" w:fill="auto"/>
            <w:hideMark/>
          </w:tcPr>
          <w:p w14:paraId="7600D022" w14:textId="77777777" w:rsidR="009679F8" w:rsidRPr="005133CA" w:rsidRDefault="009679F8">
            <w:pPr>
              <w:pStyle w:val="Heading5"/>
              <w:rPr>
                <w:color w:val="000000" w:themeColor="text1"/>
              </w:rPr>
            </w:pPr>
            <w:bookmarkStart w:id="844" w:name="_Toc172808607"/>
            <w:bookmarkStart w:id="845" w:name="_Toc174605747"/>
            <w:bookmarkStart w:id="846" w:name="_Toc176424885"/>
            <w:bookmarkStart w:id="847" w:name="_Toc176425044"/>
            <w:r w:rsidRPr="005133CA">
              <w:rPr>
                <w:color w:val="000000" w:themeColor="text1"/>
              </w:rPr>
              <w:t>Position</w:t>
            </w:r>
            <w:bookmarkEnd w:id="844"/>
            <w:bookmarkEnd w:id="845"/>
            <w:bookmarkEnd w:id="846"/>
            <w:bookmarkEnd w:id="847"/>
          </w:p>
        </w:tc>
        <w:tc>
          <w:tcPr>
            <w:tcW w:w="1747" w:type="dxa"/>
            <w:shd w:val="clear" w:color="auto" w:fill="auto"/>
            <w:hideMark/>
          </w:tcPr>
          <w:p w14:paraId="183DAAA8" w14:textId="77777777" w:rsidR="009679F8" w:rsidRPr="00783759" w:rsidRDefault="009679F8">
            <w:pPr>
              <w:pStyle w:val="Heading5"/>
              <w:rPr>
                <w:color w:val="auto"/>
              </w:rPr>
            </w:pPr>
            <w:bookmarkStart w:id="848" w:name="_Toc172808608"/>
            <w:bookmarkStart w:id="849" w:name="_Toc174605748"/>
            <w:bookmarkStart w:id="850" w:name="_Toc176424886"/>
            <w:bookmarkStart w:id="851" w:name="_Toc176425045"/>
            <w:r w:rsidRPr="00783759">
              <w:rPr>
                <w:color w:val="auto"/>
              </w:rPr>
              <w:t>Name</w:t>
            </w:r>
            <w:bookmarkEnd w:id="848"/>
            <w:bookmarkEnd w:id="849"/>
            <w:bookmarkEnd w:id="850"/>
            <w:bookmarkEnd w:id="851"/>
          </w:p>
        </w:tc>
        <w:tc>
          <w:tcPr>
            <w:tcW w:w="1264" w:type="dxa"/>
            <w:shd w:val="clear" w:color="auto" w:fill="auto"/>
            <w:hideMark/>
          </w:tcPr>
          <w:p w14:paraId="10C89DB7" w14:textId="4A160070" w:rsidR="009679F8" w:rsidRPr="00783759" w:rsidRDefault="009679F8">
            <w:pPr>
              <w:pStyle w:val="Heading5"/>
              <w:rPr>
                <w:color w:val="auto"/>
              </w:rPr>
            </w:pPr>
            <w:bookmarkStart w:id="852" w:name="_Toc174605749"/>
            <w:bookmarkStart w:id="853" w:name="_Toc176424887"/>
            <w:bookmarkStart w:id="854" w:name="_Toc176425046"/>
            <w:r w:rsidRPr="00783759">
              <w:rPr>
                <w:color w:val="auto"/>
              </w:rPr>
              <w:t>Meetings/</w:t>
            </w:r>
            <w:r w:rsidRPr="00783759">
              <w:rPr>
                <w:color w:val="auto"/>
              </w:rPr>
              <w:br/>
              <w:t>sessions attendance</w:t>
            </w:r>
            <w:r w:rsidR="00A6594B" w:rsidRPr="00A6594B">
              <w:rPr>
                <w:b w:val="0"/>
                <w:bCs/>
                <w:color w:val="auto"/>
                <w:vertAlign w:val="superscript"/>
              </w:rPr>
              <w:t>1</w:t>
            </w:r>
            <w:bookmarkEnd w:id="852"/>
            <w:bookmarkEnd w:id="853"/>
            <w:bookmarkEnd w:id="854"/>
          </w:p>
        </w:tc>
        <w:tc>
          <w:tcPr>
            <w:tcW w:w="1448" w:type="dxa"/>
            <w:shd w:val="clear" w:color="auto" w:fill="auto"/>
            <w:hideMark/>
          </w:tcPr>
          <w:p w14:paraId="7B572F2C" w14:textId="77777777" w:rsidR="009679F8" w:rsidRPr="00783759" w:rsidRDefault="009679F8">
            <w:pPr>
              <w:pStyle w:val="Heading5"/>
              <w:rPr>
                <w:color w:val="auto"/>
              </w:rPr>
            </w:pPr>
            <w:bookmarkStart w:id="855" w:name="_Toc172808610"/>
            <w:bookmarkStart w:id="856" w:name="_Toc174605750"/>
            <w:bookmarkStart w:id="857" w:name="_Toc176424888"/>
            <w:bookmarkStart w:id="858" w:name="_Toc176425047"/>
            <w:r w:rsidRPr="00783759">
              <w:rPr>
                <w:color w:val="auto"/>
              </w:rPr>
              <w:t xml:space="preserve">Approved annual, </w:t>
            </w:r>
            <w:proofErr w:type="gramStart"/>
            <w:r w:rsidRPr="00783759">
              <w:rPr>
                <w:color w:val="auto"/>
              </w:rPr>
              <w:t>sessional</w:t>
            </w:r>
            <w:proofErr w:type="gramEnd"/>
            <w:r w:rsidRPr="00783759">
              <w:rPr>
                <w:color w:val="auto"/>
              </w:rPr>
              <w:t xml:space="preserve"> or daily fee</w:t>
            </w:r>
            <w:bookmarkEnd w:id="855"/>
            <w:bookmarkEnd w:id="856"/>
            <w:bookmarkEnd w:id="857"/>
            <w:bookmarkEnd w:id="858"/>
            <w:r w:rsidRPr="00783759">
              <w:rPr>
                <w:color w:val="auto"/>
              </w:rPr>
              <w:t xml:space="preserve"> </w:t>
            </w:r>
          </w:p>
        </w:tc>
        <w:tc>
          <w:tcPr>
            <w:tcW w:w="1434" w:type="dxa"/>
            <w:shd w:val="clear" w:color="auto" w:fill="auto"/>
            <w:hideMark/>
          </w:tcPr>
          <w:p w14:paraId="5AB9A5F1" w14:textId="6DE4620D" w:rsidR="009679F8" w:rsidRPr="00783759" w:rsidRDefault="009679F8">
            <w:pPr>
              <w:pStyle w:val="Heading5"/>
              <w:rPr>
                <w:color w:val="auto"/>
              </w:rPr>
            </w:pPr>
            <w:bookmarkStart w:id="859" w:name="_Toc172808611"/>
            <w:bookmarkStart w:id="860" w:name="_Toc174605751"/>
            <w:bookmarkStart w:id="861" w:name="_Toc176424889"/>
            <w:bookmarkStart w:id="862" w:name="_Toc176425048"/>
            <w:r w:rsidRPr="00783759">
              <w:rPr>
                <w:color w:val="auto"/>
              </w:rPr>
              <w:t>Approved sub-committee fees</w:t>
            </w:r>
            <w:r w:rsidR="005E5606">
              <w:rPr>
                <w:rStyle w:val="FootnoteReference"/>
              </w:rPr>
              <w:t>2</w:t>
            </w:r>
            <w:r w:rsidRPr="00783759">
              <w:rPr>
                <w:color w:val="auto"/>
              </w:rPr>
              <w:t xml:space="preserve"> if applicable</w:t>
            </w:r>
            <w:bookmarkEnd w:id="859"/>
            <w:bookmarkEnd w:id="860"/>
            <w:bookmarkEnd w:id="861"/>
            <w:bookmarkEnd w:id="862"/>
          </w:p>
        </w:tc>
        <w:tc>
          <w:tcPr>
            <w:tcW w:w="1815" w:type="dxa"/>
            <w:shd w:val="clear" w:color="auto" w:fill="auto"/>
            <w:hideMark/>
          </w:tcPr>
          <w:p w14:paraId="1F1FEB3D" w14:textId="7A603438" w:rsidR="009679F8" w:rsidRPr="00783759" w:rsidRDefault="009679F8">
            <w:pPr>
              <w:pStyle w:val="Heading5"/>
              <w:rPr>
                <w:color w:val="auto"/>
              </w:rPr>
            </w:pPr>
            <w:bookmarkStart w:id="863" w:name="_Toc172808612"/>
            <w:bookmarkStart w:id="864" w:name="_Toc174605752"/>
            <w:bookmarkStart w:id="865" w:name="_Toc176424890"/>
            <w:bookmarkStart w:id="866" w:name="_Toc176425049"/>
            <w:r w:rsidRPr="00783759">
              <w:rPr>
                <w:color w:val="auto"/>
              </w:rPr>
              <w:t>Actual fees received</w:t>
            </w:r>
            <w:r w:rsidR="005E5606" w:rsidRPr="00E92312">
              <w:rPr>
                <w:rStyle w:val="FootnoteReference"/>
              </w:rPr>
              <w:t>3</w:t>
            </w:r>
            <w:r w:rsidRPr="00783759">
              <w:rPr>
                <w:color w:val="auto"/>
              </w:rPr>
              <w:t xml:space="preserve"> </w:t>
            </w:r>
            <w:r w:rsidR="004633C9" w:rsidRPr="00783759">
              <w:rPr>
                <w:color w:val="auto"/>
              </w:rPr>
              <w:t>2023</w:t>
            </w:r>
            <w:r w:rsidR="004C6420">
              <w:rPr>
                <w:color w:val="auto"/>
              </w:rPr>
              <w:t>–</w:t>
            </w:r>
            <w:r w:rsidR="004633C9" w:rsidRPr="00783759">
              <w:rPr>
                <w:color w:val="auto"/>
              </w:rPr>
              <w:t>24</w:t>
            </w:r>
            <w:bookmarkEnd w:id="863"/>
            <w:bookmarkEnd w:id="864"/>
            <w:bookmarkEnd w:id="865"/>
            <w:bookmarkEnd w:id="866"/>
          </w:p>
        </w:tc>
      </w:tr>
      <w:tr w:rsidR="009679F8" w:rsidRPr="005133CA" w14:paraId="71BE67A1" w14:textId="77777777" w:rsidTr="00891DDB">
        <w:trPr>
          <w:trHeight w:val="636"/>
        </w:trPr>
        <w:tc>
          <w:tcPr>
            <w:tcW w:w="1785" w:type="dxa"/>
            <w:shd w:val="clear" w:color="auto" w:fill="auto"/>
            <w:vAlign w:val="center"/>
          </w:tcPr>
          <w:p w14:paraId="09838F3D" w14:textId="77777777" w:rsidR="009679F8" w:rsidRPr="005133CA" w:rsidRDefault="009679F8">
            <w:pPr>
              <w:pStyle w:val="BodyText"/>
            </w:pPr>
            <w:r w:rsidRPr="005133CA">
              <w:t>Chair</w:t>
            </w:r>
          </w:p>
        </w:tc>
        <w:tc>
          <w:tcPr>
            <w:tcW w:w="1747" w:type="dxa"/>
            <w:shd w:val="clear" w:color="auto" w:fill="auto"/>
            <w:vAlign w:val="center"/>
          </w:tcPr>
          <w:p w14:paraId="171ACD43" w14:textId="77777777" w:rsidR="009679F8" w:rsidRPr="00783759" w:rsidRDefault="009679F8">
            <w:pPr>
              <w:pStyle w:val="BodyText"/>
            </w:pPr>
            <w:r w:rsidRPr="00783759">
              <w:t xml:space="preserve">John Thompson </w:t>
            </w:r>
          </w:p>
        </w:tc>
        <w:tc>
          <w:tcPr>
            <w:tcW w:w="1264" w:type="dxa"/>
            <w:shd w:val="clear" w:color="auto" w:fill="auto"/>
            <w:vAlign w:val="center"/>
          </w:tcPr>
          <w:p w14:paraId="7A413C5B" w14:textId="1AB3EED2" w:rsidR="009679F8" w:rsidRPr="00783759" w:rsidRDefault="00F009D9" w:rsidP="002827D3">
            <w:pPr>
              <w:pStyle w:val="BodyText"/>
              <w:jc w:val="center"/>
              <w:rPr>
                <w:strike/>
              </w:rPr>
            </w:pPr>
            <w:r w:rsidRPr="00783759">
              <w:t>1</w:t>
            </w:r>
            <w:r w:rsidR="00891DDB" w:rsidRPr="00783759">
              <w:t>1</w:t>
            </w:r>
          </w:p>
        </w:tc>
        <w:tc>
          <w:tcPr>
            <w:tcW w:w="1448" w:type="dxa"/>
            <w:shd w:val="clear" w:color="auto" w:fill="auto"/>
            <w:vAlign w:val="center"/>
          </w:tcPr>
          <w:p w14:paraId="33B57807" w14:textId="77777777" w:rsidR="009679F8" w:rsidRPr="00783759" w:rsidRDefault="009679F8" w:rsidP="002827D3">
            <w:pPr>
              <w:pStyle w:val="BodyText"/>
              <w:jc w:val="right"/>
            </w:pPr>
            <w:r w:rsidRPr="00783759">
              <w:t>$650 daily</w:t>
            </w:r>
          </w:p>
        </w:tc>
        <w:tc>
          <w:tcPr>
            <w:tcW w:w="1434" w:type="dxa"/>
            <w:shd w:val="clear" w:color="auto" w:fill="auto"/>
            <w:vAlign w:val="center"/>
          </w:tcPr>
          <w:p w14:paraId="53CA7FE1" w14:textId="77777777" w:rsidR="009679F8" w:rsidRPr="00783759" w:rsidRDefault="009679F8" w:rsidP="002827D3">
            <w:pPr>
              <w:pStyle w:val="BodyText"/>
              <w:jc w:val="right"/>
            </w:pPr>
            <w:r w:rsidRPr="00783759">
              <w:t>$975</w:t>
            </w:r>
          </w:p>
        </w:tc>
        <w:tc>
          <w:tcPr>
            <w:tcW w:w="1815" w:type="dxa"/>
            <w:shd w:val="clear" w:color="auto" w:fill="auto"/>
            <w:vAlign w:val="center"/>
          </w:tcPr>
          <w:p w14:paraId="1A98C4B1" w14:textId="21D2D65D" w:rsidR="009679F8" w:rsidRPr="00783759" w:rsidRDefault="009679F8" w:rsidP="002827D3">
            <w:pPr>
              <w:pStyle w:val="BodyText"/>
              <w:jc w:val="right"/>
            </w:pPr>
            <w:r w:rsidRPr="00783759">
              <w:t>$</w:t>
            </w:r>
            <w:r w:rsidR="004633C9" w:rsidRPr="00783759">
              <w:t>8,125</w:t>
            </w:r>
          </w:p>
        </w:tc>
      </w:tr>
      <w:tr w:rsidR="009679F8" w:rsidRPr="005133CA" w14:paraId="29EA341D" w14:textId="77777777" w:rsidTr="00891DDB">
        <w:trPr>
          <w:trHeight w:val="636"/>
        </w:trPr>
        <w:tc>
          <w:tcPr>
            <w:tcW w:w="1785" w:type="dxa"/>
            <w:shd w:val="clear" w:color="auto" w:fill="auto"/>
            <w:vAlign w:val="center"/>
          </w:tcPr>
          <w:p w14:paraId="309A8792" w14:textId="77777777" w:rsidR="009679F8" w:rsidRPr="005133CA" w:rsidRDefault="009679F8">
            <w:pPr>
              <w:pStyle w:val="BodyText"/>
            </w:pPr>
            <w:r w:rsidRPr="005133CA">
              <w:t>Deputy Chair</w:t>
            </w:r>
          </w:p>
        </w:tc>
        <w:tc>
          <w:tcPr>
            <w:tcW w:w="1747" w:type="dxa"/>
            <w:shd w:val="clear" w:color="auto" w:fill="auto"/>
            <w:vAlign w:val="center"/>
          </w:tcPr>
          <w:p w14:paraId="334FBE16" w14:textId="77777777" w:rsidR="009679F8" w:rsidRPr="00783759" w:rsidRDefault="009679F8">
            <w:pPr>
              <w:pStyle w:val="BodyText"/>
            </w:pPr>
            <w:r w:rsidRPr="00783759">
              <w:t xml:space="preserve">Jennifer McVeigh </w:t>
            </w:r>
          </w:p>
        </w:tc>
        <w:tc>
          <w:tcPr>
            <w:tcW w:w="1264" w:type="dxa"/>
            <w:shd w:val="clear" w:color="auto" w:fill="auto"/>
            <w:vAlign w:val="center"/>
          </w:tcPr>
          <w:p w14:paraId="153C27DD" w14:textId="23EDBB3E" w:rsidR="009679F8" w:rsidRPr="00783759" w:rsidRDefault="00891DDB" w:rsidP="002827D3">
            <w:pPr>
              <w:pStyle w:val="BodyText"/>
              <w:jc w:val="center"/>
              <w:rPr>
                <w:strike/>
              </w:rPr>
            </w:pPr>
            <w:r w:rsidRPr="00783759">
              <w:t>7</w:t>
            </w:r>
          </w:p>
        </w:tc>
        <w:tc>
          <w:tcPr>
            <w:tcW w:w="1448" w:type="dxa"/>
            <w:shd w:val="clear" w:color="auto" w:fill="auto"/>
            <w:vAlign w:val="center"/>
          </w:tcPr>
          <w:p w14:paraId="3FD202E8" w14:textId="77777777" w:rsidR="009679F8" w:rsidRPr="00783759" w:rsidRDefault="009679F8" w:rsidP="002827D3">
            <w:pPr>
              <w:pStyle w:val="BodyText"/>
              <w:jc w:val="right"/>
            </w:pPr>
            <w:r w:rsidRPr="00783759">
              <w:t>$650 daily</w:t>
            </w:r>
          </w:p>
        </w:tc>
        <w:tc>
          <w:tcPr>
            <w:tcW w:w="1434" w:type="dxa"/>
            <w:shd w:val="clear" w:color="auto" w:fill="auto"/>
            <w:vAlign w:val="center"/>
          </w:tcPr>
          <w:p w14:paraId="76C64BE7" w14:textId="77777777" w:rsidR="009679F8" w:rsidRPr="00783759" w:rsidRDefault="009679F8" w:rsidP="002827D3">
            <w:pPr>
              <w:pStyle w:val="BodyText"/>
              <w:jc w:val="right"/>
            </w:pPr>
            <w:r w:rsidRPr="00783759">
              <w:t>$975</w:t>
            </w:r>
          </w:p>
        </w:tc>
        <w:tc>
          <w:tcPr>
            <w:tcW w:w="1815" w:type="dxa"/>
            <w:shd w:val="clear" w:color="auto" w:fill="auto"/>
            <w:vAlign w:val="center"/>
          </w:tcPr>
          <w:p w14:paraId="305AE404" w14:textId="33A22BD4" w:rsidR="009679F8" w:rsidRPr="00783759" w:rsidRDefault="009679F8" w:rsidP="002827D3">
            <w:pPr>
              <w:pStyle w:val="BodyText"/>
              <w:jc w:val="right"/>
            </w:pPr>
            <w:r w:rsidRPr="00783759">
              <w:t>$</w:t>
            </w:r>
            <w:r w:rsidR="00891DDB" w:rsidRPr="00783759">
              <w:t>4,225</w:t>
            </w:r>
          </w:p>
        </w:tc>
      </w:tr>
      <w:tr w:rsidR="009679F8" w:rsidRPr="005133CA" w14:paraId="2EFB3F3F" w14:textId="77777777" w:rsidTr="00891DDB">
        <w:trPr>
          <w:trHeight w:val="636"/>
        </w:trPr>
        <w:tc>
          <w:tcPr>
            <w:tcW w:w="1785" w:type="dxa"/>
            <w:shd w:val="clear" w:color="auto" w:fill="auto"/>
            <w:vAlign w:val="center"/>
          </w:tcPr>
          <w:p w14:paraId="18DDFB07" w14:textId="77777777" w:rsidR="009679F8" w:rsidRPr="005133CA" w:rsidRDefault="009679F8">
            <w:pPr>
              <w:pStyle w:val="BodyText"/>
            </w:pPr>
            <w:r w:rsidRPr="005133CA">
              <w:t>Member</w:t>
            </w:r>
          </w:p>
        </w:tc>
        <w:tc>
          <w:tcPr>
            <w:tcW w:w="1747" w:type="dxa"/>
            <w:shd w:val="clear" w:color="auto" w:fill="auto"/>
            <w:vAlign w:val="center"/>
          </w:tcPr>
          <w:p w14:paraId="16F401C1" w14:textId="77777777" w:rsidR="009679F8" w:rsidRPr="00783759" w:rsidRDefault="009679F8">
            <w:pPr>
              <w:pStyle w:val="BodyText"/>
            </w:pPr>
            <w:r w:rsidRPr="00783759">
              <w:t xml:space="preserve">John Crittall </w:t>
            </w:r>
          </w:p>
        </w:tc>
        <w:tc>
          <w:tcPr>
            <w:tcW w:w="1264" w:type="dxa"/>
            <w:shd w:val="clear" w:color="auto" w:fill="auto"/>
            <w:vAlign w:val="center"/>
          </w:tcPr>
          <w:p w14:paraId="29F40429" w14:textId="0798E573" w:rsidR="009679F8" w:rsidRPr="00783759" w:rsidRDefault="00F009D9" w:rsidP="002827D3">
            <w:pPr>
              <w:pStyle w:val="BodyText"/>
              <w:jc w:val="center"/>
              <w:rPr>
                <w:strike/>
              </w:rPr>
            </w:pPr>
            <w:r w:rsidRPr="00783759">
              <w:t>5</w:t>
            </w:r>
          </w:p>
        </w:tc>
        <w:tc>
          <w:tcPr>
            <w:tcW w:w="1448" w:type="dxa"/>
            <w:shd w:val="clear" w:color="auto" w:fill="auto"/>
            <w:vAlign w:val="center"/>
          </w:tcPr>
          <w:p w14:paraId="11505178"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51522163" w14:textId="77777777" w:rsidR="009679F8" w:rsidRPr="00783759" w:rsidRDefault="009679F8" w:rsidP="002827D3">
            <w:pPr>
              <w:pStyle w:val="BodyText"/>
              <w:jc w:val="right"/>
            </w:pPr>
            <w:r w:rsidRPr="00783759">
              <w:t>$750</w:t>
            </w:r>
          </w:p>
        </w:tc>
        <w:tc>
          <w:tcPr>
            <w:tcW w:w="1815" w:type="dxa"/>
            <w:shd w:val="clear" w:color="auto" w:fill="auto"/>
            <w:vAlign w:val="center"/>
          </w:tcPr>
          <w:p w14:paraId="56D7C707" w14:textId="484557FB" w:rsidR="009679F8" w:rsidRPr="00783759" w:rsidRDefault="009679F8" w:rsidP="002827D3">
            <w:pPr>
              <w:pStyle w:val="BodyText"/>
              <w:jc w:val="right"/>
            </w:pPr>
            <w:r w:rsidRPr="00783759">
              <w:t>$</w:t>
            </w:r>
            <w:r w:rsidR="00891DDB" w:rsidRPr="00783759">
              <w:t>3,500</w:t>
            </w:r>
          </w:p>
        </w:tc>
      </w:tr>
      <w:tr w:rsidR="009679F8" w:rsidRPr="005133CA" w14:paraId="675E1DF4" w14:textId="77777777" w:rsidTr="00891DDB">
        <w:trPr>
          <w:trHeight w:val="636"/>
        </w:trPr>
        <w:tc>
          <w:tcPr>
            <w:tcW w:w="1785" w:type="dxa"/>
            <w:shd w:val="clear" w:color="auto" w:fill="auto"/>
            <w:vAlign w:val="center"/>
          </w:tcPr>
          <w:p w14:paraId="77B61658" w14:textId="77777777" w:rsidR="009679F8" w:rsidRPr="005133CA" w:rsidRDefault="009679F8">
            <w:pPr>
              <w:pStyle w:val="BodyText"/>
            </w:pPr>
            <w:r w:rsidRPr="005133CA">
              <w:t>Member</w:t>
            </w:r>
          </w:p>
        </w:tc>
        <w:tc>
          <w:tcPr>
            <w:tcW w:w="1747" w:type="dxa"/>
            <w:shd w:val="clear" w:color="auto" w:fill="auto"/>
            <w:vAlign w:val="center"/>
          </w:tcPr>
          <w:p w14:paraId="1F843298" w14:textId="77777777" w:rsidR="009679F8" w:rsidRPr="00783759" w:rsidRDefault="009679F8">
            <w:pPr>
              <w:pStyle w:val="BodyText"/>
            </w:pPr>
            <w:r w:rsidRPr="00783759">
              <w:t xml:space="preserve">Stephen Nance </w:t>
            </w:r>
          </w:p>
        </w:tc>
        <w:tc>
          <w:tcPr>
            <w:tcW w:w="1264" w:type="dxa"/>
            <w:shd w:val="clear" w:color="auto" w:fill="auto"/>
            <w:vAlign w:val="center"/>
          </w:tcPr>
          <w:p w14:paraId="2D95B82D" w14:textId="2F924FE6" w:rsidR="009679F8" w:rsidRPr="00783759" w:rsidRDefault="00F009D9" w:rsidP="002827D3">
            <w:pPr>
              <w:pStyle w:val="BodyText"/>
              <w:jc w:val="center"/>
              <w:rPr>
                <w:strike/>
              </w:rPr>
            </w:pPr>
            <w:r w:rsidRPr="00783759">
              <w:t>3</w:t>
            </w:r>
          </w:p>
        </w:tc>
        <w:tc>
          <w:tcPr>
            <w:tcW w:w="1448" w:type="dxa"/>
            <w:shd w:val="clear" w:color="auto" w:fill="auto"/>
            <w:vAlign w:val="center"/>
          </w:tcPr>
          <w:p w14:paraId="63C770B6"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753BD233" w14:textId="77777777" w:rsidR="009679F8" w:rsidRPr="00783759" w:rsidRDefault="009679F8" w:rsidP="002827D3">
            <w:pPr>
              <w:pStyle w:val="BodyText"/>
              <w:jc w:val="right"/>
            </w:pPr>
            <w:r w:rsidRPr="00783759">
              <w:t>$750</w:t>
            </w:r>
          </w:p>
        </w:tc>
        <w:tc>
          <w:tcPr>
            <w:tcW w:w="1815" w:type="dxa"/>
            <w:shd w:val="clear" w:color="auto" w:fill="auto"/>
            <w:vAlign w:val="center"/>
          </w:tcPr>
          <w:p w14:paraId="12FBF7CD" w14:textId="33DD0554" w:rsidR="009679F8" w:rsidRPr="00783759" w:rsidRDefault="009679F8" w:rsidP="002827D3">
            <w:pPr>
              <w:pStyle w:val="BodyText"/>
              <w:jc w:val="right"/>
            </w:pPr>
            <w:r w:rsidRPr="00783759">
              <w:t>$</w:t>
            </w:r>
            <w:r w:rsidR="00891DDB" w:rsidRPr="00783759">
              <w:t>1,750</w:t>
            </w:r>
          </w:p>
        </w:tc>
      </w:tr>
      <w:tr w:rsidR="009679F8" w:rsidRPr="005133CA" w14:paraId="47587371" w14:textId="77777777" w:rsidTr="00891DDB">
        <w:trPr>
          <w:trHeight w:val="636"/>
        </w:trPr>
        <w:tc>
          <w:tcPr>
            <w:tcW w:w="1785" w:type="dxa"/>
            <w:shd w:val="clear" w:color="auto" w:fill="auto"/>
            <w:vAlign w:val="center"/>
          </w:tcPr>
          <w:p w14:paraId="6D107374" w14:textId="77777777" w:rsidR="009679F8" w:rsidRPr="005133CA" w:rsidRDefault="009679F8">
            <w:pPr>
              <w:pStyle w:val="BodyText"/>
            </w:pPr>
            <w:r w:rsidRPr="005133CA">
              <w:t>Member</w:t>
            </w:r>
          </w:p>
        </w:tc>
        <w:tc>
          <w:tcPr>
            <w:tcW w:w="1747" w:type="dxa"/>
            <w:shd w:val="clear" w:color="auto" w:fill="auto"/>
            <w:vAlign w:val="center"/>
          </w:tcPr>
          <w:p w14:paraId="2B2A120B" w14:textId="77777777" w:rsidR="009679F8" w:rsidRPr="00783759" w:rsidRDefault="009679F8">
            <w:pPr>
              <w:pStyle w:val="BodyText"/>
            </w:pPr>
            <w:r w:rsidRPr="00783759">
              <w:t xml:space="preserve">Shane Kennelly </w:t>
            </w:r>
          </w:p>
        </w:tc>
        <w:tc>
          <w:tcPr>
            <w:tcW w:w="1264" w:type="dxa"/>
            <w:shd w:val="clear" w:color="auto" w:fill="auto"/>
            <w:vAlign w:val="center"/>
          </w:tcPr>
          <w:p w14:paraId="0802EEDD" w14:textId="27B73FAA" w:rsidR="009679F8" w:rsidRPr="00783759" w:rsidRDefault="00891DDB" w:rsidP="002827D3">
            <w:pPr>
              <w:pStyle w:val="BodyText"/>
              <w:jc w:val="center"/>
              <w:rPr>
                <w:strike/>
              </w:rPr>
            </w:pPr>
            <w:r w:rsidRPr="00783759">
              <w:t>7</w:t>
            </w:r>
          </w:p>
        </w:tc>
        <w:tc>
          <w:tcPr>
            <w:tcW w:w="1448" w:type="dxa"/>
            <w:shd w:val="clear" w:color="auto" w:fill="auto"/>
            <w:vAlign w:val="center"/>
          </w:tcPr>
          <w:p w14:paraId="739256F8"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501F5B42" w14:textId="77777777" w:rsidR="009679F8" w:rsidRPr="00783759" w:rsidRDefault="009679F8" w:rsidP="002827D3">
            <w:pPr>
              <w:pStyle w:val="BodyText"/>
              <w:jc w:val="right"/>
            </w:pPr>
            <w:r w:rsidRPr="00783759">
              <w:t>$750</w:t>
            </w:r>
          </w:p>
        </w:tc>
        <w:tc>
          <w:tcPr>
            <w:tcW w:w="1815" w:type="dxa"/>
            <w:shd w:val="clear" w:color="auto" w:fill="auto"/>
            <w:vAlign w:val="center"/>
          </w:tcPr>
          <w:p w14:paraId="5DFCD3DB" w14:textId="193D1618" w:rsidR="009679F8" w:rsidRPr="00783759" w:rsidRDefault="009679F8" w:rsidP="002827D3">
            <w:pPr>
              <w:pStyle w:val="BodyText"/>
              <w:jc w:val="right"/>
            </w:pPr>
            <w:r w:rsidRPr="00783759">
              <w:t>$</w:t>
            </w:r>
            <w:r w:rsidR="00891DDB" w:rsidRPr="00783759">
              <w:t>3,747</w:t>
            </w:r>
          </w:p>
        </w:tc>
      </w:tr>
      <w:tr w:rsidR="009679F8" w:rsidRPr="005133CA" w14:paraId="4FE99D10" w14:textId="77777777" w:rsidTr="00891DDB">
        <w:trPr>
          <w:trHeight w:val="636"/>
        </w:trPr>
        <w:tc>
          <w:tcPr>
            <w:tcW w:w="1785" w:type="dxa"/>
            <w:shd w:val="clear" w:color="auto" w:fill="auto"/>
            <w:vAlign w:val="center"/>
          </w:tcPr>
          <w:p w14:paraId="27518BB2" w14:textId="77777777" w:rsidR="009679F8" w:rsidRPr="005133CA" w:rsidRDefault="009679F8">
            <w:pPr>
              <w:pStyle w:val="BodyText"/>
            </w:pPr>
            <w:r w:rsidRPr="005133CA">
              <w:t>Member</w:t>
            </w:r>
          </w:p>
        </w:tc>
        <w:tc>
          <w:tcPr>
            <w:tcW w:w="1747" w:type="dxa"/>
            <w:shd w:val="clear" w:color="auto" w:fill="auto"/>
            <w:vAlign w:val="center"/>
          </w:tcPr>
          <w:p w14:paraId="7E68F6BD" w14:textId="77777777" w:rsidR="009679F8" w:rsidRPr="00783759" w:rsidRDefault="009679F8">
            <w:pPr>
              <w:pStyle w:val="BodyText"/>
            </w:pPr>
            <w:r w:rsidRPr="00783759">
              <w:t xml:space="preserve">Angela </w:t>
            </w:r>
            <w:proofErr w:type="spellStart"/>
            <w:r w:rsidRPr="00783759">
              <w:t>Liebke</w:t>
            </w:r>
            <w:proofErr w:type="spellEnd"/>
            <w:r w:rsidRPr="00783759">
              <w:t xml:space="preserve"> </w:t>
            </w:r>
          </w:p>
        </w:tc>
        <w:tc>
          <w:tcPr>
            <w:tcW w:w="1264" w:type="dxa"/>
            <w:shd w:val="clear" w:color="auto" w:fill="auto"/>
            <w:vAlign w:val="center"/>
          </w:tcPr>
          <w:p w14:paraId="1BCEB104" w14:textId="1A2F53B3" w:rsidR="009679F8" w:rsidRPr="00783759" w:rsidRDefault="00F009D9" w:rsidP="002827D3">
            <w:pPr>
              <w:pStyle w:val="BodyText"/>
              <w:jc w:val="center"/>
              <w:rPr>
                <w:strike/>
              </w:rPr>
            </w:pPr>
            <w:r w:rsidRPr="00783759">
              <w:t>3</w:t>
            </w:r>
          </w:p>
        </w:tc>
        <w:tc>
          <w:tcPr>
            <w:tcW w:w="1448" w:type="dxa"/>
            <w:shd w:val="clear" w:color="auto" w:fill="auto"/>
            <w:vAlign w:val="center"/>
          </w:tcPr>
          <w:p w14:paraId="63699FC5"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6623470B" w14:textId="77777777" w:rsidR="009679F8" w:rsidRPr="00783759" w:rsidRDefault="009679F8" w:rsidP="002827D3">
            <w:pPr>
              <w:pStyle w:val="BodyText"/>
              <w:jc w:val="right"/>
            </w:pPr>
            <w:r w:rsidRPr="00783759">
              <w:t>$750</w:t>
            </w:r>
          </w:p>
        </w:tc>
        <w:tc>
          <w:tcPr>
            <w:tcW w:w="1815" w:type="dxa"/>
            <w:shd w:val="clear" w:color="auto" w:fill="auto"/>
            <w:vAlign w:val="center"/>
          </w:tcPr>
          <w:p w14:paraId="72696236" w14:textId="1CF04191" w:rsidR="009679F8" w:rsidRPr="00783759" w:rsidRDefault="009679F8" w:rsidP="002827D3">
            <w:pPr>
              <w:pStyle w:val="BodyText"/>
              <w:jc w:val="right"/>
            </w:pPr>
            <w:r w:rsidRPr="00783759">
              <w:t>$</w:t>
            </w:r>
            <w:r w:rsidR="00891DDB" w:rsidRPr="00783759">
              <w:t>0</w:t>
            </w:r>
          </w:p>
        </w:tc>
      </w:tr>
      <w:tr w:rsidR="009679F8" w:rsidRPr="005133CA" w14:paraId="4F2EF63E" w14:textId="77777777" w:rsidTr="00891DDB">
        <w:trPr>
          <w:trHeight w:val="636"/>
        </w:trPr>
        <w:tc>
          <w:tcPr>
            <w:tcW w:w="1785" w:type="dxa"/>
            <w:shd w:val="clear" w:color="auto" w:fill="auto"/>
            <w:vAlign w:val="center"/>
          </w:tcPr>
          <w:p w14:paraId="503B5AEF" w14:textId="77777777" w:rsidR="009679F8" w:rsidRPr="005133CA" w:rsidRDefault="009679F8">
            <w:pPr>
              <w:pStyle w:val="BodyText"/>
            </w:pPr>
            <w:r w:rsidRPr="005133CA">
              <w:t>Member</w:t>
            </w:r>
          </w:p>
        </w:tc>
        <w:tc>
          <w:tcPr>
            <w:tcW w:w="1747" w:type="dxa"/>
            <w:shd w:val="clear" w:color="auto" w:fill="auto"/>
            <w:vAlign w:val="center"/>
          </w:tcPr>
          <w:p w14:paraId="101C60CA" w14:textId="77777777" w:rsidR="009679F8" w:rsidRPr="00783759" w:rsidRDefault="009679F8">
            <w:pPr>
              <w:pStyle w:val="BodyText"/>
            </w:pPr>
            <w:r w:rsidRPr="00783759">
              <w:t xml:space="preserve">Anne Milner </w:t>
            </w:r>
          </w:p>
        </w:tc>
        <w:tc>
          <w:tcPr>
            <w:tcW w:w="1264" w:type="dxa"/>
            <w:shd w:val="clear" w:color="auto" w:fill="auto"/>
            <w:vAlign w:val="center"/>
          </w:tcPr>
          <w:p w14:paraId="2BB9D051" w14:textId="001A586A" w:rsidR="009679F8" w:rsidRPr="00783759" w:rsidRDefault="00891DDB" w:rsidP="002827D3">
            <w:pPr>
              <w:pStyle w:val="BodyText"/>
              <w:jc w:val="center"/>
              <w:rPr>
                <w:strike/>
              </w:rPr>
            </w:pPr>
            <w:r w:rsidRPr="00783759">
              <w:t>5</w:t>
            </w:r>
          </w:p>
        </w:tc>
        <w:tc>
          <w:tcPr>
            <w:tcW w:w="1448" w:type="dxa"/>
            <w:shd w:val="clear" w:color="auto" w:fill="auto"/>
            <w:vAlign w:val="center"/>
          </w:tcPr>
          <w:p w14:paraId="12799057"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5CA31612" w14:textId="77777777" w:rsidR="009679F8" w:rsidRPr="00783759" w:rsidRDefault="009679F8" w:rsidP="002827D3">
            <w:pPr>
              <w:pStyle w:val="BodyText"/>
              <w:jc w:val="right"/>
            </w:pPr>
            <w:r w:rsidRPr="00783759">
              <w:t>$750</w:t>
            </w:r>
          </w:p>
        </w:tc>
        <w:tc>
          <w:tcPr>
            <w:tcW w:w="1815" w:type="dxa"/>
            <w:shd w:val="clear" w:color="auto" w:fill="auto"/>
            <w:vAlign w:val="center"/>
          </w:tcPr>
          <w:p w14:paraId="7792A0C7" w14:textId="77777777" w:rsidR="009679F8" w:rsidRPr="00783759" w:rsidRDefault="009679F8" w:rsidP="002827D3">
            <w:pPr>
              <w:pStyle w:val="BodyText"/>
              <w:jc w:val="right"/>
            </w:pPr>
            <w:r w:rsidRPr="00783759">
              <w:t>$0</w:t>
            </w:r>
          </w:p>
        </w:tc>
      </w:tr>
      <w:tr w:rsidR="009679F8" w:rsidRPr="005133CA" w14:paraId="6CD37CC8" w14:textId="77777777" w:rsidTr="00891DDB">
        <w:trPr>
          <w:trHeight w:val="636"/>
        </w:trPr>
        <w:tc>
          <w:tcPr>
            <w:tcW w:w="1785" w:type="dxa"/>
            <w:shd w:val="clear" w:color="auto" w:fill="auto"/>
            <w:vAlign w:val="center"/>
          </w:tcPr>
          <w:p w14:paraId="57A97D6B" w14:textId="77777777" w:rsidR="009679F8" w:rsidRPr="005133CA" w:rsidRDefault="009679F8">
            <w:pPr>
              <w:pStyle w:val="BodyText"/>
            </w:pPr>
            <w:r w:rsidRPr="005133CA">
              <w:t>Member</w:t>
            </w:r>
          </w:p>
        </w:tc>
        <w:tc>
          <w:tcPr>
            <w:tcW w:w="1747" w:type="dxa"/>
            <w:shd w:val="clear" w:color="auto" w:fill="auto"/>
            <w:vAlign w:val="center"/>
          </w:tcPr>
          <w:p w14:paraId="1C3D43FF" w14:textId="77777777" w:rsidR="009679F8" w:rsidRPr="00783759" w:rsidRDefault="009679F8">
            <w:pPr>
              <w:pStyle w:val="BodyText"/>
            </w:pPr>
            <w:r w:rsidRPr="00783759">
              <w:t xml:space="preserve">Jorgen </w:t>
            </w:r>
            <w:proofErr w:type="spellStart"/>
            <w:r w:rsidRPr="00783759">
              <w:t>Gullestrup</w:t>
            </w:r>
            <w:proofErr w:type="spellEnd"/>
            <w:r w:rsidRPr="00783759">
              <w:t xml:space="preserve"> </w:t>
            </w:r>
          </w:p>
        </w:tc>
        <w:tc>
          <w:tcPr>
            <w:tcW w:w="1264" w:type="dxa"/>
            <w:shd w:val="clear" w:color="auto" w:fill="auto"/>
            <w:vAlign w:val="center"/>
          </w:tcPr>
          <w:p w14:paraId="7566441B" w14:textId="5172FA6C" w:rsidR="009679F8" w:rsidRPr="00783759" w:rsidRDefault="00F009D9" w:rsidP="002827D3">
            <w:pPr>
              <w:pStyle w:val="BodyText"/>
              <w:jc w:val="center"/>
              <w:rPr>
                <w:strike/>
              </w:rPr>
            </w:pPr>
            <w:r w:rsidRPr="00783759">
              <w:t>5</w:t>
            </w:r>
          </w:p>
        </w:tc>
        <w:tc>
          <w:tcPr>
            <w:tcW w:w="1448" w:type="dxa"/>
            <w:shd w:val="clear" w:color="auto" w:fill="auto"/>
            <w:vAlign w:val="center"/>
          </w:tcPr>
          <w:p w14:paraId="6F4FC208"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61D3A16B" w14:textId="77777777" w:rsidR="009679F8" w:rsidRPr="00783759" w:rsidRDefault="009679F8" w:rsidP="002827D3">
            <w:pPr>
              <w:pStyle w:val="BodyText"/>
              <w:jc w:val="right"/>
            </w:pPr>
            <w:r w:rsidRPr="00783759">
              <w:t>$750</w:t>
            </w:r>
          </w:p>
        </w:tc>
        <w:tc>
          <w:tcPr>
            <w:tcW w:w="1815" w:type="dxa"/>
            <w:shd w:val="clear" w:color="auto" w:fill="auto"/>
            <w:vAlign w:val="center"/>
          </w:tcPr>
          <w:p w14:paraId="0EE47119" w14:textId="1975D7FA" w:rsidR="009679F8" w:rsidRPr="00783759" w:rsidRDefault="009679F8" w:rsidP="002827D3">
            <w:pPr>
              <w:pStyle w:val="BodyText"/>
              <w:jc w:val="right"/>
            </w:pPr>
            <w:r w:rsidRPr="00783759">
              <w:t>$2,</w:t>
            </w:r>
            <w:r w:rsidR="00891DDB" w:rsidRPr="00783759">
              <w:t>805</w:t>
            </w:r>
          </w:p>
        </w:tc>
      </w:tr>
      <w:tr w:rsidR="009679F8" w:rsidRPr="005133CA" w14:paraId="294909F7" w14:textId="77777777" w:rsidTr="00891DDB">
        <w:trPr>
          <w:trHeight w:val="636"/>
        </w:trPr>
        <w:tc>
          <w:tcPr>
            <w:tcW w:w="1785" w:type="dxa"/>
            <w:shd w:val="clear" w:color="auto" w:fill="auto"/>
            <w:vAlign w:val="center"/>
          </w:tcPr>
          <w:p w14:paraId="08670769" w14:textId="77777777" w:rsidR="009679F8" w:rsidRPr="005133CA" w:rsidRDefault="009679F8">
            <w:pPr>
              <w:pStyle w:val="BodyText"/>
            </w:pPr>
            <w:r w:rsidRPr="005133CA">
              <w:t>Member</w:t>
            </w:r>
          </w:p>
        </w:tc>
        <w:tc>
          <w:tcPr>
            <w:tcW w:w="1747" w:type="dxa"/>
            <w:shd w:val="clear" w:color="auto" w:fill="auto"/>
            <w:vAlign w:val="center"/>
          </w:tcPr>
          <w:p w14:paraId="7393F945" w14:textId="77777777" w:rsidR="009679F8" w:rsidRPr="00783759" w:rsidRDefault="009679F8">
            <w:pPr>
              <w:pStyle w:val="BodyText"/>
            </w:pPr>
            <w:r w:rsidRPr="00783759">
              <w:t xml:space="preserve">John Shenfield </w:t>
            </w:r>
          </w:p>
        </w:tc>
        <w:tc>
          <w:tcPr>
            <w:tcW w:w="1264" w:type="dxa"/>
            <w:shd w:val="clear" w:color="auto" w:fill="auto"/>
            <w:vAlign w:val="center"/>
          </w:tcPr>
          <w:p w14:paraId="0ECEB9C4" w14:textId="77777777" w:rsidR="009679F8" w:rsidRPr="00783759" w:rsidRDefault="009679F8" w:rsidP="002827D3">
            <w:pPr>
              <w:pStyle w:val="BodyText"/>
              <w:jc w:val="center"/>
            </w:pPr>
            <w:r w:rsidRPr="00783759">
              <w:t>3</w:t>
            </w:r>
          </w:p>
        </w:tc>
        <w:tc>
          <w:tcPr>
            <w:tcW w:w="1448" w:type="dxa"/>
            <w:shd w:val="clear" w:color="auto" w:fill="auto"/>
            <w:vAlign w:val="center"/>
          </w:tcPr>
          <w:p w14:paraId="2BB944AF"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7D8CB50D" w14:textId="77777777" w:rsidR="009679F8" w:rsidRPr="00783759" w:rsidRDefault="009679F8" w:rsidP="002827D3">
            <w:pPr>
              <w:pStyle w:val="BodyText"/>
              <w:jc w:val="right"/>
            </w:pPr>
            <w:r w:rsidRPr="00783759">
              <w:t>$750</w:t>
            </w:r>
          </w:p>
        </w:tc>
        <w:tc>
          <w:tcPr>
            <w:tcW w:w="1815" w:type="dxa"/>
            <w:shd w:val="clear" w:color="auto" w:fill="auto"/>
            <w:vAlign w:val="center"/>
          </w:tcPr>
          <w:p w14:paraId="1A0ABEDE" w14:textId="351A7325" w:rsidR="009679F8" w:rsidRPr="00783759" w:rsidRDefault="009679F8" w:rsidP="002827D3">
            <w:pPr>
              <w:pStyle w:val="BodyText"/>
              <w:jc w:val="right"/>
            </w:pPr>
            <w:r w:rsidRPr="00783759">
              <w:t>$</w:t>
            </w:r>
            <w:r w:rsidR="00891DDB" w:rsidRPr="00783759">
              <w:t>1,750</w:t>
            </w:r>
          </w:p>
        </w:tc>
      </w:tr>
      <w:tr w:rsidR="009679F8" w:rsidRPr="005133CA" w14:paraId="50F2C774" w14:textId="77777777" w:rsidTr="00891DDB">
        <w:trPr>
          <w:trHeight w:val="636"/>
        </w:trPr>
        <w:tc>
          <w:tcPr>
            <w:tcW w:w="1785" w:type="dxa"/>
            <w:shd w:val="clear" w:color="auto" w:fill="auto"/>
            <w:vAlign w:val="center"/>
          </w:tcPr>
          <w:p w14:paraId="72100EDC" w14:textId="77777777" w:rsidR="009679F8" w:rsidRPr="005133CA" w:rsidRDefault="009679F8">
            <w:pPr>
              <w:pStyle w:val="BodyText"/>
            </w:pPr>
            <w:r w:rsidRPr="005133CA">
              <w:t>Member</w:t>
            </w:r>
          </w:p>
        </w:tc>
        <w:tc>
          <w:tcPr>
            <w:tcW w:w="1747" w:type="dxa"/>
            <w:shd w:val="clear" w:color="auto" w:fill="auto"/>
            <w:vAlign w:val="center"/>
          </w:tcPr>
          <w:p w14:paraId="6D170EB9" w14:textId="77777777" w:rsidR="009679F8" w:rsidRPr="00783759" w:rsidRDefault="009679F8">
            <w:pPr>
              <w:pStyle w:val="BodyText"/>
            </w:pPr>
            <w:r w:rsidRPr="00783759">
              <w:t xml:space="preserve">Jason Stein </w:t>
            </w:r>
          </w:p>
        </w:tc>
        <w:tc>
          <w:tcPr>
            <w:tcW w:w="1264" w:type="dxa"/>
            <w:shd w:val="clear" w:color="auto" w:fill="auto"/>
            <w:vAlign w:val="center"/>
          </w:tcPr>
          <w:p w14:paraId="289CB257" w14:textId="02DCF13E" w:rsidR="009679F8" w:rsidRPr="00783759" w:rsidRDefault="00891DDB" w:rsidP="002827D3">
            <w:pPr>
              <w:pStyle w:val="BodyText"/>
              <w:jc w:val="center"/>
            </w:pPr>
            <w:r w:rsidRPr="00783759">
              <w:t>5</w:t>
            </w:r>
          </w:p>
        </w:tc>
        <w:tc>
          <w:tcPr>
            <w:tcW w:w="1448" w:type="dxa"/>
            <w:shd w:val="clear" w:color="auto" w:fill="auto"/>
            <w:vAlign w:val="center"/>
          </w:tcPr>
          <w:p w14:paraId="1E727312"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27B54D9C" w14:textId="77777777" w:rsidR="009679F8" w:rsidRPr="00783759" w:rsidRDefault="009679F8" w:rsidP="002827D3">
            <w:pPr>
              <w:pStyle w:val="BodyText"/>
              <w:jc w:val="right"/>
            </w:pPr>
            <w:r w:rsidRPr="00783759">
              <w:t>$750</w:t>
            </w:r>
          </w:p>
        </w:tc>
        <w:tc>
          <w:tcPr>
            <w:tcW w:w="1815" w:type="dxa"/>
            <w:shd w:val="clear" w:color="auto" w:fill="auto"/>
            <w:vAlign w:val="center"/>
          </w:tcPr>
          <w:p w14:paraId="716F2BDE" w14:textId="29F0237E" w:rsidR="009679F8" w:rsidRPr="00783759" w:rsidRDefault="009679F8" w:rsidP="002827D3">
            <w:pPr>
              <w:pStyle w:val="BodyText"/>
              <w:jc w:val="right"/>
            </w:pPr>
            <w:r w:rsidRPr="00783759">
              <w:t>$</w:t>
            </w:r>
            <w:r w:rsidR="00891DDB" w:rsidRPr="00783759">
              <w:t>2,750</w:t>
            </w:r>
          </w:p>
        </w:tc>
      </w:tr>
      <w:tr w:rsidR="009679F8" w:rsidRPr="005133CA" w14:paraId="28FB024E" w14:textId="77777777" w:rsidTr="00891DDB">
        <w:trPr>
          <w:trHeight w:val="636"/>
        </w:trPr>
        <w:tc>
          <w:tcPr>
            <w:tcW w:w="1785" w:type="dxa"/>
            <w:shd w:val="clear" w:color="auto" w:fill="auto"/>
            <w:vAlign w:val="center"/>
          </w:tcPr>
          <w:p w14:paraId="0CDA84E3" w14:textId="77777777" w:rsidR="009679F8" w:rsidRPr="005133CA" w:rsidRDefault="009679F8">
            <w:pPr>
              <w:pStyle w:val="BodyText"/>
            </w:pPr>
            <w:r w:rsidRPr="005133CA">
              <w:t>Member</w:t>
            </w:r>
          </w:p>
        </w:tc>
        <w:tc>
          <w:tcPr>
            <w:tcW w:w="1747" w:type="dxa"/>
            <w:shd w:val="clear" w:color="auto" w:fill="auto"/>
            <w:vAlign w:val="center"/>
          </w:tcPr>
          <w:p w14:paraId="3628A07A" w14:textId="77777777" w:rsidR="009679F8" w:rsidRPr="00783759" w:rsidRDefault="009679F8">
            <w:pPr>
              <w:pStyle w:val="BodyText"/>
            </w:pPr>
            <w:r w:rsidRPr="00783759">
              <w:t xml:space="preserve">Thomas Campbell </w:t>
            </w:r>
          </w:p>
        </w:tc>
        <w:tc>
          <w:tcPr>
            <w:tcW w:w="1264" w:type="dxa"/>
            <w:shd w:val="clear" w:color="auto" w:fill="auto"/>
            <w:vAlign w:val="center"/>
          </w:tcPr>
          <w:p w14:paraId="4FA14202" w14:textId="1D9C019B" w:rsidR="009679F8" w:rsidRPr="00783759" w:rsidRDefault="00891DDB" w:rsidP="002827D3">
            <w:pPr>
              <w:pStyle w:val="BodyText"/>
              <w:jc w:val="center"/>
            </w:pPr>
            <w:r w:rsidRPr="00783759">
              <w:t>5</w:t>
            </w:r>
          </w:p>
        </w:tc>
        <w:tc>
          <w:tcPr>
            <w:tcW w:w="1448" w:type="dxa"/>
            <w:shd w:val="clear" w:color="auto" w:fill="auto"/>
            <w:vAlign w:val="center"/>
          </w:tcPr>
          <w:p w14:paraId="786E30D2" w14:textId="77777777" w:rsidR="009679F8" w:rsidRPr="00783759" w:rsidRDefault="009679F8" w:rsidP="002827D3">
            <w:pPr>
              <w:pStyle w:val="BodyText"/>
              <w:jc w:val="right"/>
            </w:pPr>
            <w:r w:rsidRPr="00783759">
              <w:t>$500 daily</w:t>
            </w:r>
          </w:p>
        </w:tc>
        <w:tc>
          <w:tcPr>
            <w:tcW w:w="1434" w:type="dxa"/>
            <w:shd w:val="clear" w:color="auto" w:fill="auto"/>
            <w:vAlign w:val="center"/>
          </w:tcPr>
          <w:p w14:paraId="3653F049" w14:textId="77777777" w:rsidR="009679F8" w:rsidRPr="00783759" w:rsidRDefault="009679F8" w:rsidP="002827D3">
            <w:pPr>
              <w:pStyle w:val="BodyText"/>
              <w:jc w:val="right"/>
            </w:pPr>
            <w:r w:rsidRPr="00783759">
              <w:t>$750</w:t>
            </w:r>
          </w:p>
        </w:tc>
        <w:tc>
          <w:tcPr>
            <w:tcW w:w="1815" w:type="dxa"/>
            <w:shd w:val="clear" w:color="auto" w:fill="auto"/>
            <w:vAlign w:val="center"/>
          </w:tcPr>
          <w:p w14:paraId="4D35EE12" w14:textId="5E0E5E28" w:rsidR="009679F8" w:rsidRPr="00783759" w:rsidRDefault="009679F8" w:rsidP="002827D3">
            <w:pPr>
              <w:pStyle w:val="BodyText"/>
              <w:jc w:val="right"/>
            </w:pPr>
            <w:r w:rsidRPr="00783759">
              <w:t>$</w:t>
            </w:r>
            <w:r w:rsidR="00891DDB" w:rsidRPr="00783759">
              <w:t>2,000</w:t>
            </w:r>
          </w:p>
        </w:tc>
      </w:tr>
      <w:tr w:rsidR="009679F8" w:rsidRPr="005133CA" w14:paraId="1AB3A171" w14:textId="77777777" w:rsidTr="00891DDB">
        <w:trPr>
          <w:trHeight w:val="636"/>
        </w:trPr>
        <w:tc>
          <w:tcPr>
            <w:tcW w:w="1785" w:type="dxa"/>
            <w:shd w:val="clear" w:color="auto" w:fill="auto"/>
            <w:vAlign w:val="center"/>
          </w:tcPr>
          <w:p w14:paraId="4094350A" w14:textId="77777777" w:rsidR="009679F8" w:rsidRPr="005133CA" w:rsidRDefault="009679F8">
            <w:pPr>
              <w:pStyle w:val="BodyText"/>
            </w:pPr>
            <w:r w:rsidRPr="005133CA">
              <w:t>Member</w:t>
            </w:r>
          </w:p>
        </w:tc>
        <w:tc>
          <w:tcPr>
            <w:tcW w:w="1747" w:type="dxa"/>
            <w:shd w:val="clear" w:color="auto" w:fill="auto"/>
            <w:vAlign w:val="center"/>
          </w:tcPr>
          <w:p w14:paraId="10C39E26" w14:textId="77777777" w:rsidR="009679F8" w:rsidRPr="005133CA" w:rsidRDefault="009679F8">
            <w:pPr>
              <w:pStyle w:val="BodyText"/>
            </w:pPr>
            <w:r w:rsidRPr="005133CA">
              <w:t xml:space="preserve">Graham Moloney </w:t>
            </w:r>
          </w:p>
        </w:tc>
        <w:tc>
          <w:tcPr>
            <w:tcW w:w="1264" w:type="dxa"/>
            <w:shd w:val="clear" w:color="auto" w:fill="auto"/>
            <w:vAlign w:val="center"/>
          </w:tcPr>
          <w:p w14:paraId="3B96BF4B" w14:textId="77777777" w:rsidR="009679F8" w:rsidRPr="005133CA" w:rsidRDefault="009679F8" w:rsidP="002827D3">
            <w:pPr>
              <w:pStyle w:val="BodyText"/>
              <w:jc w:val="center"/>
            </w:pPr>
            <w:r w:rsidRPr="005133CA">
              <w:t>4</w:t>
            </w:r>
          </w:p>
        </w:tc>
        <w:tc>
          <w:tcPr>
            <w:tcW w:w="1448" w:type="dxa"/>
            <w:shd w:val="clear" w:color="auto" w:fill="auto"/>
            <w:vAlign w:val="center"/>
          </w:tcPr>
          <w:p w14:paraId="21356F86" w14:textId="77777777" w:rsidR="009679F8" w:rsidRPr="005133CA" w:rsidRDefault="009679F8" w:rsidP="002827D3">
            <w:pPr>
              <w:pStyle w:val="BodyText"/>
              <w:jc w:val="right"/>
            </w:pPr>
            <w:r w:rsidRPr="005133CA">
              <w:t>$500 daily</w:t>
            </w:r>
          </w:p>
        </w:tc>
        <w:tc>
          <w:tcPr>
            <w:tcW w:w="1434" w:type="dxa"/>
            <w:shd w:val="clear" w:color="auto" w:fill="auto"/>
            <w:vAlign w:val="center"/>
          </w:tcPr>
          <w:p w14:paraId="1A0421E7" w14:textId="77777777" w:rsidR="009679F8" w:rsidRPr="005133CA" w:rsidRDefault="009679F8" w:rsidP="002827D3">
            <w:pPr>
              <w:pStyle w:val="BodyText"/>
              <w:jc w:val="right"/>
            </w:pPr>
            <w:r w:rsidRPr="005133CA">
              <w:t>$750</w:t>
            </w:r>
          </w:p>
        </w:tc>
        <w:tc>
          <w:tcPr>
            <w:tcW w:w="1815" w:type="dxa"/>
            <w:shd w:val="clear" w:color="auto" w:fill="auto"/>
            <w:vAlign w:val="center"/>
          </w:tcPr>
          <w:p w14:paraId="2B955391" w14:textId="5756D433" w:rsidR="009679F8" w:rsidRPr="005133CA" w:rsidRDefault="009679F8" w:rsidP="002827D3">
            <w:pPr>
              <w:pStyle w:val="BodyText"/>
              <w:jc w:val="right"/>
            </w:pPr>
            <w:r w:rsidRPr="00783759">
              <w:t>$</w:t>
            </w:r>
            <w:r w:rsidR="00891DDB" w:rsidRPr="00783759">
              <w:t>2,500</w:t>
            </w:r>
          </w:p>
        </w:tc>
      </w:tr>
      <w:tr w:rsidR="009679F8" w:rsidRPr="005133CA" w14:paraId="4D609CEC" w14:textId="77777777" w:rsidTr="00891DDB">
        <w:trPr>
          <w:trHeight w:val="653"/>
        </w:trPr>
        <w:tc>
          <w:tcPr>
            <w:tcW w:w="1785" w:type="dxa"/>
            <w:shd w:val="clear" w:color="auto" w:fill="auto"/>
            <w:vAlign w:val="center"/>
            <w:hideMark/>
          </w:tcPr>
          <w:p w14:paraId="784535A1" w14:textId="77777777" w:rsidR="009679F8" w:rsidRPr="005133CA" w:rsidRDefault="009679F8">
            <w:pPr>
              <w:pStyle w:val="BodyText"/>
            </w:pPr>
            <w:r w:rsidRPr="005133CA">
              <w:t>No. scheduled meetings/ sessions</w:t>
            </w:r>
          </w:p>
        </w:tc>
        <w:tc>
          <w:tcPr>
            <w:tcW w:w="7708" w:type="dxa"/>
            <w:gridSpan w:val="5"/>
            <w:shd w:val="clear" w:color="auto" w:fill="auto"/>
            <w:vAlign w:val="center"/>
          </w:tcPr>
          <w:p w14:paraId="12274991" w14:textId="3B56730F" w:rsidR="009679F8" w:rsidRPr="005133CA" w:rsidRDefault="009679F8">
            <w:pPr>
              <w:pStyle w:val="BodyText"/>
            </w:pPr>
            <w:r w:rsidRPr="005133CA">
              <w:t>3 full Panel meetings to communicate updates and seek advice on strategic challenges</w:t>
            </w:r>
            <w:r w:rsidR="00891DDB" w:rsidRPr="005133CA">
              <w:t>.</w:t>
            </w:r>
          </w:p>
          <w:p w14:paraId="083DFEB2" w14:textId="3A6E517F" w:rsidR="009679F8" w:rsidRPr="005133CA" w:rsidRDefault="00D87A6F">
            <w:pPr>
              <w:pStyle w:val="BodyText"/>
            </w:pPr>
            <w:r w:rsidRPr="00783759">
              <w:t>12</w:t>
            </w:r>
            <w:r w:rsidR="009679F8" w:rsidRPr="005133CA">
              <w:t xml:space="preserve"> Panel (sub-committee) meetings to consider </w:t>
            </w:r>
            <w:r w:rsidR="00891DDB" w:rsidRPr="00783759">
              <w:t>cases of alleged</w:t>
            </w:r>
            <w:r w:rsidR="00891DDB">
              <w:t xml:space="preserve"> </w:t>
            </w:r>
            <w:r w:rsidR="00891DDB" w:rsidRPr="00783759">
              <w:t xml:space="preserve">non-compliance </w:t>
            </w:r>
            <w:r w:rsidR="009679F8" w:rsidRPr="005133CA">
              <w:t xml:space="preserve">and </w:t>
            </w:r>
            <w:r w:rsidR="009C1851" w:rsidRPr="00783759">
              <w:t>recommend</w:t>
            </w:r>
            <w:r w:rsidR="009679F8" w:rsidRPr="00783759">
              <w:t xml:space="preserve"> penalties</w:t>
            </w:r>
            <w:r w:rsidR="009C1851">
              <w:t xml:space="preserve"> </w:t>
            </w:r>
            <w:r w:rsidR="009C1851" w:rsidRPr="00783759">
              <w:t>under the Ethical Supplier Mandate as necessary</w:t>
            </w:r>
            <w:r w:rsidR="00891DDB" w:rsidRPr="00783759">
              <w:t>.</w:t>
            </w:r>
          </w:p>
        </w:tc>
      </w:tr>
      <w:tr w:rsidR="009679F8" w:rsidRPr="005133CA" w14:paraId="64DE115C" w14:textId="77777777" w:rsidTr="00891DDB">
        <w:trPr>
          <w:trHeight w:val="636"/>
        </w:trPr>
        <w:tc>
          <w:tcPr>
            <w:tcW w:w="1785" w:type="dxa"/>
            <w:shd w:val="clear" w:color="auto" w:fill="auto"/>
            <w:vAlign w:val="center"/>
            <w:hideMark/>
          </w:tcPr>
          <w:p w14:paraId="0E70F4A9" w14:textId="77777777" w:rsidR="009679F8" w:rsidRPr="005133CA" w:rsidRDefault="009679F8">
            <w:pPr>
              <w:pStyle w:val="BodyText"/>
            </w:pPr>
            <w:r w:rsidRPr="005133CA">
              <w:t>Total out of pocket expenses</w:t>
            </w:r>
          </w:p>
        </w:tc>
        <w:tc>
          <w:tcPr>
            <w:tcW w:w="7708" w:type="dxa"/>
            <w:gridSpan w:val="5"/>
            <w:shd w:val="clear" w:color="auto" w:fill="auto"/>
            <w:vAlign w:val="center"/>
          </w:tcPr>
          <w:p w14:paraId="1E66B297" w14:textId="77777777" w:rsidR="009679F8" w:rsidRPr="005133CA" w:rsidRDefault="009679F8">
            <w:pPr>
              <w:pStyle w:val="BodyText"/>
            </w:pPr>
            <w:r w:rsidRPr="005133CA">
              <w:t>$0</w:t>
            </w:r>
          </w:p>
        </w:tc>
      </w:tr>
    </w:tbl>
    <w:p w14:paraId="21001B76" w14:textId="5EA74FF5" w:rsidR="00E92312" w:rsidRPr="00C22CEC" w:rsidRDefault="00E92312" w:rsidP="00350E83">
      <w:pPr>
        <w:pStyle w:val="DECNotes"/>
        <w:numPr>
          <w:ilvl w:val="0"/>
          <w:numId w:val="44"/>
        </w:numPr>
      </w:pPr>
      <w:bookmarkStart w:id="867" w:name="_Toc172794910"/>
      <w:bookmarkStart w:id="868" w:name="_Toc172806457"/>
      <w:bookmarkStart w:id="869" w:name="_Toc172808418"/>
      <w:r w:rsidRPr="00C22CEC">
        <w:t>Cumulative total comprising number of full Panel and Panel sub-committee meetings attended over the financial year.</w:t>
      </w:r>
    </w:p>
    <w:p w14:paraId="1C2A4B45" w14:textId="13A93130" w:rsidR="00E92312" w:rsidRPr="00C22CEC" w:rsidRDefault="00E92312" w:rsidP="00350E83">
      <w:pPr>
        <w:pStyle w:val="DECNotes"/>
        <w:numPr>
          <w:ilvl w:val="0"/>
          <w:numId w:val="44"/>
        </w:numPr>
      </w:pPr>
      <w:r w:rsidRPr="00C22CEC">
        <w:t>A Panel sub-committee comprises the Chair or Deputy Chair plus two members and is called into session to consider allegations of breaches of the Ethical Supplier Threshold and/or other contractual commitments by government suppliers.</w:t>
      </w:r>
    </w:p>
    <w:p w14:paraId="69B91FEE" w14:textId="7D02ACDC" w:rsidR="00E92312" w:rsidRPr="00C22CEC" w:rsidRDefault="00E92312" w:rsidP="00350E83">
      <w:pPr>
        <w:pStyle w:val="DECNotes"/>
        <w:numPr>
          <w:ilvl w:val="0"/>
          <w:numId w:val="44"/>
        </w:numPr>
      </w:pPr>
      <w:r w:rsidRPr="00C22CEC">
        <w:t>Due to late lodgement of remuneration claims, actual fees received amount is less than the total remuneration a panel member was entitled to receive in 2023–24.</w:t>
      </w:r>
    </w:p>
    <w:p w14:paraId="7C8B4F1B" w14:textId="1918DBE8" w:rsidR="00890817" w:rsidRPr="00297F21" w:rsidRDefault="00890817" w:rsidP="00D705AB">
      <w:pPr>
        <w:pStyle w:val="DECheading11"/>
      </w:pPr>
      <w:bookmarkStart w:id="870" w:name="_Toc176425050"/>
      <w:r w:rsidRPr="00297F21">
        <w:lastRenderedPageBreak/>
        <w:t xml:space="preserve">Appendix </w:t>
      </w:r>
      <w:r w:rsidR="00A2746A">
        <w:t>3</w:t>
      </w:r>
      <w:r w:rsidRPr="00297F21">
        <w:t xml:space="preserve"> - Glossary of Terms</w:t>
      </w:r>
      <w:bookmarkEnd w:id="817"/>
      <w:bookmarkEnd w:id="818"/>
      <w:bookmarkEnd w:id="819"/>
      <w:bookmarkEnd w:id="867"/>
      <w:bookmarkEnd w:id="868"/>
      <w:bookmarkEnd w:id="869"/>
      <w:bookmarkEnd w:id="870"/>
    </w:p>
    <w:bookmarkEnd w:id="820"/>
    <w:p w14:paraId="456DBC40" w14:textId="5123A99F" w:rsidR="00B30248" w:rsidRDefault="00B30248" w:rsidP="007D5C38">
      <w:pPr>
        <w:pStyle w:val="BodyText"/>
        <w:rPr>
          <w:rFonts w:ascii="MetaPro-Bold" w:hAnsi="MetaPro-Bold" w:cs="MetaPro-Bold"/>
          <w:b/>
        </w:rPr>
      </w:pPr>
      <w:r w:rsidRPr="00E31E83">
        <w:rPr>
          <w:rFonts w:ascii="MetaPro-Bold" w:hAnsi="MetaPro-Bold" w:cs="MetaPro-Bold"/>
          <w:b/>
        </w:rPr>
        <w:t xml:space="preserve">ARRs </w:t>
      </w:r>
      <w:r w:rsidRPr="00E31E83">
        <w:rPr>
          <w:rFonts w:ascii="MetaPro-Bold" w:hAnsi="MetaPro-Bold" w:cs="MetaPro-Bold"/>
          <w:b/>
        </w:rPr>
        <w:tab/>
      </w:r>
      <w:r w:rsidRPr="00CA3A21">
        <w:t xml:space="preserve">Annual report requirements for Queensland </w:t>
      </w:r>
      <w:r w:rsidR="007071DB">
        <w:t>G</w:t>
      </w:r>
      <w:r w:rsidRPr="00B30248">
        <w:t>overnment</w:t>
      </w:r>
      <w:r w:rsidRPr="00CA3A21">
        <w:t xml:space="preserve"> agencies</w:t>
      </w:r>
      <w:r w:rsidRPr="00783759">
        <w:rPr>
          <w:rFonts w:ascii="MetaPro-Bold" w:hAnsi="MetaPro-Bold" w:cs="MetaPro-Bold"/>
          <w:b/>
        </w:rPr>
        <w:t xml:space="preserve"> </w:t>
      </w:r>
    </w:p>
    <w:p w14:paraId="1D3EE915" w14:textId="00EA5525" w:rsidR="00C83F48" w:rsidRDefault="00C83F48" w:rsidP="007D5C38">
      <w:pPr>
        <w:pStyle w:val="BodyText"/>
        <w:rPr>
          <w:rFonts w:ascii="MetaPro-Bold" w:hAnsi="MetaPro-Bold" w:cs="MetaPro-Bold"/>
          <w:b/>
        </w:rPr>
      </w:pPr>
      <w:r>
        <w:rPr>
          <w:rFonts w:ascii="MetaPro-Bold" w:hAnsi="MetaPro-Bold" w:cs="MetaPro-Bold"/>
          <w:b/>
        </w:rPr>
        <w:t>CBU</w:t>
      </w:r>
      <w:r>
        <w:rPr>
          <w:rFonts w:ascii="MetaPro-Bold" w:hAnsi="MetaPro-Bold" w:cs="MetaPro-Bold"/>
          <w:b/>
        </w:rPr>
        <w:tab/>
      </w:r>
      <w:r w:rsidRPr="00C83F48">
        <w:t>Commercialised business unit</w:t>
      </w:r>
    </w:p>
    <w:p w14:paraId="1F4652B1" w14:textId="68E48098" w:rsidR="00FD7996" w:rsidRDefault="00A630EA" w:rsidP="007D5C38">
      <w:pPr>
        <w:pStyle w:val="BodyText"/>
        <w:rPr>
          <w:rFonts w:ascii="MetaPro-Bold" w:hAnsi="MetaPro-Bold" w:cs="MetaPro-Bold"/>
          <w:b/>
        </w:rPr>
      </w:pPr>
      <w:r>
        <w:rPr>
          <w:rFonts w:ascii="MetaPro-Bold" w:hAnsi="MetaPro-Bold" w:cs="MetaPro-Bold"/>
          <w:b/>
        </w:rPr>
        <w:t>CER</w:t>
      </w:r>
      <w:r w:rsidR="006F4678">
        <w:rPr>
          <w:rFonts w:ascii="MetaPro-Bold" w:hAnsi="MetaPro-Bold" w:cs="MetaPro-Bold"/>
          <w:b/>
        </w:rPr>
        <w:tab/>
      </w:r>
      <w:r w:rsidR="006F4678" w:rsidRPr="003B212E">
        <w:t>Consumer Energy Resources</w:t>
      </w:r>
    </w:p>
    <w:p w14:paraId="5EF4D874" w14:textId="036EE04C" w:rsidR="00A630EA" w:rsidRPr="00783759" w:rsidRDefault="00FD7996" w:rsidP="007D5C38">
      <w:pPr>
        <w:pStyle w:val="BodyText"/>
        <w:rPr>
          <w:rFonts w:ascii="MetaPro-Bold" w:hAnsi="MetaPro-Bold" w:cs="MetaPro-Bold"/>
          <w:b/>
        </w:rPr>
      </w:pPr>
      <w:r>
        <w:rPr>
          <w:rFonts w:ascii="MetaPro-Bold" w:hAnsi="MetaPro-Bold" w:cs="MetaPro-Bold"/>
          <w:b/>
        </w:rPr>
        <w:t>CSES</w:t>
      </w:r>
      <w:r w:rsidR="00A630EA">
        <w:rPr>
          <w:rFonts w:ascii="MetaPro-Bold" w:hAnsi="MetaPro-Bold" w:cs="MetaPro-Bold"/>
          <w:b/>
        </w:rPr>
        <w:tab/>
      </w:r>
      <w:r w:rsidR="00F17492" w:rsidRPr="0014007B">
        <w:rPr>
          <w:lang w:eastAsia="en-AU"/>
        </w:rPr>
        <w:t>Climate Smart Energy Savers</w:t>
      </w:r>
    </w:p>
    <w:p w14:paraId="42B8F3E2" w14:textId="551EAF1E" w:rsidR="004C0BEC" w:rsidRPr="00B30248" w:rsidRDefault="004C0BEC" w:rsidP="007D5C38">
      <w:pPr>
        <w:pStyle w:val="BodyText"/>
      </w:pPr>
      <w:r w:rsidRPr="00783759">
        <w:rPr>
          <w:rFonts w:ascii="MetaPro-Bold" w:hAnsi="MetaPro-Bold" w:cs="MetaPro-Bold"/>
          <w:b/>
        </w:rPr>
        <w:t>DEC</w:t>
      </w:r>
      <w:r w:rsidRPr="00783759">
        <w:rPr>
          <w:rFonts w:ascii="MetaPro-Bold" w:hAnsi="MetaPro-Bold" w:cs="MetaPro-Bold"/>
          <w:b/>
        </w:rPr>
        <w:tab/>
      </w:r>
      <w:r w:rsidRPr="00E31E83">
        <w:t>Department of Energy and Climate</w:t>
      </w:r>
    </w:p>
    <w:p w14:paraId="2653F645" w14:textId="070230BE" w:rsidR="00A630EA" w:rsidRDefault="00A630EA" w:rsidP="007D5C38">
      <w:pPr>
        <w:pStyle w:val="BodyText"/>
        <w:rPr>
          <w:rFonts w:ascii="MetaPro-Bold" w:hAnsi="MetaPro-Bold" w:cs="MetaPro-Bold"/>
          <w:b/>
        </w:rPr>
      </w:pPr>
      <w:r w:rsidRPr="00A630EA">
        <w:rPr>
          <w:rFonts w:ascii="MetaPro-Bold" w:hAnsi="MetaPro-Bold" w:cs="MetaPro-Bold"/>
          <w:b/>
        </w:rPr>
        <w:t>ECMC</w:t>
      </w:r>
      <w:r w:rsidR="00F17492">
        <w:rPr>
          <w:rFonts w:ascii="MetaPro-Bold" w:hAnsi="MetaPro-Bold" w:cs="MetaPro-Bold"/>
          <w:b/>
        </w:rPr>
        <w:tab/>
      </w:r>
      <w:r w:rsidR="00F17492" w:rsidRPr="003B212E">
        <w:t>Energy and Climate Change Ministerial Council</w:t>
      </w:r>
    </w:p>
    <w:p w14:paraId="45C88209" w14:textId="73A45800" w:rsidR="00FD7996" w:rsidRPr="00783759" w:rsidRDefault="00FD7996" w:rsidP="007D5C38">
      <w:pPr>
        <w:pStyle w:val="BodyText"/>
        <w:rPr>
          <w:rFonts w:ascii="MetaPro-Bold" w:hAnsi="MetaPro-Bold" w:cs="MetaPro-Bold"/>
          <w:b/>
        </w:rPr>
      </w:pPr>
      <w:r>
        <w:rPr>
          <w:rFonts w:ascii="MetaPro-Bold" w:hAnsi="MetaPro-Bold" w:cs="MetaPro-Bold"/>
          <w:b/>
        </w:rPr>
        <w:t>EWOQ</w:t>
      </w:r>
      <w:r w:rsidR="00F17492">
        <w:rPr>
          <w:rFonts w:ascii="MetaPro-Bold" w:hAnsi="MetaPro-Bold" w:cs="MetaPro-Bold"/>
          <w:b/>
        </w:rPr>
        <w:tab/>
      </w:r>
      <w:r w:rsidR="001918C5" w:rsidRPr="005133CA">
        <w:t>Energy and Water Ombudsman Queensland</w:t>
      </w:r>
    </w:p>
    <w:p w14:paraId="57A2767C" w14:textId="62450C4D" w:rsidR="008526C0" w:rsidRDefault="008526C0" w:rsidP="007D5C38">
      <w:pPr>
        <w:pStyle w:val="BodyText"/>
      </w:pPr>
      <w:r w:rsidRPr="00447DC1">
        <w:rPr>
          <w:rFonts w:ascii="MetaPro-Bold" w:hAnsi="MetaPro-Bold" w:cs="MetaPro-Bold"/>
          <w:b/>
        </w:rPr>
        <w:t>EVs</w:t>
      </w:r>
      <w:r>
        <w:tab/>
        <w:t>Electric Vehicles</w:t>
      </w:r>
    </w:p>
    <w:p w14:paraId="08FDB327" w14:textId="543516A6" w:rsidR="00FD7996" w:rsidRPr="00FA700C" w:rsidRDefault="00FD7996" w:rsidP="007D5C38">
      <w:pPr>
        <w:pStyle w:val="BodyText"/>
        <w:rPr>
          <w:rFonts w:ascii="MetaPro-Bold" w:hAnsi="MetaPro-Bold" w:cs="MetaPro-Bold"/>
          <w:b/>
        </w:rPr>
      </w:pPr>
      <w:r w:rsidRPr="00FA700C">
        <w:rPr>
          <w:rFonts w:ascii="MetaPro-Bold" w:hAnsi="MetaPro-Bold" w:cs="MetaPro-Bold"/>
          <w:b/>
        </w:rPr>
        <w:t>EVP</w:t>
      </w:r>
      <w:r w:rsidR="001918C5">
        <w:rPr>
          <w:rFonts w:ascii="MetaPro-Bold" w:hAnsi="MetaPro-Bold" w:cs="MetaPro-Bold"/>
          <w:b/>
        </w:rPr>
        <w:tab/>
      </w:r>
      <w:r w:rsidR="001918C5">
        <w:t>Employee Value Proposition</w:t>
      </w:r>
    </w:p>
    <w:p w14:paraId="715D03D5" w14:textId="6E378616" w:rsidR="00B30248" w:rsidRPr="00B30248" w:rsidRDefault="00B30248" w:rsidP="007D5C38">
      <w:pPr>
        <w:pStyle w:val="BodyText"/>
      </w:pPr>
      <w:r w:rsidRPr="00B30248">
        <w:rPr>
          <w:rFonts w:ascii="MetaPro-Bold" w:hAnsi="MetaPro-Bold" w:cs="MetaPro-Bold"/>
          <w:b/>
          <w:bCs/>
        </w:rPr>
        <w:t xml:space="preserve">FAA </w:t>
      </w:r>
      <w:r>
        <w:rPr>
          <w:rFonts w:ascii="MetaPro-Bold" w:hAnsi="MetaPro-Bold" w:cs="MetaPro-Bold"/>
          <w:b/>
          <w:bCs/>
        </w:rPr>
        <w:tab/>
      </w:r>
      <w:r w:rsidRPr="00D7256A">
        <w:rPr>
          <w:i/>
        </w:rPr>
        <w:t>Financial Accountability Act 2009</w:t>
      </w:r>
      <w:r w:rsidRPr="00B30248">
        <w:t xml:space="preserve"> </w:t>
      </w:r>
    </w:p>
    <w:p w14:paraId="31EC8E24" w14:textId="330CE305" w:rsidR="00FD7996" w:rsidRPr="00FA700C" w:rsidRDefault="00FD7996" w:rsidP="007D5C38">
      <w:pPr>
        <w:pStyle w:val="BodyText"/>
        <w:rPr>
          <w:rFonts w:ascii="MetaPro-Bold" w:hAnsi="MetaPro-Bold" w:cs="MetaPro-Bold"/>
          <w:b/>
        </w:rPr>
      </w:pPr>
      <w:r w:rsidRPr="00FA700C">
        <w:rPr>
          <w:rFonts w:ascii="MetaPro-Bold" w:hAnsi="MetaPro-Bold" w:cs="MetaPro-Bold"/>
          <w:b/>
        </w:rPr>
        <w:t>FTE</w:t>
      </w:r>
      <w:r w:rsidR="001918C5">
        <w:rPr>
          <w:rFonts w:ascii="MetaPro-Bold" w:hAnsi="MetaPro-Bold" w:cs="MetaPro-Bold"/>
          <w:b/>
        </w:rPr>
        <w:tab/>
      </w:r>
      <w:r w:rsidR="001918C5">
        <w:t>F</w:t>
      </w:r>
      <w:r w:rsidR="001918C5" w:rsidRPr="005133CA">
        <w:t>ull-time equivalent</w:t>
      </w:r>
    </w:p>
    <w:p w14:paraId="1868E36A" w14:textId="58570F76" w:rsidR="00B30248" w:rsidRPr="00B30248" w:rsidRDefault="00B30248" w:rsidP="007D5C38">
      <w:pPr>
        <w:pStyle w:val="BodyText"/>
      </w:pPr>
      <w:r w:rsidRPr="00B30248">
        <w:rPr>
          <w:rFonts w:ascii="MetaPro-Bold" w:hAnsi="MetaPro-Bold" w:cs="MetaPro-Bold"/>
          <w:b/>
          <w:bCs/>
        </w:rPr>
        <w:t xml:space="preserve">FPMS </w:t>
      </w:r>
      <w:r>
        <w:rPr>
          <w:rFonts w:ascii="MetaPro-Bold" w:hAnsi="MetaPro-Bold" w:cs="MetaPro-Bold"/>
          <w:b/>
          <w:bCs/>
        </w:rPr>
        <w:tab/>
      </w:r>
      <w:r w:rsidRPr="00C26DA8">
        <w:rPr>
          <w:i/>
        </w:rPr>
        <w:t xml:space="preserve">Financial and Performance Management Standard 2019 </w:t>
      </w:r>
    </w:p>
    <w:p w14:paraId="76A0C9B3" w14:textId="32486132" w:rsidR="00B45FEA" w:rsidRDefault="00B45FEA" w:rsidP="007D5C38">
      <w:pPr>
        <w:pStyle w:val="BodyText"/>
      </w:pPr>
      <w:r w:rsidRPr="00447DC1">
        <w:rPr>
          <w:rFonts w:ascii="MetaPro-Bold" w:hAnsi="MetaPro-Bold" w:cs="MetaPro-Bold"/>
          <w:b/>
        </w:rPr>
        <w:t>GoC</w:t>
      </w:r>
      <w:r>
        <w:tab/>
        <w:t>Government Owned Corporation</w:t>
      </w:r>
    </w:p>
    <w:p w14:paraId="0AE915AE" w14:textId="6AEF3A69" w:rsidR="00B30248" w:rsidRPr="00B30248" w:rsidRDefault="00B30248" w:rsidP="007D5C38">
      <w:pPr>
        <w:pStyle w:val="BodyText"/>
      </w:pPr>
      <w:r w:rsidRPr="00B30248">
        <w:rPr>
          <w:rFonts w:ascii="MetaPro-Bold" w:hAnsi="MetaPro-Bold" w:cs="MetaPro-Bold"/>
          <w:b/>
          <w:bCs/>
        </w:rPr>
        <w:t xml:space="preserve">GPO </w:t>
      </w:r>
      <w:r>
        <w:rPr>
          <w:rFonts w:ascii="MetaPro-Bold" w:hAnsi="MetaPro-Bold" w:cs="MetaPro-Bold"/>
          <w:b/>
          <w:bCs/>
        </w:rPr>
        <w:tab/>
      </w:r>
      <w:r w:rsidRPr="00B30248">
        <w:t xml:space="preserve">General Post Office </w:t>
      </w:r>
    </w:p>
    <w:p w14:paraId="6034BC2D" w14:textId="5FAF5AE2" w:rsidR="00C83F48" w:rsidRPr="00B30248" w:rsidRDefault="00C83F48" w:rsidP="007D5C38">
      <w:pPr>
        <w:pStyle w:val="BodyText"/>
      </w:pPr>
      <w:r w:rsidRPr="00C83F48">
        <w:rPr>
          <w:rFonts w:ascii="MetaPro-Bold" w:hAnsi="MetaPro-Bold" w:cs="MetaPro-Bold"/>
          <w:b/>
          <w:bCs/>
        </w:rPr>
        <w:t>GW</w:t>
      </w:r>
      <w:r>
        <w:tab/>
        <w:t>Gigawatt</w:t>
      </w:r>
    </w:p>
    <w:p w14:paraId="2AF16238" w14:textId="50A962C1" w:rsidR="00B30248" w:rsidRPr="00B30248" w:rsidRDefault="00B30248" w:rsidP="007D5C38">
      <w:pPr>
        <w:pStyle w:val="BodyText"/>
      </w:pPr>
      <w:r w:rsidRPr="00B30248">
        <w:rPr>
          <w:rFonts w:ascii="MetaPro-Bold" w:hAnsi="MetaPro-Bold" w:cs="MetaPro-Bold"/>
          <w:b/>
          <w:bCs/>
        </w:rPr>
        <w:t xml:space="preserve">HR Act </w:t>
      </w:r>
      <w:r>
        <w:rPr>
          <w:rFonts w:ascii="MetaPro-Bold" w:hAnsi="MetaPro-Bold" w:cs="MetaPro-Bold"/>
          <w:b/>
          <w:bCs/>
        </w:rPr>
        <w:tab/>
      </w:r>
      <w:r w:rsidRPr="0003172D">
        <w:rPr>
          <w:i/>
        </w:rPr>
        <w:t>Human Rights Act 2019</w:t>
      </w:r>
      <w:r w:rsidRPr="00B30248">
        <w:t xml:space="preserve"> </w:t>
      </w:r>
    </w:p>
    <w:p w14:paraId="0951C60E" w14:textId="0D3E5CF5" w:rsidR="00B30248" w:rsidRPr="00B30248" w:rsidRDefault="00B30248" w:rsidP="007D5C38">
      <w:pPr>
        <w:pStyle w:val="BodyText"/>
      </w:pPr>
      <w:r w:rsidRPr="00B30248">
        <w:rPr>
          <w:rFonts w:ascii="MetaPro-Bold" w:hAnsi="MetaPro-Bold" w:cs="MetaPro-Bold"/>
          <w:b/>
          <w:bCs/>
        </w:rPr>
        <w:t xml:space="preserve">ICT </w:t>
      </w:r>
      <w:r>
        <w:rPr>
          <w:rFonts w:ascii="MetaPro-Bold" w:hAnsi="MetaPro-Bold" w:cs="MetaPro-Bold"/>
          <w:b/>
          <w:bCs/>
        </w:rPr>
        <w:tab/>
      </w:r>
      <w:r w:rsidRPr="00B30248">
        <w:t xml:space="preserve">Information and Communication Technology </w:t>
      </w:r>
    </w:p>
    <w:p w14:paraId="0D365845" w14:textId="41B5CD3A" w:rsidR="00FD7996" w:rsidRDefault="00A630EA" w:rsidP="007D5C38">
      <w:pPr>
        <w:pStyle w:val="BodyText"/>
        <w:rPr>
          <w:rFonts w:ascii="MetaPro-Bold" w:hAnsi="MetaPro-Bold" w:cs="MetaPro-Bold"/>
          <w:b/>
        </w:rPr>
      </w:pPr>
      <w:r>
        <w:rPr>
          <w:rFonts w:ascii="MetaPro-Bold" w:hAnsi="MetaPro-Bold" w:cs="MetaPro-Bold"/>
          <w:b/>
        </w:rPr>
        <w:t>kW</w:t>
      </w:r>
      <w:r w:rsidR="001918C5">
        <w:rPr>
          <w:rFonts w:ascii="MetaPro-Bold" w:hAnsi="MetaPro-Bold" w:cs="MetaPro-Bold"/>
          <w:b/>
        </w:rPr>
        <w:tab/>
      </w:r>
      <w:r w:rsidR="001918C5" w:rsidRPr="001918C5">
        <w:t>Kilowatt</w:t>
      </w:r>
    </w:p>
    <w:p w14:paraId="3922D8D8" w14:textId="0EA15098" w:rsidR="0060421B" w:rsidRDefault="0060421B" w:rsidP="007D5C38">
      <w:pPr>
        <w:pStyle w:val="BodyText"/>
      </w:pPr>
      <w:r w:rsidRPr="00447DC1">
        <w:rPr>
          <w:rFonts w:ascii="MetaPro-Bold" w:hAnsi="MetaPro-Bold" w:cs="MetaPro-Bold"/>
          <w:b/>
        </w:rPr>
        <w:t>PHES</w:t>
      </w:r>
      <w:r>
        <w:tab/>
        <w:t>Pumped hydroel</w:t>
      </w:r>
      <w:r w:rsidR="00031E8C">
        <w:t>ectric</w:t>
      </w:r>
      <w:r w:rsidR="00934FB5">
        <w:t xml:space="preserve"> </w:t>
      </w:r>
      <w:proofErr w:type="gramStart"/>
      <w:r w:rsidR="00934FB5">
        <w:t>storage</w:t>
      </w:r>
      <w:proofErr w:type="gramEnd"/>
    </w:p>
    <w:p w14:paraId="563C1854" w14:textId="506D5F12" w:rsidR="00FD7996" w:rsidRPr="00FA700C" w:rsidRDefault="00FD7996" w:rsidP="007D5C38">
      <w:pPr>
        <w:pStyle w:val="BodyText"/>
        <w:rPr>
          <w:rFonts w:ascii="MetaPro-Bold" w:hAnsi="MetaPro-Bold" w:cs="MetaPro-Bold"/>
          <w:b/>
        </w:rPr>
      </w:pPr>
      <w:r w:rsidRPr="00FA700C">
        <w:rPr>
          <w:rFonts w:ascii="MetaPro-Bold" w:hAnsi="MetaPro-Bold" w:cs="MetaPro-Bold"/>
          <w:b/>
        </w:rPr>
        <w:t>PSET</w:t>
      </w:r>
      <w:r w:rsidR="00392876">
        <w:rPr>
          <w:rFonts w:ascii="MetaPro-Bold" w:hAnsi="MetaPro-Bold" w:cs="MetaPro-Bold"/>
          <w:b/>
        </w:rPr>
        <w:tab/>
      </w:r>
      <w:r w:rsidR="00392876" w:rsidRPr="00D10EC9">
        <w:t>Public Sector Ethics training</w:t>
      </w:r>
    </w:p>
    <w:p w14:paraId="072A5D29" w14:textId="3C558D84" w:rsidR="00B30248" w:rsidRPr="00B30248" w:rsidRDefault="00B30248" w:rsidP="007D5C38">
      <w:pPr>
        <w:pStyle w:val="BodyText"/>
      </w:pPr>
      <w:r w:rsidRPr="00B30248">
        <w:rPr>
          <w:rFonts w:ascii="MetaPro-Bold" w:hAnsi="MetaPro-Bold" w:cs="MetaPro-Bold"/>
          <w:b/>
          <w:bCs/>
        </w:rPr>
        <w:t xml:space="preserve">QAO </w:t>
      </w:r>
      <w:r>
        <w:rPr>
          <w:rFonts w:ascii="MetaPro-Bold" w:hAnsi="MetaPro-Bold" w:cs="MetaPro-Bold"/>
          <w:b/>
          <w:bCs/>
        </w:rPr>
        <w:tab/>
      </w:r>
      <w:r w:rsidRPr="00B30248">
        <w:t xml:space="preserve">Queensland Audit Office </w:t>
      </w:r>
    </w:p>
    <w:p w14:paraId="30A90712" w14:textId="12FFCA7C" w:rsidR="00A90975" w:rsidRDefault="00A90975" w:rsidP="007D5C38">
      <w:pPr>
        <w:pStyle w:val="BodyText"/>
      </w:pPr>
      <w:r>
        <w:rPr>
          <w:rFonts w:ascii="MetaPro-Bold" w:hAnsi="MetaPro-Bold" w:cs="MetaPro-Bold"/>
          <w:b/>
          <w:bCs/>
        </w:rPr>
        <w:t>QEJP</w:t>
      </w:r>
      <w:r>
        <w:rPr>
          <w:rFonts w:ascii="MetaPro-Bold" w:hAnsi="MetaPro-Bold" w:cs="MetaPro-Bold"/>
          <w:b/>
          <w:bCs/>
        </w:rPr>
        <w:tab/>
      </w:r>
      <w:r w:rsidRPr="00A90975">
        <w:t>Queensland Energy and Jobs Plan</w:t>
      </w:r>
    </w:p>
    <w:p w14:paraId="3BA0480B" w14:textId="7DEC75CE" w:rsidR="00A90975" w:rsidRPr="00B30248" w:rsidRDefault="00A90975" w:rsidP="007D5C38">
      <w:pPr>
        <w:pStyle w:val="BodyText"/>
      </w:pPr>
      <w:r w:rsidRPr="00A90975">
        <w:rPr>
          <w:rFonts w:ascii="MetaPro-Bold" w:hAnsi="MetaPro-Bold" w:cs="MetaPro-Bold"/>
          <w:b/>
          <w:bCs/>
        </w:rPr>
        <w:t>QFF</w:t>
      </w:r>
      <w:r>
        <w:tab/>
        <w:t>Queensland Farmers Federation</w:t>
      </w:r>
    </w:p>
    <w:p w14:paraId="2A71270F" w14:textId="189BD71B" w:rsidR="00B30248" w:rsidRPr="00B30248" w:rsidRDefault="00B30248" w:rsidP="007D5C38">
      <w:pPr>
        <w:pStyle w:val="BodyText"/>
      </w:pPr>
      <w:r w:rsidRPr="00B30248">
        <w:rPr>
          <w:rFonts w:ascii="MetaPro-Bold" w:hAnsi="MetaPro-Bold" w:cs="MetaPro-Bold"/>
          <w:b/>
          <w:bCs/>
        </w:rPr>
        <w:t xml:space="preserve">QGOV </w:t>
      </w:r>
      <w:r>
        <w:rPr>
          <w:rFonts w:ascii="MetaPro-Bold" w:hAnsi="MetaPro-Bold" w:cs="MetaPro-Bold"/>
          <w:b/>
          <w:bCs/>
        </w:rPr>
        <w:tab/>
      </w:r>
      <w:r w:rsidRPr="00B30248">
        <w:t xml:space="preserve">Queensland </w:t>
      </w:r>
      <w:r w:rsidR="007071DB">
        <w:t>G</w:t>
      </w:r>
      <w:r w:rsidRPr="00B30248">
        <w:t xml:space="preserve">overnment </w:t>
      </w:r>
    </w:p>
    <w:p w14:paraId="6FF4259F" w14:textId="5E7F8A79" w:rsidR="00FD7996" w:rsidRPr="00FA700C" w:rsidRDefault="00FD7996" w:rsidP="007D5C38">
      <w:pPr>
        <w:pStyle w:val="BodyText"/>
        <w:rPr>
          <w:rFonts w:ascii="MetaPro-Bold" w:hAnsi="MetaPro-Bold" w:cs="MetaPro-Bold"/>
          <w:b/>
        </w:rPr>
      </w:pPr>
      <w:r w:rsidRPr="00FA700C">
        <w:rPr>
          <w:rFonts w:ascii="MetaPro-Bold" w:hAnsi="MetaPro-Bold" w:cs="MetaPro-Bold"/>
          <w:b/>
        </w:rPr>
        <w:t>SWP</w:t>
      </w:r>
      <w:r w:rsidR="00392876">
        <w:rPr>
          <w:rFonts w:ascii="MetaPro-Bold" w:hAnsi="MetaPro-Bold" w:cs="MetaPro-Bold"/>
          <w:b/>
        </w:rPr>
        <w:tab/>
      </w:r>
      <w:r w:rsidR="00392876">
        <w:t>Strategic Workforce Plan</w:t>
      </w:r>
    </w:p>
    <w:p w14:paraId="15AAE0C6" w14:textId="5702F663" w:rsidR="00B30248" w:rsidRPr="00B30248" w:rsidRDefault="00B30248" w:rsidP="007D5C38">
      <w:pPr>
        <w:pStyle w:val="BodyText"/>
      </w:pPr>
      <w:r w:rsidRPr="00B30248">
        <w:rPr>
          <w:rFonts w:ascii="MetaPro-Bold" w:hAnsi="MetaPro-Bold" w:cs="MetaPro-Bold"/>
          <w:b/>
          <w:bCs/>
        </w:rPr>
        <w:t xml:space="preserve">SDS </w:t>
      </w:r>
      <w:r>
        <w:rPr>
          <w:rFonts w:ascii="MetaPro-Bold" w:hAnsi="MetaPro-Bold" w:cs="MetaPro-Bold"/>
          <w:b/>
          <w:bCs/>
        </w:rPr>
        <w:tab/>
      </w:r>
      <w:r w:rsidRPr="00B30248">
        <w:t xml:space="preserve">Service Delivery Statements </w:t>
      </w:r>
    </w:p>
    <w:p w14:paraId="3269A1AC" w14:textId="59D82271" w:rsidR="004B2645" w:rsidRPr="0064198D" w:rsidRDefault="00A630EA" w:rsidP="004B2645">
      <w:pPr>
        <w:pStyle w:val="BodyText"/>
        <w:rPr>
          <w:rFonts w:ascii="MetaPro-Bold" w:hAnsi="MetaPro-Bold" w:cs="MetaPro-Bold"/>
          <w:b/>
        </w:rPr>
      </w:pPr>
      <w:r w:rsidRPr="0064198D">
        <w:rPr>
          <w:rFonts w:ascii="MetaPro-Bold" w:hAnsi="MetaPro-Bold" w:cs="MetaPro-Bold"/>
          <w:b/>
        </w:rPr>
        <w:t>ZEV</w:t>
      </w:r>
      <w:r w:rsidR="00392876">
        <w:rPr>
          <w:rFonts w:ascii="MetaPro-Bold" w:hAnsi="MetaPro-Bold" w:cs="MetaPro-Bold"/>
          <w:b/>
        </w:rPr>
        <w:tab/>
      </w:r>
      <w:r w:rsidR="00392876" w:rsidRPr="00947B80">
        <w:t xml:space="preserve">Zero </w:t>
      </w:r>
      <w:r w:rsidR="00A64186">
        <w:t>e</w:t>
      </w:r>
      <w:r w:rsidR="00392876" w:rsidRPr="00947B80">
        <w:t xml:space="preserve">mission </w:t>
      </w:r>
      <w:r w:rsidR="00A64186">
        <w:t>v</w:t>
      </w:r>
      <w:r w:rsidR="00392876" w:rsidRPr="00947B80">
        <w:t>ehicle</w:t>
      </w:r>
    </w:p>
    <w:p w14:paraId="44D6DBD8" w14:textId="73E7E31C" w:rsidR="00390A3D" w:rsidRDefault="00390A3D">
      <w:pPr>
        <w:spacing w:before="0" w:after="160" w:line="259" w:lineRule="auto"/>
      </w:pPr>
      <w:r>
        <w:br w:type="page"/>
      </w:r>
    </w:p>
    <w:p w14:paraId="03A7667F" w14:textId="7ACB44C1" w:rsidR="00C854A0" w:rsidRPr="00297F21" w:rsidRDefault="00C854A0" w:rsidP="00D705AB">
      <w:pPr>
        <w:pStyle w:val="DECheading11"/>
      </w:pPr>
      <w:bookmarkStart w:id="871" w:name="_Toc111189252"/>
      <w:bookmarkStart w:id="872" w:name="_Toc138317873"/>
      <w:bookmarkStart w:id="873" w:name="_Toc172794911"/>
      <w:bookmarkStart w:id="874" w:name="_Toc172806458"/>
      <w:bookmarkStart w:id="875" w:name="_Toc172808419"/>
      <w:bookmarkStart w:id="876" w:name="_Toc176425051"/>
      <w:r w:rsidRPr="00297F21">
        <w:lastRenderedPageBreak/>
        <w:t xml:space="preserve">Appendix </w:t>
      </w:r>
      <w:r w:rsidR="00AE3500">
        <w:t>4</w:t>
      </w:r>
      <w:r w:rsidRPr="00297F21">
        <w:t xml:space="preserve"> – Compliance </w:t>
      </w:r>
      <w:bookmarkEnd w:id="871"/>
      <w:bookmarkEnd w:id="872"/>
      <w:r w:rsidR="00D20A2E">
        <w:t>c</w:t>
      </w:r>
      <w:r w:rsidRPr="00297F21">
        <w:t>hecklist</w:t>
      </w:r>
      <w:bookmarkEnd w:id="873"/>
      <w:bookmarkEnd w:id="874"/>
      <w:bookmarkEnd w:id="875"/>
      <w:bookmarkEnd w:id="876"/>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264"/>
        <w:gridCol w:w="2520"/>
        <w:gridCol w:w="1591"/>
      </w:tblGrid>
      <w:tr w:rsidR="00C854A0" w:rsidRPr="00534ECE" w14:paraId="4AEB844B" w14:textId="77777777" w:rsidTr="4D8EAD23">
        <w:trPr>
          <w:cantSplit/>
          <w:tblHeader/>
        </w:trPr>
        <w:tc>
          <w:tcPr>
            <w:tcW w:w="5812" w:type="dxa"/>
            <w:gridSpan w:val="2"/>
            <w:shd w:val="clear" w:color="auto" w:fill="595959" w:themeFill="accent2" w:themeFillShade="80"/>
            <w:vAlign w:val="center"/>
          </w:tcPr>
          <w:p w14:paraId="4813CFC2" w14:textId="77777777" w:rsidR="00C854A0" w:rsidRPr="00534ECE" w:rsidRDefault="00C854A0" w:rsidP="00D705AB">
            <w:pPr>
              <w:pStyle w:val="DECTableheader"/>
            </w:pPr>
            <w:r w:rsidRPr="00534ECE">
              <w:t>Summary of requirement</w:t>
            </w:r>
          </w:p>
        </w:tc>
        <w:tc>
          <w:tcPr>
            <w:tcW w:w="2520" w:type="dxa"/>
            <w:shd w:val="clear" w:color="auto" w:fill="595959" w:themeFill="accent2" w:themeFillShade="80"/>
            <w:vAlign w:val="center"/>
          </w:tcPr>
          <w:p w14:paraId="3B16131A" w14:textId="77777777" w:rsidR="00C854A0" w:rsidRPr="00534ECE" w:rsidRDefault="00C854A0" w:rsidP="00D705AB">
            <w:pPr>
              <w:pStyle w:val="DECTableheader"/>
            </w:pPr>
            <w:r w:rsidRPr="00534ECE">
              <w:t>Basis for requirement</w:t>
            </w:r>
          </w:p>
        </w:tc>
        <w:tc>
          <w:tcPr>
            <w:tcW w:w="1591" w:type="dxa"/>
            <w:shd w:val="clear" w:color="auto" w:fill="595959" w:themeFill="accent2" w:themeFillShade="80"/>
            <w:vAlign w:val="center"/>
          </w:tcPr>
          <w:p w14:paraId="58E7AD2D" w14:textId="77777777" w:rsidR="00C854A0" w:rsidRPr="00534ECE" w:rsidRDefault="00C854A0" w:rsidP="00D705AB">
            <w:pPr>
              <w:pStyle w:val="DECTableheader"/>
            </w:pPr>
            <w:r w:rsidRPr="00534ECE">
              <w:t>Annual report reference</w:t>
            </w:r>
          </w:p>
        </w:tc>
      </w:tr>
      <w:tr w:rsidR="00C854A0" w:rsidRPr="00534ECE" w14:paraId="5CEFA395" w14:textId="77777777" w:rsidTr="00CC2224">
        <w:trPr>
          <w:cantSplit/>
        </w:trPr>
        <w:tc>
          <w:tcPr>
            <w:tcW w:w="1548" w:type="dxa"/>
          </w:tcPr>
          <w:p w14:paraId="483F0F22" w14:textId="77777777" w:rsidR="00C854A0" w:rsidRPr="00534ECE" w:rsidRDefault="00C854A0" w:rsidP="00A160EF">
            <w:pPr>
              <w:pStyle w:val="BodyText"/>
              <w:spacing w:before="60" w:after="60"/>
            </w:pPr>
            <w:r w:rsidRPr="00534ECE">
              <w:t>Letter of compliance</w:t>
            </w:r>
          </w:p>
        </w:tc>
        <w:tc>
          <w:tcPr>
            <w:tcW w:w="4264" w:type="dxa"/>
          </w:tcPr>
          <w:p w14:paraId="363455AE" w14:textId="77777777" w:rsidR="00C854A0" w:rsidRPr="00534ECE" w:rsidRDefault="00C854A0" w:rsidP="001D7BC5">
            <w:pPr>
              <w:pStyle w:val="ListParagraph"/>
            </w:pPr>
            <w:r w:rsidRPr="00534ECE">
              <w:t>A letter of compliance from the accountable officer or statutory body to the relevant Minister/s</w:t>
            </w:r>
          </w:p>
        </w:tc>
        <w:tc>
          <w:tcPr>
            <w:tcW w:w="2520" w:type="dxa"/>
            <w:shd w:val="clear" w:color="auto" w:fill="auto"/>
          </w:tcPr>
          <w:p w14:paraId="10C7D53F" w14:textId="77777777" w:rsidR="00C854A0" w:rsidRPr="00534ECE" w:rsidRDefault="00C854A0" w:rsidP="00A160EF">
            <w:pPr>
              <w:pStyle w:val="BodyText"/>
              <w:spacing w:before="60" w:after="60"/>
            </w:pPr>
            <w:r w:rsidRPr="00534ECE">
              <w:t>ARRs</w:t>
            </w:r>
            <w:r w:rsidRPr="00534ECE">
              <w:rPr>
                <w:i/>
              </w:rPr>
              <w:t xml:space="preserve"> – </w:t>
            </w:r>
            <w:r>
              <w:t>section</w:t>
            </w:r>
            <w:r w:rsidRPr="00534ECE">
              <w:t xml:space="preserve"> 7</w:t>
            </w:r>
          </w:p>
        </w:tc>
        <w:tc>
          <w:tcPr>
            <w:tcW w:w="1591" w:type="dxa"/>
            <w:shd w:val="clear" w:color="auto" w:fill="auto"/>
          </w:tcPr>
          <w:p w14:paraId="5D4C8DFA" w14:textId="1A18CB73" w:rsidR="00C854A0" w:rsidRPr="00534ECE" w:rsidRDefault="008E60E0" w:rsidP="00A57829">
            <w:pPr>
              <w:pStyle w:val="BodyText"/>
              <w:spacing w:before="60" w:after="60"/>
              <w:jc w:val="right"/>
            </w:pPr>
            <w:r>
              <w:t>5</w:t>
            </w:r>
          </w:p>
        </w:tc>
      </w:tr>
      <w:tr w:rsidR="00C854A0" w:rsidRPr="00534ECE" w14:paraId="6D35CF64" w14:textId="77777777" w:rsidTr="00CC2224">
        <w:trPr>
          <w:cantSplit/>
        </w:trPr>
        <w:tc>
          <w:tcPr>
            <w:tcW w:w="1548" w:type="dxa"/>
            <w:vMerge w:val="restart"/>
          </w:tcPr>
          <w:p w14:paraId="70637D51" w14:textId="77777777" w:rsidR="00C854A0" w:rsidRPr="00534ECE" w:rsidRDefault="00C854A0" w:rsidP="00A160EF">
            <w:pPr>
              <w:pStyle w:val="BodyText"/>
              <w:spacing w:before="60" w:after="60"/>
            </w:pPr>
            <w:r w:rsidRPr="00534ECE">
              <w:t>Accessibility</w:t>
            </w:r>
          </w:p>
        </w:tc>
        <w:tc>
          <w:tcPr>
            <w:tcW w:w="4264" w:type="dxa"/>
          </w:tcPr>
          <w:p w14:paraId="33CB85BC" w14:textId="77777777" w:rsidR="00C854A0" w:rsidRPr="00534ECE" w:rsidRDefault="00C854A0" w:rsidP="001D7BC5">
            <w:pPr>
              <w:pStyle w:val="ListParagraph"/>
            </w:pPr>
            <w:r w:rsidRPr="00534ECE">
              <w:t>Table of contents</w:t>
            </w:r>
          </w:p>
          <w:p w14:paraId="21D65A23" w14:textId="77777777" w:rsidR="00C854A0" w:rsidRPr="00534ECE" w:rsidRDefault="00C854A0" w:rsidP="001D7BC5">
            <w:pPr>
              <w:pStyle w:val="ListParagraph"/>
            </w:pPr>
            <w:r w:rsidRPr="00534ECE">
              <w:t>Glossary</w:t>
            </w:r>
          </w:p>
        </w:tc>
        <w:tc>
          <w:tcPr>
            <w:tcW w:w="2520" w:type="dxa"/>
            <w:shd w:val="clear" w:color="auto" w:fill="auto"/>
          </w:tcPr>
          <w:p w14:paraId="374CA637" w14:textId="77777777" w:rsidR="00C854A0" w:rsidRPr="00534ECE" w:rsidRDefault="00C854A0" w:rsidP="00A160EF">
            <w:pPr>
              <w:pStyle w:val="BodyText"/>
              <w:spacing w:before="60" w:after="60"/>
            </w:pPr>
            <w:r w:rsidRPr="00534ECE">
              <w:t>ARRs – section 9.1</w:t>
            </w:r>
          </w:p>
        </w:tc>
        <w:tc>
          <w:tcPr>
            <w:tcW w:w="1591" w:type="dxa"/>
            <w:shd w:val="clear" w:color="auto" w:fill="auto"/>
          </w:tcPr>
          <w:p w14:paraId="129159FC" w14:textId="40F683E8" w:rsidR="00C854A0" w:rsidRPr="00534ECE" w:rsidRDefault="00F54933" w:rsidP="00A57829">
            <w:pPr>
              <w:pStyle w:val="BodyText"/>
              <w:spacing w:before="60" w:after="60"/>
              <w:jc w:val="right"/>
            </w:pPr>
            <w:r>
              <w:t xml:space="preserve">2, </w:t>
            </w:r>
            <w:r w:rsidR="00F27534">
              <w:t>58</w:t>
            </w:r>
          </w:p>
        </w:tc>
      </w:tr>
      <w:tr w:rsidR="00C854A0" w:rsidRPr="00534ECE" w14:paraId="6958518D" w14:textId="77777777" w:rsidTr="00CC2224">
        <w:trPr>
          <w:cantSplit/>
        </w:trPr>
        <w:tc>
          <w:tcPr>
            <w:tcW w:w="1548" w:type="dxa"/>
            <w:vMerge/>
          </w:tcPr>
          <w:p w14:paraId="44622E08" w14:textId="77777777" w:rsidR="00C854A0" w:rsidRPr="00534ECE" w:rsidRDefault="00C854A0" w:rsidP="00A160EF">
            <w:pPr>
              <w:pStyle w:val="BodyText"/>
              <w:spacing w:before="60" w:after="60"/>
            </w:pPr>
          </w:p>
        </w:tc>
        <w:tc>
          <w:tcPr>
            <w:tcW w:w="4264" w:type="dxa"/>
          </w:tcPr>
          <w:p w14:paraId="058CC8BE" w14:textId="77777777" w:rsidR="00C854A0" w:rsidRPr="00534ECE" w:rsidRDefault="00C854A0" w:rsidP="001D7BC5">
            <w:pPr>
              <w:pStyle w:val="ListParagraph"/>
            </w:pPr>
            <w:r w:rsidRPr="00534ECE">
              <w:t>Public availability</w:t>
            </w:r>
          </w:p>
        </w:tc>
        <w:tc>
          <w:tcPr>
            <w:tcW w:w="2520" w:type="dxa"/>
            <w:shd w:val="clear" w:color="auto" w:fill="auto"/>
          </w:tcPr>
          <w:p w14:paraId="04FDE0B7" w14:textId="77777777" w:rsidR="00C854A0" w:rsidRPr="00534ECE" w:rsidRDefault="00C854A0" w:rsidP="00A160EF">
            <w:pPr>
              <w:pStyle w:val="BodyText"/>
              <w:spacing w:before="60" w:after="60"/>
            </w:pPr>
            <w:r w:rsidRPr="00534ECE">
              <w:t>ARRs – section 9.2</w:t>
            </w:r>
          </w:p>
        </w:tc>
        <w:tc>
          <w:tcPr>
            <w:tcW w:w="1591" w:type="dxa"/>
            <w:shd w:val="clear" w:color="auto" w:fill="auto"/>
          </w:tcPr>
          <w:p w14:paraId="1AA28F18" w14:textId="67AB83BE" w:rsidR="00C854A0" w:rsidRPr="00534ECE" w:rsidRDefault="00E441D6" w:rsidP="00A57829">
            <w:pPr>
              <w:pStyle w:val="BodyText"/>
              <w:spacing w:before="60" w:after="60"/>
              <w:jc w:val="right"/>
            </w:pPr>
            <w:r>
              <w:t>3</w:t>
            </w:r>
          </w:p>
        </w:tc>
      </w:tr>
      <w:tr w:rsidR="00C854A0" w:rsidRPr="00534ECE" w14:paraId="273E1A1E" w14:textId="77777777" w:rsidTr="00CC2224">
        <w:trPr>
          <w:cantSplit/>
        </w:trPr>
        <w:tc>
          <w:tcPr>
            <w:tcW w:w="1548" w:type="dxa"/>
            <w:vMerge/>
          </w:tcPr>
          <w:p w14:paraId="7C3D7326" w14:textId="77777777" w:rsidR="00C854A0" w:rsidRPr="00534ECE" w:rsidRDefault="00C854A0" w:rsidP="00A160EF">
            <w:pPr>
              <w:pStyle w:val="BodyText"/>
              <w:spacing w:before="60" w:after="60"/>
            </w:pPr>
          </w:p>
        </w:tc>
        <w:tc>
          <w:tcPr>
            <w:tcW w:w="4264" w:type="dxa"/>
          </w:tcPr>
          <w:p w14:paraId="5C776C58" w14:textId="77777777" w:rsidR="00C854A0" w:rsidRPr="00534ECE" w:rsidRDefault="00C854A0" w:rsidP="001D7BC5">
            <w:pPr>
              <w:pStyle w:val="ListParagraph"/>
            </w:pPr>
            <w:r w:rsidRPr="00534ECE">
              <w:t>Interpreter service statement</w:t>
            </w:r>
          </w:p>
        </w:tc>
        <w:tc>
          <w:tcPr>
            <w:tcW w:w="2520" w:type="dxa"/>
            <w:shd w:val="clear" w:color="auto" w:fill="auto"/>
          </w:tcPr>
          <w:p w14:paraId="6C844967" w14:textId="4D6BB88D" w:rsidR="00C854A0" w:rsidRPr="00534ECE" w:rsidRDefault="00C854A0" w:rsidP="00A160EF">
            <w:pPr>
              <w:pStyle w:val="BodyText"/>
              <w:spacing w:before="60" w:after="60"/>
            </w:pPr>
            <w:r w:rsidRPr="00534ECE">
              <w:t xml:space="preserve">Queensland </w:t>
            </w:r>
            <w:r w:rsidR="007071DB">
              <w:t>G</w:t>
            </w:r>
            <w:r w:rsidRPr="00534ECE">
              <w:t>overnment Language Services Policy</w:t>
            </w:r>
          </w:p>
          <w:p w14:paraId="2A00E1AA" w14:textId="77777777" w:rsidR="00C854A0" w:rsidRPr="00534ECE" w:rsidRDefault="00C854A0" w:rsidP="00A160EF">
            <w:pPr>
              <w:pStyle w:val="BodyText"/>
              <w:spacing w:before="60" w:after="60"/>
            </w:pPr>
            <w:r w:rsidRPr="00534ECE">
              <w:t>ARRs – section 9.3</w:t>
            </w:r>
          </w:p>
        </w:tc>
        <w:tc>
          <w:tcPr>
            <w:tcW w:w="1591" w:type="dxa"/>
            <w:shd w:val="clear" w:color="auto" w:fill="auto"/>
          </w:tcPr>
          <w:p w14:paraId="7EDE0A4D" w14:textId="261DA312" w:rsidR="00C854A0" w:rsidRPr="00534ECE" w:rsidRDefault="00B26472" w:rsidP="00A57829">
            <w:pPr>
              <w:pStyle w:val="BodyText"/>
              <w:spacing w:before="60" w:after="60"/>
              <w:jc w:val="right"/>
            </w:pPr>
            <w:r>
              <w:t>3</w:t>
            </w:r>
          </w:p>
        </w:tc>
      </w:tr>
      <w:tr w:rsidR="00C854A0" w:rsidRPr="00534ECE" w14:paraId="066E893C" w14:textId="77777777" w:rsidTr="00CC2224">
        <w:trPr>
          <w:cantSplit/>
        </w:trPr>
        <w:tc>
          <w:tcPr>
            <w:tcW w:w="1548" w:type="dxa"/>
            <w:vMerge/>
          </w:tcPr>
          <w:p w14:paraId="147CCB57" w14:textId="77777777" w:rsidR="00C854A0" w:rsidRPr="00534ECE" w:rsidRDefault="00C854A0" w:rsidP="00A160EF">
            <w:pPr>
              <w:pStyle w:val="BodyText"/>
              <w:spacing w:before="60" w:after="60"/>
            </w:pPr>
          </w:p>
        </w:tc>
        <w:tc>
          <w:tcPr>
            <w:tcW w:w="4264" w:type="dxa"/>
          </w:tcPr>
          <w:p w14:paraId="1291854D" w14:textId="77777777" w:rsidR="00C854A0" w:rsidRPr="00534ECE" w:rsidRDefault="00C854A0" w:rsidP="001D7BC5">
            <w:pPr>
              <w:pStyle w:val="ListParagraph"/>
            </w:pPr>
            <w:r w:rsidRPr="00534ECE">
              <w:t>Copyright notice</w:t>
            </w:r>
          </w:p>
        </w:tc>
        <w:tc>
          <w:tcPr>
            <w:tcW w:w="2520" w:type="dxa"/>
            <w:shd w:val="clear" w:color="auto" w:fill="auto"/>
          </w:tcPr>
          <w:p w14:paraId="73B39364" w14:textId="77777777" w:rsidR="00C854A0" w:rsidRPr="00377E56" w:rsidRDefault="00C854A0" w:rsidP="00A160EF">
            <w:pPr>
              <w:pStyle w:val="BodyText"/>
              <w:spacing w:before="60" w:after="60"/>
              <w:rPr>
                <w:i/>
              </w:rPr>
            </w:pPr>
            <w:r w:rsidRPr="00377E56">
              <w:rPr>
                <w:i/>
              </w:rPr>
              <w:t>Copyright Act 1968</w:t>
            </w:r>
          </w:p>
          <w:p w14:paraId="4B2A5AEA" w14:textId="77777777" w:rsidR="00C854A0" w:rsidRPr="00534ECE" w:rsidRDefault="00C854A0" w:rsidP="00A160EF">
            <w:pPr>
              <w:pStyle w:val="BodyText"/>
              <w:spacing w:before="60" w:after="60"/>
            </w:pPr>
            <w:r w:rsidRPr="00534ECE">
              <w:t>ARRs – section 9.4</w:t>
            </w:r>
          </w:p>
        </w:tc>
        <w:tc>
          <w:tcPr>
            <w:tcW w:w="1591" w:type="dxa"/>
            <w:shd w:val="clear" w:color="auto" w:fill="auto"/>
          </w:tcPr>
          <w:p w14:paraId="32EE98F4" w14:textId="5A05AA33" w:rsidR="00C854A0" w:rsidRPr="00534ECE" w:rsidRDefault="00B26472" w:rsidP="00A57829">
            <w:pPr>
              <w:pStyle w:val="BodyText"/>
              <w:spacing w:before="60" w:after="60"/>
              <w:jc w:val="right"/>
            </w:pPr>
            <w:r>
              <w:t>3</w:t>
            </w:r>
          </w:p>
        </w:tc>
      </w:tr>
      <w:tr w:rsidR="00C854A0" w:rsidRPr="00534ECE" w14:paraId="183AE235" w14:textId="77777777" w:rsidTr="00CC2224">
        <w:trPr>
          <w:cantSplit/>
        </w:trPr>
        <w:tc>
          <w:tcPr>
            <w:tcW w:w="1548" w:type="dxa"/>
            <w:vMerge/>
          </w:tcPr>
          <w:p w14:paraId="599365F0" w14:textId="77777777" w:rsidR="00C854A0" w:rsidRPr="00534ECE" w:rsidRDefault="00C854A0" w:rsidP="00A160EF">
            <w:pPr>
              <w:pStyle w:val="BodyText"/>
              <w:spacing w:before="60" w:after="60"/>
            </w:pPr>
          </w:p>
        </w:tc>
        <w:tc>
          <w:tcPr>
            <w:tcW w:w="4264" w:type="dxa"/>
          </w:tcPr>
          <w:p w14:paraId="06BA894C" w14:textId="77777777" w:rsidR="00C854A0" w:rsidRPr="00534ECE" w:rsidRDefault="00C854A0" w:rsidP="001D7BC5">
            <w:pPr>
              <w:pStyle w:val="ListParagraph"/>
            </w:pPr>
            <w:r w:rsidRPr="00534ECE">
              <w:t>Information Licensing</w:t>
            </w:r>
          </w:p>
        </w:tc>
        <w:tc>
          <w:tcPr>
            <w:tcW w:w="2520" w:type="dxa"/>
            <w:shd w:val="clear" w:color="auto" w:fill="auto"/>
          </w:tcPr>
          <w:p w14:paraId="3D31EBAC" w14:textId="77777777" w:rsidR="00C854A0" w:rsidRPr="00534ECE" w:rsidRDefault="00C854A0" w:rsidP="00A160EF">
            <w:pPr>
              <w:pStyle w:val="BodyText"/>
              <w:spacing w:before="60" w:after="60"/>
            </w:pPr>
            <w:r w:rsidRPr="00534ECE">
              <w:t>QGEA – Information Licensing</w:t>
            </w:r>
          </w:p>
          <w:p w14:paraId="3F2AEEC4" w14:textId="77777777" w:rsidR="00C854A0" w:rsidRPr="00534ECE" w:rsidRDefault="00C854A0" w:rsidP="00A160EF">
            <w:pPr>
              <w:pStyle w:val="BodyText"/>
              <w:spacing w:before="60" w:after="60"/>
            </w:pPr>
            <w:r w:rsidRPr="00534ECE">
              <w:t>ARRs – section 9.5</w:t>
            </w:r>
          </w:p>
        </w:tc>
        <w:tc>
          <w:tcPr>
            <w:tcW w:w="1591" w:type="dxa"/>
            <w:shd w:val="clear" w:color="auto" w:fill="auto"/>
          </w:tcPr>
          <w:p w14:paraId="6D16A167" w14:textId="265F5D5E" w:rsidR="00C854A0" w:rsidRPr="00534ECE" w:rsidRDefault="00B26472" w:rsidP="00A57829">
            <w:pPr>
              <w:pStyle w:val="BodyText"/>
              <w:spacing w:before="60" w:after="60"/>
              <w:jc w:val="right"/>
            </w:pPr>
            <w:r>
              <w:t>3</w:t>
            </w:r>
          </w:p>
        </w:tc>
      </w:tr>
      <w:tr w:rsidR="00C854A0" w:rsidRPr="00534ECE" w14:paraId="75397435" w14:textId="77777777" w:rsidTr="00CC2224">
        <w:trPr>
          <w:cantSplit/>
          <w:trHeight w:val="485"/>
        </w:trPr>
        <w:tc>
          <w:tcPr>
            <w:tcW w:w="1548" w:type="dxa"/>
          </w:tcPr>
          <w:p w14:paraId="2604D369" w14:textId="77777777" w:rsidR="00C854A0" w:rsidRPr="00534ECE" w:rsidRDefault="00C854A0" w:rsidP="00A160EF">
            <w:pPr>
              <w:pStyle w:val="BodyText"/>
              <w:spacing w:before="60" w:after="60"/>
            </w:pPr>
            <w:r w:rsidRPr="00534ECE">
              <w:t>General information</w:t>
            </w:r>
          </w:p>
        </w:tc>
        <w:tc>
          <w:tcPr>
            <w:tcW w:w="4264" w:type="dxa"/>
          </w:tcPr>
          <w:p w14:paraId="222F39EA" w14:textId="77777777" w:rsidR="00C854A0" w:rsidRPr="00534ECE" w:rsidRDefault="00C854A0" w:rsidP="001D7BC5">
            <w:pPr>
              <w:pStyle w:val="ListParagraph"/>
            </w:pPr>
            <w:r w:rsidRPr="00534ECE">
              <w:t>Introductory Information</w:t>
            </w:r>
          </w:p>
        </w:tc>
        <w:tc>
          <w:tcPr>
            <w:tcW w:w="2520" w:type="dxa"/>
            <w:shd w:val="clear" w:color="auto" w:fill="auto"/>
          </w:tcPr>
          <w:p w14:paraId="08CD8686" w14:textId="77777777" w:rsidR="00C854A0" w:rsidRPr="00534ECE" w:rsidRDefault="00C854A0" w:rsidP="00A160EF">
            <w:pPr>
              <w:pStyle w:val="BodyText"/>
              <w:spacing w:before="60" w:after="60"/>
              <w:rPr>
                <w:lang w:val="fr-FR"/>
              </w:rPr>
            </w:pPr>
            <w:proofErr w:type="spellStart"/>
            <w:r w:rsidRPr="00534ECE">
              <w:rPr>
                <w:lang w:val="fr-FR"/>
              </w:rPr>
              <w:t>ARRs</w:t>
            </w:r>
            <w:proofErr w:type="spellEnd"/>
            <w:r w:rsidRPr="00534ECE">
              <w:rPr>
                <w:lang w:val="fr-FR"/>
              </w:rPr>
              <w:t xml:space="preserve"> – section </w:t>
            </w:r>
            <w:r w:rsidRPr="00534ECE">
              <w:t>10</w:t>
            </w:r>
          </w:p>
        </w:tc>
        <w:tc>
          <w:tcPr>
            <w:tcW w:w="1591" w:type="dxa"/>
            <w:shd w:val="clear" w:color="auto" w:fill="auto"/>
          </w:tcPr>
          <w:p w14:paraId="4FAE8537" w14:textId="064CF9DD" w:rsidR="00C854A0" w:rsidRPr="00534ECE" w:rsidRDefault="00CD5D6C" w:rsidP="00A57829">
            <w:pPr>
              <w:pStyle w:val="BodyText"/>
              <w:spacing w:before="60" w:after="60"/>
              <w:jc w:val="right"/>
            </w:pPr>
            <w:r>
              <w:t>6-9</w:t>
            </w:r>
          </w:p>
        </w:tc>
      </w:tr>
      <w:tr w:rsidR="00C854A0" w:rsidRPr="00534ECE" w14:paraId="2088919B" w14:textId="77777777" w:rsidTr="00CC2224">
        <w:trPr>
          <w:cantSplit/>
        </w:trPr>
        <w:tc>
          <w:tcPr>
            <w:tcW w:w="1548" w:type="dxa"/>
            <w:vMerge w:val="restart"/>
          </w:tcPr>
          <w:p w14:paraId="382BFE4E" w14:textId="77777777" w:rsidR="00C854A0" w:rsidRPr="00534ECE" w:rsidRDefault="00C854A0" w:rsidP="00A160EF">
            <w:pPr>
              <w:pStyle w:val="BodyText"/>
              <w:spacing w:before="60" w:after="60"/>
            </w:pPr>
            <w:r w:rsidRPr="00534ECE">
              <w:t>Non-financial performance</w:t>
            </w:r>
          </w:p>
        </w:tc>
        <w:tc>
          <w:tcPr>
            <w:tcW w:w="4264" w:type="dxa"/>
          </w:tcPr>
          <w:p w14:paraId="0AC7C34A" w14:textId="77777777" w:rsidR="00C854A0" w:rsidRPr="00534ECE" w:rsidRDefault="00C854A0" w:rsidP="001D7BC5">
            <w:pPr>
              <w:pStyle w:val="ListParagraph"/>
            </w:pPr>
            <w:r w:rsidRPr="00534ECE">
              <w:t>Government’s objectives for the community</w:t>
            </w:r>
            <w:r>
              <w:t xml:space="preserve"> and whole-of-government plans/specific initiatives</w:t>
            </w:r>
          </w:p>
        </w:tc>
        <w:tc>
          <w:tcPr>
            <w:tcW w:w="2520" w:type="dxa"/>
            <w:shd w:val="clear" w:color="auto" w:fill="auto"/>
          </w:tcPr>
          <w:p w14:paraId="2C9BB644" w14:textId="77777777" w:rsidR="00C854A0" w:rsidRPr="00534ECE" w:rsidRDefault="00C854A0" w:rsidP="00A160EF">
            <w:pPr>
              <w:pStyle w:val="BodyText"/>
              <w:spacing w:before="60" w:after="60"/>
            </w:pPr>
            <w:r w:rsidRPr="00534ECE">
              <w:t>ARRs – section 11.1</w:t>
            </w:r>
          </w:p>
        </w:tc>
        <w:tc>
          <w:tcPr>
            <w:tcW w:w="1591" w:type="dxa"/>
            <w:shd w:val="clear" w:color="auto" w:fill="auto"/>
          </w:tcPr>
          <w:p w14:paraId="6CAC1402" w14:textId="158D844E" w:rsidR="00C854A0" w:rsidRPr="00534ECE" w:rsidRDefault="002A400A" w:rsidP="00A57829">
            <w:pPr>
              <w:pStyle w:val="BodyText"/>
              <w:spacing w:before="60" w:after="60"/>
              <w:jc w:val="right"/>
            </w:pPr>
            <w:r>
              <w:t>10-14</w:t>
            </w:r>
          </w:p>
        </w:tc>
      </w:tr>
      <w:tr w:rsidR="00C854A0" w:rsidRPr="00534ECE" w14:paraId="41954380" w14:textId="77777777" w:rsidTr="00CC2224">
        <w:trPr>
          <w:cantSplit/>
        </w:trPr>
        <w:tc>
          <w:tcPr>
            <w:tcW w:w="1548" w:type="dxa"/>
            <w:vMerge/>
          </w:tcPr>
          <w:p w14:paraId="3246AAF8" w14:textId="77777777" w:rsidR="00C854A0" w:rsidRPr="00534ECE" w:rsidRDefault="00C854A0" w:rsidP="00A160EF">
            <w:pPr>
              <w:pStyle w:val="BodyText"/>
              <w:spacing w:before="60" w:after="60"/>
            </w:pPr>
          </w:p>
        </w:tc>
        <w:tc>
          <w:tcPr>
            <w:tcW w:w="4264" w:type="dxa"/>
          </w:tcPr>
          <w:p w14:paraId="5C19C6C1" w14:textId="77777777" w:rsidR="00C854A0" w:rsidRPr="00534ECE" w:rsidRDefault="00C854A0" w:rsidP="001D7BC5">
            <w:pPr>
              <w:pStyle w:val="ListParagraph"/>
            </w:pPr>
            <w:r w:rsidRPr="00534ECE">
              <w:t>Agency objectives and performance indicators</w:t>
            </w:r>
          </w:p>
        </w:tc>
        <w:tc>
          <w:tcPr>
            <w:tcW w:w="2520" w:type="dxa"/>
            <w:shd w:val="clear" w:color="auto" w:fill="auto"/>
          </w:tcPr>
          <w:p w14:paraId="63EAD212" w14:textId="77777777" w:rsidR="00C854A0" w:rsidRPr="00534ECE" w:rsidRDefault="00C854A0" w:rsidP="00A160EF">
            <w:pPr>
              <w:pStyle w:val="BodyText"/>
              <w:spacing w:before="60" w:after="60"/>
            </w:pPr>
            <w:r w:rsidRPr="00534ECE">
              <w:t>ARRs – section 11.</w:t>
            </w:r>
            <w:r>
              <w:t>2</w:t>
            </w:r>
          </w:p>
        </w:tc>
        <w:tc>
          <w:tcPr>
            <w:tcW w:w="1591" w:type="dxa"/>
            <w:shd w:val="clear" w:color="auto" w:fill="auto"/>
          </w:tcPr>
          <w:p w14:paraId="4289F553" w14:textId="30150A59" w:rsidR="00C854A0" w:rsidRPr="00534ECE" w:rsidRDefault="002A400A" w:rsidP="00A57829">
            <w:pPr>
              <w:pStyle w:val="BodyText"/>
              <w:spacing w:before="60" w:after="60"/>
              <w:jc w:val="right"/>
            </w:pPr>
            <w:r>
              <w:t>17-</w:t>
            </w:r>
            <w:r w:rsidR="00265E7D">
              <w:t>36</w:t>
            </w:r>
          </w:p>
        </w:tc>
      </w:tr>
      <w:tr w:rsidR="00C854A0" w:rsidRPr="00534ECE" w14:paraId="6656C782" w14:textId="77777777" w:rsidTr="00CC2224">
        <w:trPr>
          <w:cantSplit/>
        </w:trPr>
        <w:tc>
          <w:tcPr>
            <w:tcW w:w="1548" w:type="dxa"/>
            <w:vMerge/>
          </w:tcPr>
          <w:p w14:paraId="164B50E1" w14:textId="77777777" w:rsidR="00C854A0" w:rsidRPr="00534ECE" w:rsidRDefault="00C854A0" w:rsidP="00A160EF">
            <w:pPr>
              <w:pStyle w:val="BodyText"/>
              <w:spacing w:before="60" w:after="60"/>
            </w:pPr>
          </w:p>
        </w:tc>
        <w:tc>
          <w:tcPr>
            <w:tcW w:w="4264" w:type="dxa"/>
          </w:tcPr>
          <w:p w14:paraId="626A973C" w14:textId="77777777" w:rsidR="00C854A0" w:rsidRPr="00534ECE" w:rsidRDefault="00C854A0" w:rsidP="001D7BC5">
            <w:pPr>
              <w:pStyle w:val="ListParagraph"/>
            </w:pPr>
            <w:r w:rsidRPr="00534ECE">
              <w:t xml:space="preserve">Agency service areas and service standards </w:t>
            </w:r>
          </w:p>
        </w:tc>
        <w:tc>
          <w:tcPr>
            <w:tcW w:w="2520" w:type="dxa"/>
            <w:shd w:val="clear" w:color="auto" w:fill="auto"/>
          </w:tcPr>
          <w:p w14:paraId="2E38CE49" w14:textId="77777777" w:rsidR="00C854A0" w:rsidRPr="00534ECE" w:rsidRDefault="00C854A0" w:rsidP="00A160EF">
            <w:pPr>
              <w:pStyle w:val="BodyText"/>
              <w:spacing w:before="60" w:after="60"/>
              <w:rPr>
                <w:i/>
              </w:rPr>
            </w:pPr>
            <w:r w:rsidRPr="00534ECE">
              <w:t>ARRs – section 11.</w:t>
            </w:r>
            <w:r>
              <w:t>3</w:t>
            </w:r>
          </w:p>
        </w:tc>
        <w:tc>
          <w:tcPr>
            <w:tcW w:w="1591" w:type="dxa"/>
            <w:shd w:val="clear" w:color="auto" w:fill="auto"/>
          </w:tcPr>
          <w:p w14:paraId="544E992A" w14:textId="0FA3DD00" w:rsidR="00C854A0" w:rsidRPr="00534ECE" w:rsidRDefault="006C1E93" w:rsidP="00A57829">
            <w:pPr>
              <w:pStyle w:val="BodyText"/>
              <w:spacing w:before="60" w:after="60"/>
              <w:jc w:val="right"/>
            </w:pPr>
            <w:r>
              <w:t>50-51</w:t>
            </w:r>
          </w:p>
        </w:tc>
      </w:tr>
      <w:tr w:rsidR="00C854A0" w:rsidRPr="00534ECE" w14:paraId="41CF628D" w14:textId="77777777" w:rsidTr="00CC2224">
        <w:trPr>
          <w:cantSplit/>
        </w:trPr>
        <w:tc>
          <w:tcPr>
            <w:tcW w:w="1548" w:type="dxa"/>
          </w:tcPr>
          <w:p w14:paraId="2A30AB9B" w14:textId="77777777" w:rsidR="00C854A0" w:rsidRPr="00534ECE" w:rsidRDefault="00C854A0" w:rsidP="00A160EF">
            <w:pPr>
              <w:pStyle w:val="BodyText"/>
              <w:spacing w:before="60" w:after="60"/>
            </w:pPr>
            <w:r w:rsidRPr="00534ECE">
              <w:t>Financial performance</w:t>
            </w:r>
          </w:p>
        </w:tc>
        <w:tc>
          <w:tcPr>
            <w:tcW w:w="4264" w:type="dxa"/>
          </w:tcPr>
          <w:p w14:paraId="283429EF" w14:textId="77777777" w:rsidR="00C854A0" w:rsidRPr="00534ECE" w:rsidRDefault="00C854A0" w:rsidP="001D7BC5">
            <w:pPr>
              <w:pStyle w:val="ListParagraph"/>
            </w:pPr>
            <w:r w:rsidRPr="00534ECE">
              <w:t>Summary of financial performance</w:t>
            </w:r>
          </w:p>
        </w:tc>
        <w:tc>
          <w:tcPr>
            <w:tcW w:w="2520" w:type="dxa"/>
            <w:shd w:val="clear" w:color="auto" w:fill="auto"/>
          </w:tcPr>
          <w:p w14:paraId="74397A61" w14:textId="77777777" w:rsidR="00C854A0" w:rsidRPr="00534ECE" w:rsidRDefault="00C854A0" w:rsidP="00A160EF">
            <w:pPr>
              <w:pStyle w:val="BodyText"/>
              <w:spacing w:before="60" w:after="60"/>
            </w:pPr>
            <w:r w:rsidRPr="00534ECE">
              <w:t>ARRs – section 12.1</w:t>
            </w:r>
          </w:p>
        </w:tc>
        <w:tc>
          <w:tcPr>
            <w:tcW w:w="1591" w:type="dxa"/>
            <w:shd w:val="clear" w:color="auto" w:fill="auto"/>
          </w:tcPr>
          <w:p w14:paraId="5C18E328" w14:textId="4F778341" w:rsidR="00C854A0" w:rsidRPr="00534ECE" w:rsidRDefault="00715ADA" w:rsidP="00A57829">
            <w:pPr>
              <w:pStyle w:val="BodyText"/>
              <w:spacing w:before="60" w:after="60"/>
              <w:jc w:val="right"/>
            </w:pPr>
            <w:r>
              <w:t>63-66</w:t>
            </w:r>
          </w:p>
        </w:tc>
      </w:tr>
      <w:tr w:rsidR="00C854A0" w:rsidRPr="00534ECE" w14:paraId="00671C02" w14:textId="77777777" w:rsidTr="00CC2224">
        <w:trPr>
          <w:cantSplit/>
        </w:trPr>
        <w:tc>
          <w:tcPr>
            <w:tcW w:w="1548" w:type="dxa"/>
            <w:vMerge w:val="restart"/>
          </w:tcPr>
          <w:p w14:paraId="4C04A013" w14:textId="77777777" w:rsidR="00C854A0" w:rsidRPr="00534ECE" w:rsidRDefault="00C854A0" w:rsidP="00A160EF">
            <w:pPr>
              <w:pStyle w:val="BodyText"/>
              <w:spacing w:before="60" w:after="60"/>
            </w:pPr>
            <w:r w:rsidRPr="00534ECE">
              <w:t>Governance – management and structure</w:t>
            </w:r>
          </w:p>
        </w:tc>
        <w:tc>
          <w:tcPr>
            <w:tcW w:w="4264" w:type="dxa"/>
          </w:tcPr>
          <w:p w14:paraId="687DE579" w14:textId="77777777" w:rsidR="00C854A0" w:rsidRPr="00534ECE" w:rsidRDefault="00C854A0" w:rsidP="001D7BC5">
            <w:pPr>
              <w:pStyle w:val="ListParagraph"/>
            </w:pPr>
            <w:r w:rsidRPr="00534ECE">
              <w:t xml:space="preserve">Organisational structure </w:t>
            </w:r>
          </w:p>
        </w:tc>
        <w:tc>
          <w:tcPr>
            <w:tcW w:w="2520" w:type="dxa"/>
            <w:shd w:val="clear" w:color="auto" w:fill="auto"/>
          </w:tcPr>
          <w:p w14:paraId="40D9345D" w14:textId="77777777" w:rsidR="00C854A0" w:rsidRPr="00534ECE" w:rsidRDefault="00C854A0" w:rsidP="00A160EF">
            <w:pPr>
              <w:pStyle w:val="BodyText"/>
              <w:spacing w:before="60" w:after="60"/>
            </w:pPr>
            <w:r w:rsidRPr="00534ECE">
              <w:t>ARRs – section 13.1</w:t>
            </w:r>
          </w:p>
        </w:tc>
        <w:tc>
          <w:tcPr>
            <w:tcW w:w="1591" w:type="dxa"/>
            <w:shd w:val="clear" w:color="auto" w:fill="auto"/>
          </w:tcPr>
          <w:p w14:paraId="67BAB2B8" w14:textId="3518F6C7" w:rsidR="00C854A0" w:rsidRPr="00534ECE" w:rsidRDefault="00C10F97" w:rsidP="00A57829">
            <w:pPr>
              <w:pStyle w:val="BodyText"/>
              <w:spacing w:before="60" w:after="60"/>
              <w:jc w:val="right"/>
            </w:pPr>
            <w:r>
              <w:t>16</w:t>
            </w:r>
          </w:p>
        </w:tc>
      </w:tr>
      <w:tr w:rsidR="00C854A0" w:rsidRPr="00534ECE" w14:paraId="79018FDF" w14:textId="77777777" w:rsidTr="00CC2224">
        <w:trPr>
          <w:cantSplit/>
        </w:trPr>
        <w:tc>
          <w:tcPr>
            <w:tcW w:w="1548" w:type="dxa"/>
            <w:vMerge/>
          </w:tcPr>
          <w:p w14:paraId="0EAA2011" w14:textId="77777777" w:rsidR="00C854A0" w:rsidRPr="00534ECE" w:rsidRDefault="00C854A0" w:rsidP="00A160EF">
            <w:pPr>
              <w:pStyle w:val="BodyText"/>
              <w:spacing w:before="60" w:after="60"/>
            </w:pPr>
          </w:p>
        </w:tc>
        <w:tc>
          <w:tcPr>
            <w:tcW w:w="4264" w:type="dxa"/>
          </w:tcPr>
          <w:p w14:paraId="2F9CED84" w14:textId="77777777" w:rsidR="00C854A0" w:rsidRPr="00534ECE" w:rsidRDefault="00C854A0" w:rsidP="001D7BC5">
            <w:pPr>
              <w:pStyle w:val="ListParagraph"/>
            </w:pPr>
            <w:r w:rsidRPr="00534ECE">
              <w:t>Executive management</w:t>
            </w:r>
          </w:p>
        </w:tc>
        <w:tc>
          <w:tcPr>
            <w:tcW w:w="2520" w:type="dxa"/>
            <w:shd w:val="clear" w:color="auto" w:fill="auto"/>
          </w:tcPr>
          <w:p w14:paraId="3250B1C8" w14:textId="77777777" w:rsidR="00C854A0" w:rsidRPr="00534ECE" w:rsidRDefault="00C854A0" w:rsidP="00A160EF">
            <w:pPr>
              <w:pStyle w:val="BodyText"/>
              <w:spacing w:before="60" w:after="60"/>
            </w:pPr>
            <w:r w:rsidRPr="00534ECE">
              <w:t>ARRs – section 13.2</w:t>
            </w:r>
          </w:p>
        </w:tc>
        <w:tc>
          <w:tcPr>
            <w:tcW w:w="1591" w:type="dxa"/>
            <w:shd w:val="clear" w:color="auto" w:fill="auto"/>
          </w:tcPr>
          <w:p w14:paraId="5CC126FD" w14:textId="7DB82BDA" w:rsidR="00C854A0" w:rsidRPr="00534ECE" w:rsidRDefault="004E6E0B" w:rsidP="00A57829">
            <w:pPr>
              <w:pStyle w:val="BodyText"/>
              <w:spacing w:before="60" w:after="60"/>
              <w:jc w:val="right"/>
            </w:pPr>
            <w:r>
              <w:t>43-45</w:t>
            </w:r>
          </w:p>
        </w:tc>
      </w:tr>
      <w:tr w:rsidR="00C854A0" w:rsidRPr="00534ECE" w14:paraId="4CA8AB4C" w14:textId="77777777" w:rsidTr="00CC2224">
        <w:trPr>
          <w:cantSplit/>
        </w:trPr>
        <w:tc>
          <w:tcPr>
            <w:tcW w:w="1548" w:type="dxa"/>
            <w:vMerge/>
          </w:tcPr>
          <w:p w14:paraId="4BF967A8" w14:textId="77777777" w:rsidR="00C854A0" w:rsidRPr="00534ECE" w:rsidRDefault="00C854A0" w:rsidP="00A160EF">
            <w:pPr>
              <w:pStyle w:val="BodyText"/>
              <w:spacing w:before="60" w:after="60"/>
            </w:pPr>
          </w:p>
        </w:tc>
        <w:tc>
          <w:tcPr>
            <w:tcW w:w="4264" w:type="dxa"/>
          </w:tcPr>
          <w:p w14:paraId="3A0A656F" w14:textId="77777777" w:rsidR="00C854A0" w:rsidRPr="00534ECE" w:rsidRDefault="00C854A0" w:rsidP="001D7BC5">
            <w:pPr>
              <w:pStyle w:val="ListParagraph"/>
            </w:pPr>
            <w:r w:rsidRPr="00534ECE">
              <w:t>Government bodies (statutory bodies and other entities)</w:t>
            </w:r>
          </w:p>
        </w:tc>
        <w:tc>
          <w:tcPr>
            <w:tcW w:w="2520" w:type="dxa"/>
            <w:shd w:val="clear" w:color="auto" w:fill="auto"/>
          </w:tcPr>
          <w:p w14:paraId="3BE21F27" w14:textId="77777777" w:rsidR="00C854A0" w:rsidRPr="00534ECE" w:rsidRDefault="00C854A0" w:rsidP="00A160EF">
            <w:pPr>
              <w:pStyle w:val="BodyText"/>
              <w:spacing w:before="60" w:after="60"/>
            </w:pPr>
            <w:r w:rsidRPr="00534ECE">
              <w:t>ARRs – section 13.3</w:t>
            </w:r>
          </w:p>
        </w:tc>
        <w:tc>
          <w:tcPr>
            <w:tcW w:w="1591" w:type="dxa"/>
            <w:shd w:val="clear" w:color="auto" w:fill="auto"/>
          </w:tcPr>
          <w:p w14:paraId="6CD1EE1C" w14:textId="373E47FE" w:rsidR="00C854A0" w:rsidRPr="00534ECE" w:rsidRDefault="00B9595D" w:rsidP="00A57829">
            <w:pPr>
              <w:pStyle w:val="BodyText"/>
              <w:spacing w:before="60" w:after="60"/>
              <w:jc w:val="right"/>
            </w:pPr>
            <w:r>
              <w:t>52-54</w:t>
            </w:r>
          </w:p>
        </w:tc>
      </w:tr>
      <w:tr w:rsidR="00C854A0" w:rsidRPr="00534ECE" w14:paraId="0287E5DE" w14:textId="77777777" w:rsidTr="00CC2224">
        <w:trPr>
          <w:cantSplit/>
        </w:trPr>
        <w:tc>
          <w:tcPr>
            <w:tcW w:w="1548" w:type="dxa"/>
            <w:vMerge/>
          </w:tcPr>
          <w:p w14:paraId="7DC057A6" w14:textId="77777777" w:rsidR="00C854A0" w:rsidRPr="00534ECE" w:rsidRDefault="00C854A0" w:rsidP="00A160EF">
            <w:pPr>
              <w:pStyle w:val="BodyText"/>
              <w:spacing w:before="60" w:after="60"/>
            </w:pPr>
          </w:p>
        </w:tc>
        <w:tc>
          <w:tcPr>
            <w:tcW w:w="4264" w:type="dxa"/>
          </w:tcPr>
          <w:p w14:paraId="56EF81BA" w14:textId="77777777" w:rsidR="00C854A0" w:rsidRPr="00534ECE" w:rsidRDefault="00C854A0" w:rsidP="001D7BC5">
            <w:pPr>
              <w:pStyle w:val="ListParagraph"/>
              <w:rPr>
                <w:i/>
              </w:rPr>
            </w:pPr>
            <w:r w:rsidRPr="00872128">
              <w:t>Public Sector Ethics</w:t>
            </w:r>
            <w:r w:rsidRPr="00534ECE">
              <w:rPr>
                <w:i/>
              </w:rPr>
              <w:t xml:space="preserve"> </w:t>
            </w:r>
          </w:p>
        </w:tc>
        <w:tc>
          <w:tcPr>
            <w:tcW w:w="2520" w:type="dxa"/>
            <w:shd w:val="clear" w:color="auto" w:fill="auto"/>
          </w:tcPr>
          <w:p w14:paraId="3D509151" w14:textId="77777777" w:rsidR="00C854A0" w:rsidRPr="00464D01" w:rsidRDefault="00C854A0" w:rsidP="00A160EF">
            <w:pPr>
              <w:pStyle w:val="BodyText"/>
              <w:spacing w:before="60" w:after="60"/>
              <w:rPr>
                <w:i/>
                <w:iCs/>
              </w:rPr>
            </w:pPr>
            <w:r w:rsidRPr="00464D01">
              <w:rPr>
                <w:i/>
                <w:iCs/>
              </w:rPr>
              <w:t>Public Sector Ethics Act 1994</w:t>
            </w:r>
          </w:p>
          <w:p w14:paraId="56E3949C" w14:textId="77777777" w:rsidR="00C854A0" w:rsidRPr="00534ECE" w:rsidRDefault="00C854A0" w:rsidP="00A160EF">
            <w:pPr>
              <w:pStyle w:val="BodyText"/>
              <w:spacing w:before="60" w:after="60"/>
            </w:pPr>
            <w:r w:rsidRPr="00534ECE">
              <w:t>ARRs – section 13.4</w:t>
            </w:r>
          </w:p>
        </w:tc>
        <w:tc>
          <w:tcPr>
            <w:tcW w:w="1591" w:type="dxa"/>
            <w:shd w:val="clear" w:color="auto" w:fill="auto"/>
          </w:tcPr>
          <w:p w14:paraId="73C909BF" w14:textId="5ED3D356" w:rsidR="00C854A0" w:rsidRPr="00534ECE" w:rsidRDefault="007F02B5" w:rsidP="00A57829">
            <w:pPr>
              <w:pStyle w:val="BodyText"/>
              <w:spacing w:before="60" w:after="60"/>
              <w:jc w:val="right"/>
            </w:pPr>
            <w:r>
              <w:t>46</w:t>
            </w:r>
          </w:p>
        </w:tc>
      </w:tr>
      <w:tr w:rsidR="00C854A0" w:rsidRPr="00534ECE" w14:paraId="0C2AFBDF" w14:textId="77777777" w:rsidTr="00CC2224">
        <w:trPr>
          <w:cantSplit/>
        </w:trPr>
        <w:tc>
          <w:tcPr>
            <w:tcW w:w="1548" w:type="dxa"/>
            <w:vMerge/>
          </w:tcPr>
          <w:p w14:paraId="328A2454" w14:textId="77777777" w:rsidR="00C854A0" w:rsidRPr="00534ECE" w:rsidRDefault="00C854A0" w:rsidP="00A160EF">
            <w:pPr>
              <w:pStyle w:val="BodyText"/>
              <w:spacing w:before="60" w:after="60"/>
            </w:pPr>
          </w:p>
        </w:tc>
        <w:tc>
          <w:tcPr>
            <w:tcW w:w="4264" w:type="dxa"/>
          </w:tcPr>
          <w:p w14:paraId="78A08A93" w14:textId="77777777" w:rsidR="00C854A0" w:rsidRPr="00872128" w:rsidRDefault="00C854A0" w:rsidP="001D7BC5">
            <w:pPr>
              <w:pStyle w:val="ListParagraph"/>
            </w:pPr>
            <w:r w:rsidRPr="00872128">
              <w:t xml:space="preserve">Human Rights </w:t>
            </w:r>
          </w:p>
        </w:tc>
        <w:tc>
          <w:tcPr>
            <w:tcW w:w="2520" w:type="dxa"/>
            <w:shd w:val="clear" w:color="auto" w:fill="auto"/>
          </w:tcPr>
          <w:p w14:paraId="41F11500" w14:textId="77777777" w:rsidR="00C854A0" w:rsidRPr="003C743A" w:rsidRDefault="00C854A0" w:rsidP="00A160EF">
            <w:pPr>
              <w:pStyle w:val="BodyText"/>
              <w:spacing w:before="60" w:after="60"/>
              <w:rPr>
                <w:i/>
                <w:iCs/>
              </w:rPr>
            </w:pPr>
            <w:r w:rsidRPr="003C743A">
              <w:rPr>
                <w:i/>
                <w:iCs/>
              </w:rPr>
              <w:t>Human Rights Act 2019</w:t>
            </w:r>
          </w:p>
          <w:p w14:paraId="58BF748B" w14:textId="77777777" w:rsidR="00C854A0" w:rsidRPr="00534ECE" w:rsidRDefault="00C854A0" w:rsidP="00A160EF">
            <w:pPr>
              <w:pStyle w:val="BodyText"/>
              <w:spacing w:before="60" w:after="60"/>
            </w:pPr>
            <w:r>
              <w:t>ARRs – section 13.5</w:t>
            </w:r>
          </w:p>
        </w:tc>
        <w:tc>
          <w:tcPr>
            <w:tcW w:w="1591" w:type="dxa"/>
            <w:shd w:val="clear" w:color="auto" w:fill="auto"/>
          </w:tcPr>
          <w:p w14:paraId="43E6E6A4" w14:textId="4729EFC7" w:rsidR="00C854A0" w:rsidRPr="00534ECE" w:rsidRDefault="00A57829" w:rsidP="00A57829">
            <w:pPr>
              <w:pStyle w:val="BodyText"/>
              <w:spacing w:before="60" w:after="60"/>
              <w:jc w:val="right"/>
            </w:pPr>
            <w:r>
              <w:t>41</w:t>
            </w:r>
          </w:p>
        </w:tc>
      </w:tr>
      <w:tr w:rsidR="00C854A0" w:rsidRPr="00534ECE" w14:paraId="71E8DC93" w14:textId="77777777" w:rsidTr="00CC2224">
        <w:trPr>
          <w:cantSplit/>
        </w:trPr>
        <w:tc>
          <w:tcPr>
            <w:tcW w:w="1548" w:type="dxa"/>
            <w:vMerge/>
          </w:tcPr>
          <w:p w14:paraId="680D48C4" w14:textId="77777777" w:rsidR="00C854A0" w:rsidRPr="00534ECE" w:rsidRDefault="00C854A0" w:rsidP="00A160EF">
            <w:pPr>
              <w:pStyle w:val="BodyText"/>
              <w:spacing w:before="60" w:after="60"/>
            </w:pPr>
          </w:p>
        </w:tc>
        <w:tc>
          <w:tcPr>
            <w:tcW w:w="4264" w:type="dxa"/>
          </w:tcPr>
          <w:p w14:paraId="60AD6E3A" w14:textId="77777777" w:rsidR="00C854A0" w:rsidRPr="00534ECE" w:rsidRDefault="00C854A0" w:rsidP="001D7BC5">
            <w:pPr>
              <w:pStyle w:val="ListParagraph"/>
              <w:rPr>
                <w:i/>
              </w:rPr>
            </w:pPr>
            <w:r w:rsidRPr="00534ECE">
              <w:t>Queensland public service values</w:t>
            </w:r>
          </w:p>
        </w:tc>
        <w:tc>
          <w:tcPr>
            <w:tcW w:w="2520" w:type="dxa"/>
            <w:shd w:val="clear" w:color="auto" w:fill="auto"/>
          </w:tcPr>
          <w:p w14:paraId="786A9DE7" w14:textId="77777777" w:rsidR="00C854A0" w:rsidRPr="00534ECE" w:rsidRDefault="00C854A0" w:rsidP="00A160EF">
            <w:pPr>
              <w:pStyle w:val="BodyText"/>
              <w:spacing w:before="60" w:after="60"/>
              <w:rPr>
                <w:i/>
              </w:rPr>
            </w:pPr>
            <w:r w:rsidRPr="00534ECE">
              <w:t>ARRs – section 13.</w:t>
            </w:r>
            <w:r>
              <w:t>6</w:t>
            </w:r>
          </w:p>
        </w:tc>
        <w:tc>
          <w:tcPr>
            <w:tcW w:w="1591" w:type="dxa"/>
            <w:shd w:val="clear" w:color="auto" w:fill="auto"/>
          </w:tcPr>
          <w:p w14:paraId="2D38AA45" w14:textId="4D6A9AE9" w:rsidR="00C854A0" w:rsidRPr="00534ECE" w:rsidRDefault="009A60A9" w:rsidP="00A160EF">
            <w:pPr>
              <w:pStyle w:val="BodyText"/>
              <w:spacing w:before="60" w:after="60"/>
            </w:pPr>
            <w:r>
              <w:t>13</w:t>
            </w:r>
          </w:p>
        </w:tc>
      </w:tr>
      <w:tr w:rsidR="00C854A0" w:rsidRPr="00534ECE" w14:paraId="1F0D53AB" w14:textId="77777777" w:rsidTr="00CC2224">
        <w:trPr>
          <w:cantSplit/>
        </w:trPr>
        <w:tc>
          <w:tcPr>
            <w:tcW w:w="1548" w:type="dxa"/>
            <w:vMerge w:val="restart"/>
          </w:tcPr>
          <w:p w14:paraId="0D62E67F" w14:textId="77777777" w:rsidR="00C854A0" w:rsidRPr="00534ECE" w:rsidRDefault="00C854A0" w:rsidP="00A160EF">
            <w:pPr>
              <w:pStyle w:val="BodyText"/>
              <w:spacing w:before="60" w:after="60"/>
            </w:pPr>
            <w:r w:rsidRPr="00534ECE">
              <w:t>Governance – risk management and accountability</w:t>
            </w:r>
          </w:p>
        </w:tc>
        <w:tc>
          <w:tcPr>
            <w:tcW w:w="4264" w:type="dxa"/>
          </w:tcPr>
          <w:p w14:paraId="2631499D" w14:textId="77777777" w:rsidR="00C854A0" w:rsidRPr="00534ECE" w:rsidRDefault="00C854A0" w:rsidP="001D7BC5">
            <w:pPr>
              <w:pStyle w:val="ListParagraph"/>
            </w:pPr>
            <w:r w:rsidRPr="00534ECE">
              <w:t>Risk management</w:t>
            </w:r>
          </w:p>
        </w:tc>
        <w:tc>
          <w:tcPr>
            <w:tcW w:w="2520" w:type="dxa"/>
            <w:shd w:val="clear" w:color="auto" w:fill="auto"/>
          </w:tcPr>
          <w:p w14:paraId="4BE1DDB5" w14:textId="77777777" w:rsidR="00C854A0" w:rsidRPr="00534ECE" w:rsidRDefault="00C854A0" w:rsidP="00A160EF">
            <w:pPr>
              <w:pStyle w:val="BodyText"/>
              <w:spacing w:before="60" w:after="60"/>
            </w:pPr>
            <w:r w:rsidRPr="00534ECE">
              <w:t>ARRs – section 14.1</w:t>
            </w:r>
          </w:p>
        </w:tc>
        <w:tc>
          <w:tcPr>
            <w:tcW w:w="1591" w:type="dxa"/>
            <w:shd w:val="clear" w:color="auto" w:fill="auto"/>
          </w:tcPr>
          <w:p w14:paraId="33034225" w14:textId="5526E8CF" w:rsidR="00C854A0" w:rsidRPr="00534ECE" w:rsidRDefault="00322A72" w:rsidP="00A160EF">
            <w:pPr>
              <w:pStyle w:val="BodyText"/>
              <w:spacing w:before="60" w:after="60"/>
            </w:pPr>
            <w:r>
              <w:t>47</w:t>
            </w:r>
          </w:p>
        </w:tc>
      </w:tr>
      <w:tr w:rsidR="00C854A0" w:rsidRPr="00534ECE" w14:paraId="23BB882A" w14:textId="77777777" w:rsidTr="00CC2224">
        <w:trPr>
          <w:cantSplit/>
        </w:trPr>
        <w:tc>
          <w:tcPr>
            <w:tcW w:w="1548" w:type="dxa"/>
            <w:vMerge/>
          </w:tcPr>
          <w:p w14:paraId="5D4F92DF" w14:textId="77777777" w:rsidR="00C854A0" w:rsidRPr="00534ECE" w:rsidRDefault="00C854A0" w:rsidP="00A160EF">
            <w:pPr>
              <w:pStyle w:val="BodyText"/>
              <w:spacing w:before="60" w:after="60"/>
            </w:pPr>
          </w:p>
        </w:tc>
        <w:tc>
          <w:tcPr>
            <w:tcW w:w="4264" w:type="dxa"/>
          </w:tcPr>
          <w:p w14:paraId="50C2675A" w14:textId="77777777" w:rsidR="00C854A0" w:rsidRPr="00534ECE" w:rsidRDefault="00C854A0" w:rsidP="001D7BC5">
            <w:pPr>
              <w:pStyle w:val="ListParagraph"/>
            </w:pPr>
            <w:r w:rsidRPr="00534ECE">
              <w:t>Audit committee</w:t>
            </w:r>
          </w:p>
        </w:tc>
        <w:tc>
          <w:tcPr>
            <w:tcW w:w="2520" w:type="dxa"/>
            <w:shd w:val="clear" w:color="auto" w:fill="auto"/>
          </w:tcPr>
          <w:p w14:paraId="4D03C894" w14:textId="77777777" w:rsidR="00C854A0" w:rsidRPr="00534ECE" w:rsidRDefault="00C854A0" w:rsidP="00A160EF">
            <w:pPr>
              <w:pStyle w:val="BodyText"/>
              <w:spacing w:before="60" w:after="60"/>
            </w:pPr>
            <w:r w:rsidRPr="00534ECE">
              <w:t>ARRs – section 14.2</w:t>
            </w:r>
          </w:p>
        </w:tc>
        <w:tc>
          <w:tcPr>
            <w:tcW w:w="1591" w:type="dxa"/>
            <w:shd w:val="clear" w:color="auto" w:fill="auto"/>
          </w:tcPr>
          <w:p w14:paraId="2532AA49" w14:textId="47EDD89A" w:rsidR="00C854A0" w:rsidRPr="00534ECE" w:rsidRDefault="00811399" w:rsidP="00A160EF">
            <w:pPr>
              <w:pStyle w:val="BodyText"/>
              <w:spacing w:before="60" w:after="60"/>
            </w:pPr>
            <w:r>
              <w:t>45</w:t>
            </w:r>
          </w:p>
        </w:tc>
      </w:tr>
      <w:tr w:rsidR="00C854A0" w:rsidRPr="00534ECE" w14:paraId="07803D4F" w14:textId="77777777" w:rsidTr="00CC2224">
        <w:trPr>
          <w:cantSplit/>
          <w:trHeight w:val="422"/>
        </w:trPr>
        <w:tc>
          <w:tcPr>
            <w:tcW w:w="1548" w:type="dxa"/>
            <w:vMerge/>
          </w:tcPr>
          <w:p w14:paraId="6C637E55" w14:textId="77777777" w:rsidR="00C854A0" w:rsidRPr="00534ECE" w:rsidRDefault="00C854A0" w:rsidP="00A160EF">
            <w:pPr>
              <w:pStyle w:val="BodyText"/>
              <w:spacing w:before="60" w:after="60"/>
            </w:pPr>
          </w:p>
        </w:tc>
        <w:tc>
          <w:tcPr>
            <w:tcW w:w="4264" w:type="dxa"/>
          </w:tcPr>
          <w:p w14:paraId="3FF2833B" w14:textId="77777777" w:rsidR="00C854A0" w:rsidRPr="00534ECE" w:rsidRDefault="00C854A0" w:rsidP="001D7BC5">
            <w:pPr>
              <w:pStyle w:val="ListParagraph"/>
            </w:pPr>
            <w:r w:rsidRPr="00534ECE">
              <w:t>Internal audit</w:t>
            </w:r>
          </w:p>
        </w:tc>
        <w:tc>
          <w:tcPr>
            <w:tcW w:w="2520" w:type="dxa"/>
            <w:shd w:val="clear" w:color="auto" w:fill="auto"/>
          </w:tcPr>
          <w:p w14:paraId="55A14E1E" w14:textId="77777777" w:rsidR="00C854A0" w:rsidRPr="00534ECE" w:rsidRDefault="00C854A0" w:rsidP="00A160EF">
            <w:pPr>
              <w:pStyle w:val="BodyText"/>
              <w:spacing w:before="60" w:after="60"/>
            </w:pPr>
            <w:r w:rsidRPr="00534ECE">
              <w:t>ARRs – section 14.3</w:t>
            </w:r>
          </w:p>
        </w:tc>
        <w:tc>
          <w:tcPr>
            <w:tcW w:w="1591" w:type="dxa"/>
            <w:shd w:val="clear" w:color="auto" w:fill="auto"/>
          </w:tcPr>
          <w:p w14:paraId="283EAD04" w14:textId="05F02974" w:rsidR="00C854A0" w:rsidRPr="00534ECE" w:rsidRDefault="00811399" w:rsidP="00A160EF">
            <w:pPr>
              <w:pStyle w:val="BodyText"/>
              <w:spacing w:before="60" w:after="60"/>
            </w:pPr>
            <w:r>
              <w:t>48</w:t>
            </w:r>
          </w:p>
        </w:tc>
      </w:tr>
      <w:tr w:rsidR="00C854A0" w:rsidRPr="00534ECE" w14:paraId="5D3F6526" w14:textId="77777777" w:rsidTr="00CC2224">
        <w:trPr>
          <w:cantSplit/>
          <w:trHeight w:val="422"/>
        </w:trPr>
        <w:tc>
          <w:tcPr>
            <w:tcW w:w="1548" w:type="dxa"/>
            <w:vMerge/>
          </w:tcPr>
          <w:p w14:paraId="5DBCC4C8" w14:textId="77777777" w:rsidR="00C854A0" w:rsidRPr="00534ECE" w:rsidRDefault="00C854A0" w:rsidP="00A160EF">
            <w:pPr>
              <w:pStyle w:val="BodyText"/>
              <w:spacing w:before="60" w:after="60"/>
            </w:pPr>
          </w:p>
        </w:tc>
        <w:tc>
          <w:tcPr>
            <w:tcW w:w="4264" w:type="dxa"/>
          </w:tcPr>
          <w:p w14:paraId="2DD618A1" w14:textId="77777777" w:rsidR="00C854A0" w:rsidRPr="00534ECE" w:rsidRDefault="00C854A0" w:rsidP="001D7BC5">
            <w:pPr>
              <w:pStyle w:val="ListParagraph"/>
            </w:pPr>
            <w:r w:rsidRPr="00534ECE">
              <w:t>External scrutiny</w:t>
            </w:r>
          </w:p>
        </w:tc>
        <w:tc>
          <w:tcPr>
            <w:tcW w:w="2520" w:type="dxa"/>
            <w:shd w:val="clear" w:color="auto" w:fill="auto"/>
          </w:tcPr>
          <w:p w14:paraId="097BA884" w14:textId="77777777" w:rsidR="00C854A0" w:rsidRPr="00534ECE" w:rsidRDefault="00C854A0" w:rsidP="00A160EF">
            <w:pPr>
              <w:pStyle w:val="BodyText"/>
              <w:spacing w:before="60" w:after="60"/>
            </w:pPr>
            <w:r w:rsidRPr="00534ECE">
              <w:t>ARRs – section 14.4</w:t>
            </w:r>
          </w:p>
        </w:tc>
        <w:tc>
          <w:tcPr>
            <w:tcW w:w="1591" w:type="dxa"/>
            <w:shd w:val="clear" w:color="auto" w:fill="auto"/>
          </w:tcPr>
          <w:p w14:paraId="67FC8321" w14:textId="2A1AC4BD" w:rsidR="00C854A0" w:rsidRPr="00534ECE" w:rsidRDefault="00ED2A55" w:rsidP="00A160EF">
            <w:pPr>
              <w:pStyle w:val="BodyText"/>
              <w:spacing w:before="60" w:after="60"/>
            </w:pPr>
            <w:r>
              <w:t>49</w:t>
            </w:r>
          </w:p>
        </w:tc>
      </w:tr>
      <w:tr w:rsidR="00C854A0" w:rsidRPr="00534ECE" w14:paraId="02183D86" w14:textId="77777777" w:rsidTr="00CC2224">
        <w:trPr>
          <w:cantSplit/>
          <w:trHeight w:val="422"/>
        </w:trPr>
        <w:tc>
          <w:tcPr>
            <w:tcW w:w="1548" w:type="dxa"/>
            <w:vMerge/>
          </w:tcPr>
          <w:p w14:paraId="64184CAD" w14:textId="77777777" w:rsidR="00C854A0" w:rsidRPr="00534ECE" w:rsidRDefault="00C854A0" w:rsidP="00A160EF">
            <w:pPr>
              <w:pStyle w:val="BodyText"/>
              <w:spacing w:before="60" w:after="60"/>
            </w:pPr>
          </w:p>
        </w:tc>
        <w:tc>
          <w:tcPr>
            <w:tcW w:w="4264" w:type="dxa"/>
          </w:tcPr>
          <w:p w14:paraId="13427BF1" w14:textId="77777777" w:rsidR="00C854A0" w:rsidRPr="00534ECE" w:rsidRDefault="00C854A0" w:rsidP="001D7BC5">
            <w:pPr>
              <w:pStyle w:val="ListParagraph"/>
            </w:pPr>
            <w:r w:rsidRPr="00534ECE">
              <w:t>Information systems and recordkeeping</w:t>
            </w:r>
          </w:p>
        </w:tc>
        <w:tc>
          <w:tcPr>
            <w:tcW w:w="2520" w:type="dxa"/>
            <w:shd w:val="clear" w:color="auto" w:fill="auto"/>
          </w:tcPr>
          <w:p w14:paraId="78998006" w14:textId="77777777" w:rsidR="00C854A0" w:rsidRPr="00534ECE" w:rsidRDefault="00C854A0" w:rsidP="00A160EF">
            <w:pPr>
              <w:pStyle w:val="BodyText"/>
              <w:spacing w:before="60" w:after="60"/>
            </w:pPr>
            <w:r w:rsidRPr="00534ECE">
              <w:t>ARRs – section 14.5</w:t>
            </w:r>
          </w:p>
        </w:tc>
        <w:tc>
          <w:tcPr>
            <w:tcW w:w="1591" w:type="dxa"/>
            <w:shd w:val="clear" w:color="auto" w:fill="auto"/>
          </w:tcPr>
          <w:p w14:paraId="33D15E37" w14:textId="63F22708" w:rsidR="00C854A0" w:rsidRPr="00534ECE" w:rsidRDefault="00A42045" w:rsidP="00A160EF">
            <w:pPr>
              <w:pStyle w:val="BodyText"/>
              <w:spacing w:before="60" w:after="60"/>
            </w:pPr>
            <w:r>
              <w:t>48</w:t>
            </w:r>
          </w:p>
        </w:tc>
      </w:tr>
      <w:tr w:rsidR="00C854A0" w:rsidRPr="00534ECE" w14:paraId="0EC7593B" w14:textId="77777777" w:rsidTr="00CC2224">
        <w:trPr>
          <w:cantSplit/>
          <w:trHeight w:val="422"/>
        </w:trPr>
        <w:tc>
          <w:tcPr>
            <w:tcW w:w="1548" w:type="dxa"/>
            <w:vMerge/>
          </w:tcPr>
          <w:p w14:paraId="76FCF37A" w14:textId="77777777" w:rsidR="00C854A0" w:rsidRPr="00534ECE" w:rsidRDefault="00C854A0" w:rsidP="00A160EF">
            <w:pPr>
              <w:pStyle w:val="BodyText"/>
              <w:spacing w:before="60" w:after="60"/>
            </w:pPr>
          </w:p>
        </w:tc>
        <w:tc>
          <w:tcPr>
            <w:tcW w:w="4264" w:type="dxa"/>
          </w:tcPr>
          <w:p w14:paraId="61157932" w14:textId="77777777" w:rsidR="00C854A0" w:rsidRPr="00534ECE" w:rsidRDefault="00C854A0" w:rsidP="001D7BC5">
            <w:pPr>
              <w:pStyle w:val="ListParagraph"/>
            </w:pPr>
            <w:r>
              <w:t>Information Security attestation</w:t>
            </w:r>
          </w:p>
        </w:tc>
        <w:tc>
          <w:tcPr>
            <w:tcW w:w="2520" w:type="dxa"/>
            <w:shd w:val="clear" w:color="auto" w:fill="auto"/>
          </w:tcPr>
          <w:p w14:paraId="0FD756E6" w14:textId="77777777" w:rsidR="00C854A0" w:rsidRPr="00534ECE" w:rsidRDefault="00C854A0" w:rsidP="00A160EF">
            <w:pPr>
              <w:pStyle w:val="BodyText"/>
              <w:spacing w:before="60" w:after="60"/>
            </w:pPr>
            <w:r>
              <w:t>ARRs – section 14.6</w:t>
            </w:r>
          </w:p>
        </w:tc>
        <w:tc>
          <w:tcPr>
            <w:tcW w:w="1591" w:type="dxa"/>
            <w:shd w:val="clear" w:color="auto" w:fill="auto"/>
          </w:tcPr>
          <w:p w14:paraId="532D5FF7" w14:textId="39056E61" w:rsidR="00C854A0" w:rsidRPr="00534ECE" w:rsidRDefault="00A42045" w:rsidP="00A160EF">
            <w:pPr>
              <w:pStyle w:val="BodyText"/>
              <w:spacing w:before="60" w:after="60"/>
            </w:pPr>
            <w:r>
              <w:t>48-49</w:t>
            </w:r>
          </w:p>
        </w:tc>
      </w:tr>
      <w:tr w:rsidR="00C854A0" w:rsidRPr="00534ECE" w14:paraId="74F1F756" w14:textId="77777777" w:rsidTr="00CC2224">
        <w:trPr>
          <w:cantSplit/>
        </w:trPr>
        <w:tc>
          <w:tcPr>
            <w:tcW w:w="1548" w:type="dxa"/>
            <w:vMerge w:val="restart"/>
          </w:tcPr>
          <w:p w14:paraId="10B6DF63" w14:textId="77777777" w:rsidR="00C854A0" w:rsidRPr="00534ECE" w:rsidRDefault="00C854A0" w:rsidP="00A160EF">
            <w:pPr>
              <w:pStyle w:val="BodyText"/>
              <w:spacing w:before="60" w:after="60"/>
            </w:pPr>
            <w:r w:rsidRPr="00534ECE">
              <w:t>Governance – human resources</w:t>
            </w:r>
          </w:p>
        </w:tc>
        <w:tc>
          <w:tcPr>
            <w:tcW w:w="4264" w:type="dxa"/>
          </w:tcPr>
          <w:p w14:paraId="52A4A039" w14:textId="77777777" w:rsidR="00C854A0" w:rsidRPr="00534ECE" w:rsidRDefault="00C854A0" w:rsidP="001D7BC5">
            <w:pPr>
              <w:pStyle w:val="ListParagraph"/>
            </w:pPr>
            <w:r w:rsidRPr="00534ECE">
              <w:t>Strategic workforce planning and performance</w:t>
            </w:r>
          </w:p>
        </w:tc>
        <w:tc>
          <w:tcPr>
            <w:tcW w:w="2520" w:type="dxa"/>
            <w:shd w:val="clear" w:color="auto" w:fill="auto"/>
          </w:tcPr>
          <w:p w14:paraId="10A37A95" w14:textId="77777777" w:rsidR="00C854A0" w:rsidRPr="00534ECE" w:rsidRDefault="00C854A0" w:rsidP="00A160EF">
            <w:pPr>
              <w:pStyle w:val="BodyText"/>
              <w:spacing w:before="60" w:after="60"/>
            </w:pPr>
            <w:r w:rsidRPr="00534ECE">
              <w:t>ARRs – section 15.1</w:t>
            </w:r>
          </w:p>
        </w:tc>
        <w:tc>
          <w:tcPr>
            <w:tcW w:w="1591" w:type="dxa"/>
            <w:shd w:val="clear" w:color="auto" w:fill="auto"/>
          </w:tcPr>
          <w:p w14:paraId="6AA271BB" w14:textId="6FD50862" w:rsidR="00C854A0" w:rsidRPr="00534ECE" w:rsidRDefault="000A2417" w:rsidP="00A160EF">
            <w:pPr>
              <w:pStyle w:val="BodyText"/>
              <w:spacing w:before="60" w:after="60"/>
            </w:pPr>
            <w:r>
              <w:t>39</w:t>
            </w:r>
          </w:p>
        </w:tc>
      </w:tr>
      <w:tr w:rsidR="00C854A0" w:rsidRPr="00534ECE" w14:paraId="7467CFF9" w14:textId="77777777" w:rsidTr="00CC2224">
        <w:trPr>
          <w:cantSplit/>
        </w:trPr>
        <w:tc>
          <w:tcPr>
            <w:tcW w:w="1548" w:type="dxa"/>
            <w:vMerge/>
          </w:tcPr>
          <w:p w14:paraId="01AA875F" w14:textId="77777777" w:rsidR="00C854A0" w:rsidRPr="00534ECE" w:rsidRDefault="00C854A0" w:rsidP="00A160EF">
            <w:pPr>
              <w:pStyle w:val="BodyText"/>
              <w:spacing w:before="60" w:after="60"/>
            </w:pPr>
          </w:p>
        </w:tc>
        <w:tc>
          <w:tcPr>
            <w:tcW w:w="4264" w:type="dxa"/>
          </w:tcPr>
          <w:p w14:paraId="0617F4FF" w14:textId="77777777" w:rsidR="00C854A0" w:rsidRPr="00534ECE" w:rsidRDefault="00C854A0" w:rsidP="001D7BC5">
            <w:pPr>
              <w:pStyle w:val="ListParagraph"/>
            </w:pPr>
            <w:r w:rsidRPr="00534ECE">
              <w:t xml:space="preserve">Early retirement, </w:t>
            </w:r>
            <w:proofErr w:type="gramStart"/>
            <w:r w:rsidRPr="00534ECE">
              <w:t>redundancy</w:t>
            </w:r>
            <w:proofErr w:type="gramEnd"/>
            <w:r w:rsidRPr="00534ECE">
              <w:t xml:space="preserve"> and retrenchment</w:t>
            </w:r>
          </w:p>
        </w:tc>
        <w:tc>
          <w:tcPr>
            <w:tcW w:w="2520" w:type="dxa"/>
            <w:shd w:val="clear" w:color="auto" w:fill="auto"/>
          </w:tcPr>
          <w:p w14:paraId="601E97EE" w14:textId="77777777" w:rsidR="00C854A0" w:rsidRPr="00534ECE" w:rsidRDefault="00C854A0" w:rsidP="00A160EF">
            <w:pPr>
              <w:pStyle w:val="BodyText"/>
              <w:spacing w:before="60" w:after="60"/>
            </w:pPr>
            <w:r w:rsidRPr="00534ECE">
              <w:t xml:space="preserve">Directive No.04/18 </w:t>
            </w:r>
            <w:r w:rsidRPr="005245D2">
              <w:rPr>
                <w:i/>
                <w:iCs/>
              </w:rPr>
              <w:t>Early Retirement, Redundancy and Retrenchment</w:t>
            </w:r>
            <w:r w:rsidRPr="00534ECE">
              <w:t xml:space="preserve"> </w:t>
            </w:r>
          </w:p>
          <w:p w14:paraId="10B76643" w14:textId="77777777" w:rsidR="00C854A0" w:rsidRPr="00534ECE" w:rsidRDefault="00C854A0" w:rsidP="00A160EF">
            <w:pPr>
              <w:pStyle w:val="BodyText"/>
              <w:spacing w:before="60" w:after="60"/>
            </w:pPr>
            <w:r w:rsidRPr="00534ECE">
              <w:t>ARRs – section 15.2</w:t>
            </w:r>
          </w:p>
        </w:tc>
        <w:tc>
          <w:tcPr>
            <w:tcW w:w="1591" w:type="dxa"/>
            <w:shd w:val="clear" w:color="auto" w:fill="auto"/>
          </w:tcPr>
          <w:p w14:paraId="66DAD69A" w14:textId="71F0F302" w:rsidR="00C854A0" w:rsidRPr="00534ECE" w:rsidRDefault="006C689D" w:rsidP="00A160EF">
            <w:pPr>
              <w:pStyle w:val="BodyText"/>
              <w:spacing w:before="60" w:after="60"/>
            </w:pPr>
            <w:r>
              <w:t>38</w:t>
            </w:r>
          </w:p>
        </w:tc>
      </w:tr>
      <w:tr w:rsidR="00C854A0" w:rsidRPr="00534ECE" w14:paraId="2B58261A" w14:textId="77777777" w:rsidTr="00CC2224">
        <w:trPr>
          <w:cantSplit/>
        </w:trPr>
        <w:tc>
          <w:tcPr>
            <w:tcW w:w="1548" w:type="dxa"/>
            <w:vMerge w:val="restart"/>
          </w:tcPr>
          <w:p w14:paraId="4DA2713A" w14:textId="77777777" w:rsidR="00C854A0" w:rsidRPr="00534ECE" w:rsidRDefault="00C854A0" w:rsidP="00A160EF">
            <w:pPr>
              <w:pStyle w:val="BodyText"/>
              <w:spacing w:before="60" w:after="60"/>
            </w:pPr>
            <w:r w:rsidRPr="00534ECE">
              <w:t>Open Data</w:t>
            </w:r>
          </w:p>
        </w:tc>
        <w:tc>
          <w:tcPr>
            <w:tcW w:w="4264" w:type="dxa"/>
          </w:tcPr>
          <w:p w14:paraId="6BDE9BF4" w14:textId="77777777" w:rsidR="00C854A0" w:rsidRPr="00534ECE" w:rsidRDefault="00C854A0" w:rsidP="001D7BC5">
            <w:pPr>
              <w:pStyle w:val="ListParagraph"/>
            </w:pPr>
            <w:r w:rsidRPr="00534ECE">
              <w:t>Statement advising publication of information</w:t>
            </w:r>
          </w:p>
        </w:tc>
        <w:tc>
          <w:tcPr>
            <w:tcW w:w="2520" w:type="dxa"/>
            <w:shd w:val="clear" w:color="auto" w:fill="auto"/>
          </w:tcPr>
          <w:p w14:paraId="5611D055" w14:textId="77777777" w:rsidR="00C854A0" w:rsidRPr="00534ECE" w:rsidRDefault="00C854A0" w:rsidP="00A160EF">
            <w:pPr>
              <w:pStyle w:val="BodyText"/>
              <w:spacing w:before="60" w:after="60"/>
            </w:pPr>
            <w:r w:rsidRPr="00534ECE">
              <w:t>ARRs – section 16</w:t>
            </w:r>
          </w:p>
        </w:tc>
        <w:tc>
          <w:tcPr>
            <w:tcW w:w="1591" w:type="dxa"/>
            <w:shd w:val="clear" w:color="auto" w:fill="auto"/>
          </w:tcPr>
          <w:p w14:paraId="04722DEA" w14:textId="1AFD2FF2" w:rsidR="00C854A0" w:rsidRPr="00534ECE" w:rsidRDefault="00A50334" w:rsidP="00A160EF">
            <w:pPr>
              <w:pStyle w:val="BodyText"/>
              <w:spacing w:before="60" w:after="60"/>
            </w:pPr>
            <w:r>
              <w:t>4</w:t>
            </w:r>
          </w:p>
        </w:tc>
      </w:tr>
      <w:tr w:rsidR="00C854A0" w:rsidRPr="00534ECE" w14:paraId="3FCE5F0B" w14:textId="77777777" w:rsidTr="00CC2224">
        <w:trPr>
          <w:cantSplit/>
        </w:trPr>
        <w:tc>
          <w:tcPr>
            <w:tcW w:w="1548" w:type="dxa"/>
            <w:vMerge/>
          </w:tcPr>
          <w:p w14:paraId="6FBA80D8" w14:textId="77777777" w:rsidR="00C854A0" w:rsidRPr="00534ECE" w:rsidRDefault="00C854A0" w:rsidP="00A160EF">
            <w:pPr>
              <w:pStyle w:val="BodyText"/>
              <w:spacing w:before="60" w:after="60"/>
            </w:pPr>
          </w:p>
        </w:tc>
        <w:tc>
          <w:tcPr>
            <w:tcW w:w="4264" w:type="dxa"/>
          </w:tcPr>
          <w:p w14:paraId="60EDD0A8" w14:textId="77777777" w:rsidR="00C854A0" w:rsidRPr="00534ECE" w:rsidRDefault="00C854A0" w:rsidP="001D7BC5">
            <w:pPr>
              <w:pStyle w:val="ListParagraph"/>
            </w:pPr>
            <w:r w:rsidRPr="00534ECE">
              <w:t xml:space="preserve">Consultancies </w:t>
            </w:r>
          </w:p>
        </w:tc>
        <w:tc>
          <w:tcPr>
            <w:tcW w:w="2520" w:type="dxa"/>
            <w:shd w:val="clear" w:color="auto" w:fill="auto"/>
          </w:tcPr>
          <w:p w14:paraId="1E6AB658" w14:textId="77777777" w:rsidR="00C854A0" w:rsidRPr="00534ECE" w:rsidRDefault="00C854A0" w:rsidP="00A160EF">
            <w:pPr>
              <w:pStyle w:val="BodyText"/>
              <w:spacing w:before="60" w:after="60"/>
            </w:pPr>
            <w:r w:rsidRPr="00534ECE">
              <w:t>ARRs – section 3</w:t>
            </w:r>
            <w:r>
              <w:t>1</w:t>
            </w:r>
            <w:r w:rsidRPr="00534ECE">
              <w:t>.1</w:t>
            </w:r>
          </w:p>
        </w:tc>
        <w:tc>
          <w:tcPr>
            <w:tcW w:w="1591" w:type="dxa"/>
            <w:shd w:val="clear" w:color="auto" w:fill="auto"/>
          </w:tcPr>
          <w:p w14:paraId="7EE2045D" w14:textId="77777777" w:rsidR="00C854A0" w:rsidRPr="00534ECE" w:rsidRDefault="00C854A0" w:rsidP="00A160EF">
            <w:pPr>
              <w:pStyle w:val="BodyText"/>
              <w:spacing w:before="60" w:after="60"/>
            </w:pPr>
            <w:r w:rsidRPr="00534ECE">
              <w:rPr>
                <w:rStyle w:val="Hyperlink"/>
                <w:rFonts w:cs="Arial"/>
                <w:sz w:val="12"/>
                <w:szCs w:val="12"/>
              </w:rPr>
              <w:t>https://data.qld.gov.au</w:t>
            </w:r>
          </w:p>
        </w:tc>
      </w:tr>
      <w:tr w:rsidR="00C854A0" w:rsidRPr="00534ECE" w14:paraId="1018C9A5" w14:textId="77777777" w:rsidTr="00CC2224">
        <w:trPr>
          <w:cantSplit/>
        </w:trPr>
        <w:tc>
          <w:tcPr>
            <w:tcW w:w="1548" w:type="dxa"/>
            <w:vMerge/>
          </w:tcPr>
          <w:p w14:paraId="6B20FB31" w14:textId="77777777" w:rsidR="00C854A0" w:rsidRPr="00534ECE" w:rsidRDefault="00C854A0" w:rsidP="00A160EF">
            <w:pPr>
              <w:pStyle w:val="BodyText"/>
              <w:spacing w:before="60" w:after="60"/>
            </w:pPr>
          </w:p>
        </w:tc>
        <w:tc>
          <w:tcPr>
            <w:tcW w:w="4264" w:type="dxa"/>
          </w:tcPr>
          <w:p w14:paraId="6B516A9A" w14:textId="77777777" w:rsidR="00C854A0" w:rsidRPr="00534ECE" w:rsidRDefault="00C854A0" w:rsidP="001D7BC5">
            <w:pPr>
              <w:pStyle w:val="ListParagraph"/>
            </w:pPr>
            <w:r w:rsidRPr="00534ECE">
              <w:t>Overseas travel</w:t>
            </w:r>
          </w:p>
        </w:tc>
        <w:tc>
          <w:tcPr>
            <w:tcW w:w="2520" w:type="dxa"/>
            <w:shd w:val="clear" w:color="auto" w:fill="auto"/>
          </w:tcPr>
          <w:p w14:paraId="2D73940D" w14:textId="77777777" w:rsidR="00C854A0" w:rsidRPr="00534ECE" w:rsidRDefault="00C854A0" w:rsidP="00A160EF">
            <w:pPr>
              <w:pStyle w:val="BodyText"/>
              <w:spacing w:before="60" w:after="60"/>
            </w:pPr>
            <w:r w:rsidRPr="00534ECE">
              <w:t>ARRs – section 3</w:t>
            </w:r>
            <w:r>
              <w:t>1</w:t>
            </w:r>
            <w:r w:rsidRPr="00534ECE">
              <w:t>.2</w:t>
            </w:r>
          </w:p>
        </w:tc>
        <w:tc>
          <w:tcPr>
            <w:tcW w:w="1591" w:type="dxa"/>
            <w:shd w:val="clear" w:color="auto" w:fill="auto"/>
          </w:tcPr>
          <w:p w14:paraId="4603852C" w14:textId="77777777" w:rsidR="00C854A0" w:rsidRPr="00534ECE" w:rsidRDefault="00C854A0" w:rsidP="00A160EF">
            <w:pPr>
              <w:pStyle w:val="BodyText"/>
              <w:spacing w:before="60" w:after="60"/>
            </w:pPr>
            <w:r w:rsidRPr="00534ECE">
              <w:rPr>
                <w:rStyle w:val="Hyperlink"/>
                <w:rFonts w:cs="Arial"/>
                <w:sz w:val="12"/>
                <w:szCs w:val="12"/>
              </w:rPr>
              <w:t>https://data.qld.gov.au</w:t>
            </w:r>
          </w:p>
        </w:tc>
      </w:tr>
      <w:tr w:rsidR="00C854A0" w:rsidRPr="00534ECE" w14:paraId="2E21EEB4" w14:textId="77777777" w:rsidTr="00CC2224">
        <w:trPr>
          <w:cantSplit/>
        </w:trPr>
        <w:tc>
          <w:tcPr>
            <w:tcW w:w="1548" w:type="dxa"/>
            <w:vMerge/>
          </w:tcPr>
          <w:p w14:paraId="21FC7E8F" w14:textId="77777777" w:rsidR="00C854A0" w:rsidRPr="00534ECE" w:rsidRDefault="00C854A0" w:rsidP="00A160EF">
            <w:pPr>
              <w:pStyle w:val="BodyText"/>
              <w:spacing w:before="60" w:after="60"/>
            </w:pPr>
          </w:p>
        </w:tc>
        <w:tc>
          <w:tcPr>
            <w:tcW w:w="4264" w:type="dxa"/>
          </w:tcPr>
          <w:p w14:paraId="6E8FEF97" w14:textId="77777777" w:rsidR="00C854A0" w:rsidRPr="00534ECE" w:rsidRDefault="00C854A0" w:rsidP="001D7BC5">
            <w:pPr>
              <w:pStyle w:val="ListParagraph"/>
            </w:pPr>
            <w:r w:rsidRPr="00534ECE">
              <w:t>Queensland Language Services Policy</w:t>
            </w:r>
          </w:p>
        </w:tc>
        <w:tc>
          <w:tcPr>
            <w:tcW w:w="2520" w:type="dxa"/>
            <w:shd w:val="clear" w:color="auto" w:fill="auto"/>
          </w:tcPr>
          <w:p w14:paraId="22E7642D" w14:textId="77777777" w:rsidR="00C854A0" w:rsidRPr="00534ECE" w:rsidRDefault="00C854A0" w:rsidP="00A160EF">
            <w:pPr>
              <w:pStyle w:val="BodyText"/>
              <w:spacing w:before="60" w:after="60"/>
            </w:pPr>
            <w:r w:rsidRPr="00534ECE">
              <w:t>ARRs – section 3</w:t>
            </w:r>
            <w:r>
              <w:t>1</w:t>
            </w:r>
            <w:r w:rsidRPr="00534ECE">
              <w:t>.3</w:t>
            </w:r>
          </w:p>
        </w:tc>
        <w:tc>
          <w:tcPr>
            <w:tcW w:w="1591" w:type="dxa"/>
            <w:shd w:val="clear" w:color="auto" w:fill="auto"/>
          </w:tcPr>
          <w:p w14:paraId="21FAD09D" w14:textId="77777777" w:rsidR="00C854A0" w:rsidRPr="00534ECE" w:rsidRDefault="00C854A0" w:rsidP="00A160EF">
            <w:pPr>
              <w:pStyle w:val="BodyText"/>
              <w:spacing w:before="60" w:after="60"/>
            </w:pPr>
            <w:r w:rsidRPr="00534ECE">
              <w:rPr>
                <w:rStyle w:val="Hyperlink"/>
                <w:rFonts w:cs="Arial"/>
                <w:sz w:val="12"/>
                <w:szCs w:val="12"/>
              </w:rPr>
              <w:t>https://data.qld.gov.au</w:t>
            </w:r>
          </w:p>
        </w:tc>
      </w:tr>
      <w:tr w:rsidR="00C854A0" w:rsidRPr="00534ECE" w14:paraId="6B477902" w14:textId="77777777" w:rsidTr="00CC2224">
        <w:trPr>
          <w:cantSplit/>
        </w:trPr>
        <w:tc>
          <w:tcPr>
            <w:tcW w:w="1548" w:type="dxa"/>
            <w:vMerge w:val="restart"/>
          </w:tcPr>
          <w:p w14:paraId="66CF36CC" w14:textId="77777777" w:rsidR="00C854A0" w:rsidRPr="00534ECE" w:rsidRDefault="00C854A0" w:rsidP="00A160EF">
            <w:pPr>
              <w:pStyle w:val="BodyText"/>
              <w:spacing w:before="60" w:after="60"/>
            </w:pPr>
            <w:r w:rsidRPr="00534ECE">
              <w:t>Financial statements</w:t>
            </w:r>
          </w:p>
        </w:tc>
        <w:tc>
          <w:tcPr>
            <w:tcW w:w="4264" w:type="dxa"/>
          </w:tcPr>
          <w:p w14:paraId="36760DEC" w14:textId="77777777" w:rsidR="00C854A0" w:rsidRPr="00534ECE" w:rsidRDefault="00C854A0" w:rsidP="001D7BC5">
            <w:pPr>
              <w:pStyle w:val="ListParagraph"/>
            </w:pPr>
            <w:r w:rsidRPr="00534ECE">
              <w:t>Certification of financial statements</w:t>
            </w:r>
          </w:p>
        </w:tc>
        <w:tc>
          <w:tcPr>
            <w:tcW w:w="2520" w:type="dxa"/>
            <w:shd w:val="clear" w:color="auto" w:fill="auto"/>
          </w:tcPr>
          <w:p w14:paraId="6A00DA18" w14:textId="77777777" w:rsidR="00C854A0" w:rsidRPr="00534ECE" w:rsidRDefault="00C854A0" w:rsidP="00A160EF">
            <w:pPr>
              <w:pStyle w:val="BodyText"/>
              <w:spacing w:before="60" w:after="60"/>
            </w:pPr>
            <w:r w:rsidRPr="00534ECE">
              <w:t>FAA – section 62</w:t>
            </w:r>
          </w:p>
          <w:p w14:paraId="3DBBAFDF" w14:textId="77777777" w:rsidR="00C854A0" w:rsidRPr="00534ECE" w:rsidRDefault="00C854A0" w:rsidP="00A160EF">
            <w:pPr>
              <w:pStyle w:val="BodyText"/>
              <w:spacing w:before="60" w:after="60"/>
            </w:pPr>
            <w:r w:rsidRPr="00534ECE">
              <w:t xml:space="preserve">FPMS – sections </w:t>
            </w:r>
            <w:r>
              <w:t>38</w:t>
            </w:r>
            <w:r w:rsidRPr="00534ECE">
              <w:t xml:space="preserve">, </w:t>
            </w:r>
            <w:r>
              <w:t>39</w:t>
            </w:r>
            <w:r w:rsidRPr="00534ECE">
              <w:t xml:space="preserve"> and </w:t>
            </w:r>
            <w:r>
              <w:t>46</w:t>
            </w:r>
          </w:p>
          <w:p w14:paraId="6456E017" w14:textId="77777777" w:rsidR="00C854A0" w:rsidRPr="00534ECE" w:rsidRDefault="00C854A0" w:rsidP="00A160EF">
            <w:pPr>
              <w:pStyle w:val="BodyText"/>
              <w:spacing w:before="60" w:after="60"/>
            </w:pPr>
            <w:r w:rsidRPr="00534ECE">
              <w:t>ARRs – section 17.1</w:t>
            </w:r>
          </w:p>
        </w:tc>
        <w:tc>
          <w:tcPr>
            <w:tcW w:w="1591" w:type="dxa"/>
            <w:shd w:val="clear" w:color="auto" w:fill="auto"/>
          </w:tcPr>
          <w:p w14:paraId="73DFC9A3" w14:textId="4043E523" w:rsidR="00C854A0" w:rsidRPr="00715ADA" w:rsidRDefault="00715ADA" w:rsidP="00A160EF">
            <w:pPr>
              <w:pStyle w:val="BodyText"/>
              <w:spacing w:before="60" w:after="60"/>
            </w:pPr>
            <w:r w:rsidRPr="00715ADA">
              <w:t>125</w:t>
            </w:r>
          </w:p>
        </w:tc>
      </w:tr>
      <w:tr w:rsidR="00C854A0" w:rsidRPr="00534ECE" w14:paraId="1C7A097B" w14:textId="77777777" w:rsidTr="00CC2224">
        <w:trPr>
          <w:cantSplit/>
        </w:trPr>
        <w:tc>
          <w:tcPr>
            <w:tcW w:w="1548" w:type="dxa"/>
            <w:vMerge/>
          </w:tcPr>
          <w:p w14:paraId="2FFA393D" w14:textId="77777777" w:rsidR="00C854A0" w:rsidRPr="00534ECE" w:rsidRDefault="00C854A0" w:rsidP="00A160EF">
            <w:pPr>
              <w:pStyle w:val="BodyText"/>
              <w:spacing w:before="60" w:after="60"/>
            </w:pPr>
          </w:p>
        </w:tc>
        <w:tc>
          <w:tcPr>
            <w:tcW w:w="4264" w:type="dxa"/>
          </w:tcPr>
          <w:p w14:paraId="2D72A836" w14:textId="77777777" w:rsidR="00C854A0" w:rsidRPr="00534ECE" w:rsidRDefault="00C854A0" w:rsidP="001D7BC5">
            <w:pPr>
              <w:pStyle w:val="ListParagraph"/>
            </w:pPr>
            <w:r w:rsidRPr="00534ECE">
              <w:t>Independent Auditor’s Report</w:t>
            </w:r>
          </w:p>
        </w:tc>
        <w:tc>
          <w:tcPr>
            <w:tcW w:w="2520" w:type="dxa"/>
            <w:shd w:val="clear" w:color="auto" w:fill="auto"/>
          </w:tcPr>
          <w:p w14:paraId="22ABEB4C" w14:textId="77777777" w:rsidR="00C854A0" w:rsidRPr="00534ECE" w:rsidRDefault="00C854A0" w:rsidP="00A160EF">
            <w:pPr>
              <w:pStyle w:val="BodyText"/>
              <w:spacing w:before="60" w:after="60"/>
            </w:pPr>
            <w:r w:rsidRPr="00534ECE">
              <w:t>FAA – section 62</w:t>
            </w:r>
          </w:p>
          <w:p w14:paraId="386E879E" w14:textId="77777777" w:rsidR="00C854A0" w:rsidRPr="00534ECE" w:rsidRDefault="00C854A0" w:rsidP="00A160EF">
            <w:pPr>
              <w:pStyle w:val="BodyText"/>
              <w:spacing w:before="60" w:after="60"/>
            </w:pPr>
            <w:r w:rsidRPr="00534ECE">
              <w:t xml:space="preserve">FPMS – section </w:t>
            </w:r>
            <w:r>
              <w:t>46</w:t>
            </w:r>
          </w:p>
          <w:p w14:paraId="03559D68" w14:textId="77777777" w:rsidR="00C854A0" w:rsidRPr="00534ECE" w:rsidRDefault="00C854A0" w:rsidP="00A160EF">
            <w:pPr>
              <w:pStyle w:val="BodyText"/>
              <w:spacing w:before="60" w:after="60"/>
            </w:pPr>
            <w:r w:rsidRPr="00534ECE">
              <w:t>ARRs – section 17.2</w:t>
            </w:r>
          </w:p>
        </w:tc>
        <w:tc>
          <w:tcPr>
            <w:tcW w:w="1591" w:type="dxa"/>
            <w:shd w:val="clear" w:color="auto" w:fill="auto"/>
          </w:tcPr>
          <w:p w14:paraId="06844C91" w14:textId="51B489DD" w:rsidR="00C854A0" w:rsidRPr="00715ADA" w:rsidRDefault="00715ADA" w:rsidP="00A160EF">
            <w:pPr>
              <w:pStyle w:val="BodyText"/>
              <w:spacing w:before="60" w:after="60"/>
            </w:pPr>
            <w:r w:rsidRPr="00715ADA">
              <w:t>126-128</w:t>
            </w:r>
          </w:p>
        </w:tc>
      </w:tr>
    </w:tbl>
    <w:p w14:paraId="10CA6D02" w14:textId="77777777" w:rsidR="00C854A0" w:rsidRPr="00534ECE" w:rsidRDefault="00C854A0" w:rsidP="001A3D3A">
      <w:pPr>
        <w:pStyle w:val="BodyText"/>
      </w:pPr>
      <w:r w:rsidRPr="00534ECE">
        <w:t xml:space="preserve">FAA </w:t>
      </w:r>
      <w:r w:rsidRPr="00534ECE">
        <w:tab/>
      </w:r>
      <w:r w:rsidRPr="00A35F84">
        <w:rPr>
          <w:i/>
        </w:rPr>
        <w:t>Financial Accountability Act 2009</w:t>
      </w:r>
      <w:r w:rsidRPr="00534ECE">
        <w:t xml:space="preserve"> </w:t>
      </w:r>
    </w:p>
    <w:p w14:paraId="25381B1D" w14:textId="75BFAC22" w:rsidR="005E12B4" w:rsidRDefault="00C854A0" w:rsidP="001A3D3A">
      <w:pPr>
        <w:pStyle w:val="BodyText"/>
      </w:pPr>
      <w:r w:rsidRPr="00534ECE">
        <w:t xml:space="preserve">FPMS </w:t>
      </w:r>
      <w:r w:rsidRPr="00534ECE">
        <w:tab/>
      </w:r>
      <w:r w:rsidRPr="00A35F84">
        <w:rPr>
          <w:i/>
        </w:rPr>
        <w:t>Financial and Performance Management Standard 2019</w:t>
      </w:r>
    </w:p>
    <w:p w14:paraId="1BDDBC8F" w14:textId="536D3532" w:rsidR="006F79B3" w:rsidRDefault="002D7F52" w:rsidP="00CC4633">
      <w:pPr>
        <w:pStyle w:val="BodyText"/>
      </w:pPr>
      <w:r>
        <w:t>ARRs</w:t>
      </w:r>
      <w:r>
        <w:tab/>
        <w:t xml:space="preserve">Annual report requirements for Queensland </w:t>
      </w:r>
      <w:r w:rsidR="007071DB">
        <w:t>G</w:t>
      </w:r>
      <w:r>
        <w:t>overnment agencies</w:t>
      </w:r>
    </w:p>
    <w:p w14:paraId="071C2933" w14:textId="77777777" w:rsidR="006F79B3" w:rsidRDefault="006F79B3">
      <w:pPr>
        <w:spacing w:before="0" w:after="160" w:line="259" w:lineRule="auto"/>
      </w:pPr>
      <w:r>
        <w:br w:type="page"/>
      </w:r>
    </w:p>
    <w:p w14:paraId="319BC3A1" w14:textId="5DC7C177" w:rsidR="00FB31E6" w:rsidRDefault="00FB31E6" w:rsidP="005B0CCD">
      <w:pPr>
        <w:pStyle w:val="BodyText"/>
      </w:pPr>
    </w:p>
    <w:p w14:paraId="328DE6DC" w14:textId="77777777" w:rsidR="00077B7A" w:rsidRDefault="00077B7A" w:rsidP="005B0CCD">
      <w:pPr>
        <w:pStyle w:val="BodyText"/>
      </w:pPr>
    </w:p>
    <w:p w14:paraId="52077BCF" w14:textId="77777777" w:rsidR="00077B7A" w:rsidRDefault="00077B7A" w:rsidP="005B0CCD">
      <w:pPr>
        <w:pStyle w:val="BodyText"/>
      </w:pPr>
    </w:p>
    <w:p w14:paraId="641DF2BA" w14:textId="5A378E67" w:rsidR="00FB31E6" w:rsidRPr="00CF6187" w:rsidRDefault="00062A13" w:rsidP="00623405">
      <w:pPr>
        <w:pStyle w:val="DECChapterHeading"/>
        <w:ind w:left="3600"/>
      </w:pPr>
      <w:bookmarkStart w:id="877" w:name="_Toc176425052"/>
      <w:r w:rsidRPr="00CF6187">
        <w:t>Financial Statements</w:t>
      </w:r>
      <w:bookmarkEnd w:id="877"/>
    </w:p>
    <w:p w14:paraId="72B90642" w14:textId="619554F0" w:rsidR="00062A13" w:rsidRPr="00CF6187" w:rsidRDefault="00062A13" w:rsidP="00623405">
      <w:pPr>
        <w:pStyle w:val="DECChapterHeading"/>
        <w:ind w:left="3600"/>
      </w:pPr>
      <w:bookmarkStart w:id="878" w:name="_Toc176425053"/>
      <w:r w:rsidRPr="00CF6187">
        <w:t>2023–24</w:t>
      </w:r>
      <w:bookmarkEnd w:id="878"/>
    </w:p>
    <w:p w14:paraId="02DE87C4" w14:textId="77777777" w:rsidR="009435B9" w:rsidRDefault="009435B9" w:rsidP="005B0CCD">
      <w:pPr>
        <w:pStyle w:val="BodyText"/>
      </w:pPr>
    </w:p>
    <w:p w14:paraId="791469B0" w14:textId="77777777" w:rsidR="009435B9" w:rsidRDefault="009435B9" w:rsidP="005B0CCD">
      <w:pPr>
        <w:pStyle w:val="BodyText"/>
      </w:pPr>
    </w:p>
    <w:tbl>
      <w:tblPr>
        <w:tblStyle w:val="TableGrid"/>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97"/>
      </w:tblGrid>
      <w:tr w:rsidR="00770AE9" w14:paraId="334D65DC" w14:textId="77777777" w:rsidTr="00A26A10">
        <w:tc>
          <w:tcPr>
            <w:tcW w:w="3686" w:type="dxa"/>
          </w:tcPr>
          <w:p w14:paraId="300D9F19" w14:textId="43BDC428" w:rsidR="00770AE9" w:rsidRDefault="00770AE9" w:rsidP="00CF6187">
            <w:pPr>
              <w:pStyle w:val="BodyText"/>
              <w:spacing w:after="160"/>
            </w:pPr>
            <w:r>
              <w:t>Financial Summary</w:t>
            </w:r>
          </w:p>
          <w:p w14:paraId="159D5807" w14:textId="2B81B7C7" w:rsidR="00770AE9" w:rsidRDefault="00770AE9" w:rsidP="00CF6187">
            <w:pPr>
              <w:pStyle w:val="BodyText"/>
              <w:spacing w:after="160"/>
            </w:pPr>
            <w:r>
              <w:t>Statement of Comprehensive Income</w:t>
            </w:r>
          </w:p>
          <w:p w14:paraId="5046C521" w14:textId="621AFB5C" w:rsidR="00770AE9" w:rsidRDefault="00770AE9" w:rsidP="00CF6187">
            <w:pPr>
              <w:pStyle w:val="BodyText"/>
              <w:spacing w:after="160"/>
            </w:pPr>
            <w:r>
              <w:t>Statement of Financial Position</w:t>
            </w:r>
          </w:p>
          <w:p w14:paraId="460572DB" w14:textId="4029E78A" w:rsidR="00770AE9" w:rsidRDefault="00770AE9" w:rsidP="00CF6187">
            <w:pPr>
              <w:pStyle w:val="BodyText"/>
              <w:spacing w:after="160"/>
            </w:pPr>
            <w:r>
              <w:t>Introduction to Financial Statements</w:t>
            </w:r>
          </w:p>
          <w:p w14:paraId="5A141CAA" w14:textId="22A48149" w:rsidR="00770AE9" w:rsidRDefault="00770AE9" w:rsidP="00CF6187">
            <w:pPr>
              <w:pStyle w:val="BodyText"/>
              <w:spacing w:after="160"/>
            </w:pPr>
            <w:r>
              <w:t>Financial Statements 2023-24</w:t>
            </w:r>
          </w:p>
          <w:p w14:paraId="509C8F2E" w14:textId="1C00936E" w:rsidR="00770AE9" w:rsidRDefault="00770AE9" w:rsidP="00CF6187">
            <w:pPr>
              <w:pStyle w:val="BodyText"/>
              <w:spacing w:after="160"/>
            </w:pPr>
            <w:r>
              <w:t>Management Certificate</w:t>
            </w:r>
          </w:p>
          <w:p w14:paraId="0977E668" w14:textId="5D24A87E" w:rsidR="00770AE9" w:rsidRDefault="00770AE9" w:rsidP="00CF6187">
            <w:pPr>
              <w:pStyle w:val="BodyText"/>
              <w:spacing w:after="160"/>
            </w:pPr>
            <w:r>
              <w:t>Independent Auditor’s Report</w:t>
            </w:r>
          </w:p>
        </w:tc>
        <w:tc>
          <w:tcPr>
            <w:tcW w:w="1297" w:type="dxa"/>
          </w:tcPr>
          <w:p w14:paraId="2B56C045" w14:textId="7AE849DE" w:rsidR="00770AE9" w:rsidRDefault="00E329A3" w:rsidP="00CF6187">
            <w:pPr>
              <w:pStyle w:val="BodyText"/>
              <w:spacing w:after="160"/>
              <w:jc w:val="right"/>
            </w:pPr>
            <w:r>
              <w:t>63</w:t>
            </w:r>
          </w:p>
          <w:p w14:paraId="321AF9AF" w14:textId="015A3D9E" w:rsidR="00770AE9" w:rsidRDefault="004C0A81" w:rsidP="00CF6187">
            <w:pPr>
              <w:pStyle w:val="BodyText"/>
              <w:spacing w:after="160"/>
              <w:jc w:val="right"/>
            </w:pPr>
            <w:r>
              <w:t>65</w:t>
            </w:r>
          </w:p>
          <w:p w14:paraId="041BD1E8" w14:textId="039F4190" w:rsidR="00770AE9" w:rsidRDefault="004C0A81" w:rsidP="00CF6187">
            <w:pPr>
              <w:pStyle w:val="BodyText"/>
              <w:spacing w:after="160"/>
              <w:jc w:val="right"/>
            </w:pPr>
            <w:r>
              <w:t>66</w:t>
            </w:r>
          </w:p>
          <w:p w14:paraId="4942B2CF" w14:textId="27EB9ACE" w:rsidR="00770AE9" w:rsidRDefault="004C0A81" w:rsidP="00CF6187">
            <w:pPr>
              <w:pStyle w:val="BodyText"/>
              <w:spacing w:after="160"/>
              <w:jc w:val="right"/>
            </w:pPr>
            <w:r>
              <w:t>67</w:t>
            </w:r>
          </w:p>
          <w:p w14:paraId="5A796A8F" w14:textId="2C436D10" w:rsidR="00770AE9" w:rsidRDefault="004C0A81" w:rsidP="00CF6187">
            <w:pPr>
              <w:pStyle w:val="BodyText"/>
              <w:spacing w:after="160"/>
              <w:jc w:val="right"/>
            </w:pPr>
            <w:r>
              <w:t>68</w:t>
            </w:r>
          </w:p>
          <w:p w14:paraId="229F388F" w14:textId="2643D0A8" w:rsidR="00770AE9" w:rsidRDefault="00CF6187" w:rsidP="00CF6187">
            <w:pPr>
              <w:pStyle w:val="BodyText"/>
              <w:spacing w:after="160"/>
              <w:jc w:val="right"/>
            </w:pPr>
            <w:r>
              <w:t>125</w:t>
            </w:r>
          </w:p>
          <w:p w14:paraId="57CECAF8" w14:textId="118A5D41" w:rsidR="00770AE9" w:rsidRDefault="00CF6187" w:rsidP="00CF6187">
            <w:pPr>
              <w:pStyle w:val="BodyText"/>
              <w:spacing w:after="160"/>
              <w:jc w:val="right"/>
            </w:pPr>
            <w:r>
              <w:t>12</w:t>
            </w:r>
            <w:r w:rsidR="00E91B8D">
              <w:t>6</w:t>
            </w:r>
          </w:p>
        </w:tc>
      </w:tr>
    </w:tbl>
    <w:p w14:paraId="08F8C4C7" w14:textId="77777777" w:rsidR="00770AE9" w:rsidRDefault="00770AE9" w:rsidP="005B0CCD">
      <w:pPr>
        <w:pStyle w:val="BodyText"/>
      </w:pPr>
    </w:p>
    <w:p w14:paraId="34C546DD" w14:textId="77777777" w:rsidR="00FB31E6" w:rsidRDefault="00FB31E6" w:rsidP="005B0CCD">
      <w:pPr>
        <w:pStyle w:val="BodyText"/>
      </w:pPr>
    </w:p>
    <w:p w14:paraId="729E51C2" w14:textId="5D5F675F" w:rsidR="00E67D6C" w:rsidRDefault="00E67D6C" w:rsidP="004F49DE">
      <w:pPr>
        <w:pStyle w:val="BodyText"/>
        <w:jc w:val="right"/>
      </w:pPr>
    </w:p>
    <w:p w14:paraId="26FF3F99" w14:textId="2CB4B42C" w:rsidR="00CA423A" w:rsidRDefault="00CA423A" w:rsidP="00CC4633">
      <w:pPr>
        <w:pStyle w:val="BodyText"/>
      </w:pPr>
      <w:r>
        <w:br w:type="page"/>
      </w:r>
    </w:p>
    <w:p w14:paraId="5621D375" w14:textId="2D72B413" w:rsidR="00CA423A" w:rsidRDefault="00150DF8" w:rsidP="00BE7D59">
      <w:pPr>
        <w:pStyle w:val="DECheading11"/>
      </w:pPr>
      <w:bookmarkStart w:id="879" w:name="_Toc176425054"/>
      <w:r>
        <w:lastRenderedPageBreak/>
        <w:t>Financial Summary</w:t>
      </w:r>
      <w:bookmarkEnd w:id="879"/>
    </w:p>
    <w:p w14:paraId="27347FAB" w14:textId="77777777" w:rsidR="004C2CFA" w:rsidRDefault="004C2CFA" w:rsidP="002705B8">
      <w:pPr>
        <w:spacing w:before="0" w:line="259" w:lineRule="auto"/>
      </w:pPr>
      <w:r>
        <w:t xml:space="preserve">As a result of the </w:t>
      </w:r>
      <w:r w:rsidRPr="00DB70C0">
        <w:rPr>
          <w:i/>
          <w:iCs/>
        </w:rPr>
        <w:t>Public Service Departmental Arrangements Notice (No. 5) 2023</w:t>
      </w:r>
      <w:r>
        <w:t>, the former Department of Energy and Public Works was renamed to Department of Energy and Climate on 18 December 2023.</w:t>
      </w:r>
    </w:p>
    <w:p w14:paraId="24129A7D" w14:textId="77777777" w:rsidR="004C2CFA" w:rsidRDefault="004C2CFA" w:rsidP="002705B8">
      <w:pPr>
        <w:spacing w:before="0" w:line="259" w:lineRule="auto"/>
      </w:pPr>
      <w:r>
        <w:t xml:space="preserve">Pursuant to section 80 of the </w:t>
      </w:r>
      <w:r w:rsidRPr="00DB70C0">
        <w:rPr>
          <w:i/>
          <w:iCs/>
        </w:rPr>
        <w:t>Financial Accountability Act 2009</w:t>
      </w:r>
      <w:r>
        <w:t>, for financial reporting purposes the effective date of the transfer was 1 January 2024.</w:t>
      </w:r>
    </w:p>
    <w:p w14:paraId="78BD7F4E" w14:textId="77777777" w:rsidR="004C2CFA" w:rsidRDefault="004C2CFA" w:rsidP="002705B8">
      <w:pPr>
        <w:spacing w:before="0" w:line="259" w:lineRule="auto"/>
      </w:pPr>
      <w:r>
        <w:t xml:space="preserve">As </w:t>
      </w:r>
      <w:proofErr w:type="gramStart"/>
      <w:r>
        <w:t>at</w:t>
      </w:r>
      <w:proofErr w:type="gramEnd"/>
      <w:r>
        <w:t xml:space="preserve"> 30 June 2024 the reporting entity comprised the Department of Energy and Climate and one commercialised business unit, QFleet.</w:t>
      </w:r>
    </w:p>
    <w:p w14:paraId="18C9C1A2" w14:textId="77777777" w:rsidR="004C2CFA" w:rsidRDefault="004C2CFA" w:rsidP="002705B8">
      <w:pPr>
        <w:spacing w:before="0" w:line="259" w:lineRule="auto"/>
      </w:pPr>
      <w:r>
        <w:t xml:space="preserve">A Statement of Comprehensive Income for the period 1 July 2023 to 30 June 2024 and a Statement of Financial Position as </w:t>
      </w:r>
      <w:proofErr w:type="gramStart"/>
      <w:r>
        <w:t>at</w:t>
      </w:r>
      <w:proofErr w:type="gramEnd"/>
      <w:r>
        <w:t xml:space="preserve"> 30 June 2024 are provided on the following pages.</w:t>
      </w:r>
    </w:p>
    <w:p w14:paraId="636E0748" w14:textId="72665D8C" w:rsidR="00341EC5" w:rsidRDefault="004C2CFA" w:rsidP="002705B8">
      <w:pPr>
        <w:spacing w:before="0" w:line="259" w:lineRule="auto"/>
      </w:pPr>
      <w:r>
        <w:t xml:space="preserve">The department obtains </w:t>
      </w:r>
      <w:proofErr w:type="gramStart"/>
      <w:r>
        <w:t>the majority of</w:t>
      </w:r>
      <w:proofErr w:type="gramEnd"/>
      <w:r>
        <w:t xml:space="preserve"> its total income from user charges and fees which comprise $1,163</w:t>
      </w:r>
      <w:r w:rsidR="00801FF3">
        <w:t> </w:t>
      </w:r>
      <w:r>
        <w:t>million or 75 percent of the department’s total income of $1,555 million. User charges include:</w:t>
      </w:r>
    </w:p>
    <w:p w14:paraId="2F61699D" w14:textId="2A879E71" w:rsidR="002705B8" w:rsidRDefault="002705B8" w:rsidP="002705B8">
      <w:pPr>
        <w:pStyle w:val="ListParagraph"/>
        <w:numPr>
          <w:ilvl w:val="0"/>
          <w:numId w:val="37"/>
        </w:numPr>
        <w:spacing w:before="0" w:after="120" w:line="259" w:lineRule="auto"/>
        <w:ind w:left="714" w:hanging="357"/>
      </w:pPr>
      <w:r>
        <w:t>building services</w:t>
      </w:r>
    </w:p>
    <w:p w14:paraId="428A83C6" w14:textId="25A0DE52" w:rsidR="002705B8" w:rsidRDefault="002705B8" w:rsidP="002705B8">
      <w:pPr>
        <w:pStyle w:val="ListParagraph"/>
        <w:numPr>
          <w:ilvl w:val="0"/>
          <w:numId w:val="37"/>
        </w:numPr>
        <w:spacing w:before="0" w:after="120" w:line="259" w:lineRule="auto"/>
        <w:ind w:left="714" w:hanging="357"/>
      </w:pPr>
      <w:r>
        <w:t>commercial employee housing to other Queensland state government entities</w:t>
      </w:r>
    </w:p>
    <w:p w14:paraId="1A8E3223" w14:textId="66AF9915" w:rsidR="002705B8" w:rsidRDefault="002705B8" w:rsidP="002705B8">
      <w:pPr>
        <w:pStyle w:val="ListParagraph"/>
        <w:numPr>
          <w:ilvl w:val="0"/>
          <w:numId w:val="37"/>
        </w:numPr>
        <w:spacing w:before="0" w:after="120" w:line="259" w:lineRule="auto"/>
        <w:ind w:left="714" w:hanging="357"/>
      </w:pPr>
      <w:r>
        <w:t>fleet management services.</w:t>
      </w:r>
    </w:p>
    <w:p w14:paraId="7F0A6A72" w14:textId="66B24E4C" w:rsidR="00341EC5" w:rsidRDefault="006757D7" w:rsidP="00400580">
      <w:pPr>
        <w:spacing w:before="0" w:after="160" w:line="259" w:lineRule="auto"/>
      </w:pPr>
      <w:r>
        <w:rPr>
          <w:noProof/>
        </w:rPr>
        <w:drawing>
          <wp:anchor distT="0" distB="0" distL="114300" distR="114300" simplePos="0" relativeHeight="251658260" behindDoc="1" locked="0" layoutInCell="1" allowOverlap="1" wp14:anchorId="57E44120" wp14:editId="196344A1">
            <wp:simplePos x="0" y="0"/>
            <wp:positionH relativeFrom="margin">
              <wp:align>left</wp:align>
            </wp:positionH>
            <wp:positionV relativeFrom="paragraph">
              <wp:posOffset>265777</wp:posOffset>
            </wp:positionV>
            <wp:extent cx="2984500" cy="4589253"/>
            <wp:effectExtent l="0" t="0" r="6350" b="1905"/>
            <wp:wrapNone/>
            <wp:docPr id="35" name="Chart 35">
              <a:extLst xmlns:a="http://schemas.openxmlformats.org/drawingml/2006/main">
                <a:ext uri="{FF2B5EF4-FFF2-40B4-BE49-F238E27FC236}">
                  <a16:creationId xmlns:a16="http://schemas.microsoft.com/office/drawing/2014/main" id="{F1A75275-4F6D-45BB-B6DF-CF7005E9A8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margin">
              <wp14:pctWidth>0</wp14:pctWidth>
            </wp14:sizeRelH>
            <wp14:sizeRelV relativeFrom="margin">
              <wp14:pctHeight>0</wp14:pctHeight>
            </wp14:sizeRelV>
          </wp:anchor>
        </w:drawing>
      </w:r>
    </w:p>
    <w:p w14:paraId="763E2DDD" w14:textId="77777777" w:rsidR="00E62C29" w:rsidRDefault="00042672">
      <w:pPr>
        <w:spacing w:before="0" w:after="160" w:line="259" w:lineRule="auto"/>
      </w:pPr>
      <w:r w:rsidRPr="00852C1C">
        <w:rPr>
          <w:rFonts w:hAnsi="Arial"/>
          <w:noProof/>
        </w:rPr>
        <w:drawing>
          <wp:anchor distT="0" distB="0" distL="114300" distR="114300" simplePos="0" relativeHeight="251658263" behindDoc="0" locked="0" layoutInCell="1" allowOverlap="1" wp14:anchorId="6E86E941" wp14:editId="0F7605F1">
            <wp:simplePos x="0" y="0"/>
            <wp:positionH relativeFrom="margin">
              <wp:align>right</wp:align>
            </wp:positionH>
            <wp:positionV relativeFrom="paragraph">
              <wp:posOffset>6721</wp:posOffset>
            </wp:positionV>
            <wp:extent cx="2924175" cy="4580518"/>
            <wp:effectExtent l="0" t="0" r="9525" b="10795"/>
            <wp:wrapNone/>
            <wp:docPr id="43" name="Chart 43">
              <a:extLst xmlns:a="http://schemas.openxmlformats.org/drawingml/2006/main">
                <a:ext uri="{FF2B5EF4-FFF2-40B4-BE49-F238E27FC236}">
                  <a16:creationId xmlns:a16="http://schemas.microsoft.com/office/drawing/2014/main" id="{DBD586E2-AD44-4A71-9DC9-53881BEF0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margin">
              <wp14:pctWidth>0</wp14:pctWidth>
            </wp14:sizeRelH>
            <wp14:sizeRelV relativeFrom="margin">
              <wp14:pctHeight>0</wp14:pctHeight>
            </wp14:sizeRelV>
          </wp:anchor>
        </w:drawing>
      </w:r>
      <w:r w:rsidR="00341EC5">
        <w:br w:type="page"/>
      </w:r>
      <w:r w:rsidR="00E62C29" w:rsidRPr="00E62C29">
        <w:lastRenderedPageBreak/>
        <w:t xml:space="preserve">The major expense of the department is supplies and services which totals $739.1 million or 49 percent of the department’s expenses of $1,506 million. The major supplies and services comprise building, </w:t>
      </w:r>
      <w:proofErr w:type="gramStart"/>
      <w:r w:rsidR="00E62C29" w:rsidRPr="00E62C29">
        <w:t>construction</w:t>
      </w:r>
      <w:proofErr w:type="gramEnd"/>
      <w:r w:rsidR="00E62C29" w:rsidRPr="00E62C29">
        <w:t xml:space="preserve"> and maintenance services</w:t>
      </w:r>
      <w:r w:rsidR="00E62C29">
        <w:t>.</w:t>
      </w:r>
    </w:p>
    <w:p w14:paraId="0808F49B" w14:textId="77777777" w:rsidR="00E62C29" w:rsidRDefault="00E62C29" w:rsidP="00E62C29">
      <w:pPr>
        <w:pStyle w:val="DECheading11"/>
      </w:pPr>
      <w:bookmarkStart w:id="880" w:name="_Toc176424894"/>
      <w:bookmarkStart w:id="881" w:name="_Toc176425055"/>
      <w:r>
        <w:t>Statement by the Chief Finance Officer</w:t>
      </w:r>
      <w:bookmarkEnd w:id="880"/>
      <w:bookmarkEnd w:id="881"/>
    </w:p>
    <w:p w14:paraId="7FAD909E" w14:textId="77777777" w:rsidR="002A3AFF" w:rsidRDefault="002A3AFF" w:rsidP="002A3AFF">
      <w:pPr>
        <w:spacing w:before="0" w:after="160" w:line="259" w:lineRule="auto"/>
      </w:pPr>
      <w:r>
        <w:t xml:space="preserve">In accordance with the requirements of the </w:t>
      </w:r>
      <w:r w:rsidRPr="00DB70C0">
        <w:rPr>
          <w:i/>
          <w:iCs/>
        </w:rPr>
        <w:t>Financial Accountability Act 2009</w:t>
      </w:r>
      <w:r>
        <w:t xml:space="preserve">, the Chief Finance Officer has provided the Director-General with a statement confirming the financial internal controls of the department are operating efficiently, </w:t>
      </w:r>
      <w:proofErr w:type="gramStart"/>
      <w:r>
        <w:t>effectively</w:t>
      </w:r>
      <w:proofErr w:type="gramEnd"/>
      <w:r>
        <w:t xml:space="preserve"> and economically in conformance with Section 54 of the </w:t>
      </w:r>
      <w:r w:rsidRPr="00DB70C0">
        <w:rPr>
          <w:i/>
          <w:iCs/>
        </w:rPr>
        <w:t>Financial and Performance Management Standard 2019</w:t>
      </w:r>
      <w:r>
        <w:t>. The statement was presented at the Audit and Risk Committee meeting in August 2024.</w:t>
      </w:r>
    </w:p>
    <w:p w14:paraId="72C614DC" w14:textId="34C71EE5" w:rsidR="009D2502" w:rsidRDefault="00E9326F" w:rsidP="002A3AFF">
      <w:pPr>
        <w:spacing w:before="0" w:after="160" w:line="259" w:lineRule="auto"/>
      </w:pPr>
      <w:r>
        <w:rPr>
          <w:noProof/>
        </w:rPr>
        <w:drawing>
          <wp:anchor distT="0" distB="0" distL="114300" distR="114300" simplePos="0" relativeHeight="251658262" behindDoc="1" locked="0" layoutInCell="1" allowOverlap="1" wp14:anchorId="2B22A9D9" wp14:editId="3FECDD2E">
            <wp:simplePos x="0" y="0"/>
            <wp:positionH relativeFrom="margin">
              <wp:posOffset>2995762</wp:posOffset>
            </wp:positionH>
            <wp:positionV relativeFrom="paragraph">
              <wp:posOffset>467827</wp:posOffset>
            </wp:positionV>
            <wp:extent cx="3191510" cy="5036820"/>
            <wp:effectExtent l="0" t="0" r="8890" b="11430"/>
            <wp:wrapTight wrapText="bothSides">
              <wp:wrapPolygon edited="0">
                <wp:start x="0" y="0"/>
                <wp:lineTo x="0" y="21567"/>
                <wp:lineTo x="21531" y="21567"/>
                <wp:lineTo x="21531" y="0"/>
                <wp:lineTo x="0" y="0"/>
              </wp:wrapPolygon>
            </wp:wrapTight>
            <wp:docPr id="41" name="Chart 41">
              <a:extLst xmlns:a="http://schemas.openxmlformats.org/drawingml/2006/main">
                <a:ext uri="{FF2B5EF4-FFF2-40B4-BE49-F238E27FC236}">
                  <a16:creationId xmlns:a16="http://schemas.microsoft.com/office/drawing/2014/main" id="{06C277F1-F858-418A-A6A0-F618BC4B0A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margin">
              <wp14:pctWidth>0</wp14:pctWidth>
            </wp14:sizeRelH>
            <wp14:sizeRelV relativeFrom="margin">
              <wp14:pctHeight>0</wp14:pctHeight>
            </wp14:sizeRelV>
          </wp:anchor>
        </w:drawing>
      </w:r>
      <w:r w:rsidR="002A3AFF">
        <w:t xml:space="preserve">The Chief Finance Officer has fulfilled the minimum responsibilities as required by the </w:t>
      </w:r>
      <w:r w:rsidR="002A3AFF" w:rsidRPr="00DB70C0">
        <w:rPr>
          <w:i/>
          <w:iCs/>
        </w:rPr>
        <w:t>Financial Accountability Act 2009</w:t>
      </w:r>
      <w:r w:rsidR="002A3AFF">
        <w:t>.</w:t>
      </w:r>
    </w:p>
    <w:p w14:paraId="07A461C7" w14:textId="0DBDEB39" w:rsidR="00E9326F" w:rsidRDefault="00E9326F" w:rsidP="002A3AFF">
      <w:pPr>
        <w:spacing w:before="0" w:after="160" w:line="259" w:lineRule="auto"/>
      </w:pPr>
      <w:r w:rsidRPr="004A1BE2">
        <w:rPr>
          <w:noProof/>
          <w:color w:val="414042"/>
        </w:rPr>
        <w:drawing>
          <wp:anchor distT="0" distB="0" distL="114300" distR="114300" simplePos="0" relativeHeight="251658261" behindDoc="1" locked="0" layoutInCell="1" allowOverlap="1" wp14:anchorId="148915FF" wp14:editId="6019F69C">
            <wp:simplePos x="0" y="0"/>
            <wp:positionH relativeFrom="margin">
              <wp:align>left</wp:align>
            </wp:positionH>
            <wp:positionV relativeFrom="paragraph">
              <wp:posOffset>11622</wp:posOffset>
            </wp:positionV>
            <wp:extent cx="2837815" cy="5072332"/>
            <wp:effectExtent l="0" t="0" r="635" b="14605"/>
            <wp:wrapTight wrapText="bothSides">
              <wp:wrapPolygon edited="0">
                <wp:start x="0" y="0"/>
                <wp:lineTo x="0" y="21581"/>
                <wp:lineTo x="21460" y="21581"/>
                <wp:lineTo x="21460" y="0"/>
                <wp:lineTo x="0" y="0"/>
              </wp:wrapPolygon>
            </wp:wrapTight>
            <wp:docPr id="40" name="Chart 40">
              <a:extLst xmlns:a="http://schemas.openxmlformats.org/drawingml/2006/main">
                <a:ext uri="{FF2B5EF4-FFF2-40B4-BE49-F238E27FC236}">
                  <a16:creationId xmlns:a16="http://schemas.microsoft.com/office/drawing/2014/main" id="{1619619C-9D21-420E-B2AB-C7EE4EAB47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14:sizeRelH relativeFrom="margin">
              <wp14:pctWidth>0</wp14:pctWidth>
            </wp14:sizeRelH>
            <wp14:sizeRelV relativeFrom="margin">
              <wp14:pctHeight>0</wp14:pctHeight>
            </wp14:sizeRelV>
          </wp:anchor>
        </w:drawing>
      </w:r>
    </w:p>
    <w:p w14:paraId="711E000A" w14:textId="4C6BDBB8" w:rsidR="00042672" w:rsidRPr="00C5543B" w:rsidRDefault="00E9326F" w:rsidP="002A3AFF">
      <w:pPr>
        <w:spacing w:before="0" w:after="160" w:line="259" w:lineRule="auto"/>
        <w:rPr>
          <w:sz w:val="16"/>
          <w:szCs w:val="16"/>
        </w:rPr>
      </w:pPr>
      <w:r w:rsidRPr="00E9326F">
        <w:rPr>
          <w:sz w:val="16"/>
          <w:szCs w:val="16"/>
        </w:rPr>
        <w:t># Expenses by Major Departmental Services and Commercialised Business Units do not include internal departmental transaction eliminations which are eliminated in the Statement of Comprehensive Income.</w:t>
      </w:r>
    </w:p>
    <w:tbl>
      <w:tblPr>
        <w:tblW w:w="9300" w:type="dxa"/>
        <w:tblLook w:val="04A0" w:firstRow="1" w:lastRow="0" w:firstColumn="1" w:lastColumn="0" w:noHBand="0" w:noVBand="1"/>
      </w:tblPr>
      <w:tblGrid>
        <w:gridCol w:w="5271"/>
        <w:gridCol w:w="989"/>
        <w:gridCol w:w="1520"/>
        <w:gridCol w:w="1520"/>
      </w:tblGrid>
      <w:tr w:rsidR="00854205" w:rsidRPr="00854205" w14:paraId="1937F33F" w14:textId="77777777" w:rsidTr="00382AB9">
        <w:trPr>
          <w:trHeight w:val="400"/>
        </w:trPr>
        <w:tc>
          <w:tcPr>
            <w:tcW w:w="5271" w:type="dxa"/>
            <w:shd w:val="clear" w:color="auto" w:fill="auto"/>
            <w:vAlign w:val="center"/>
            <w:hideMark/>
          </w:tcPr>
          <w:p w14:paraId="6B16C5F5" w14:textId="77777777" w:rsidR="00854205" w:rsidRPr="00854205" w:rsidRDefault="00854205" w:rsidP="00854205">
            <w:pPr>
              <w:spacing w:before="0" w:after="0"/>
              <w:rPr>
                <w:rFonts w:ascii="Arial" w:eastAsia="Times New Roman" w:hAnsi="Arial" w:cs="Arial"/>
                <w:color w:val="000000" w:themeColor="text1"/>
                <w:sz w:val="32"/>
                <w:szCs w:val="32"/>
                <w:lang w:eastAsia="en-AU"/>
              </w:rPr>
            </w:pPr>
            <w:r w:rsidRPr="00854205">
              <w:rPr>
                <w:rFonts w:ascii="Arial" w:eastAsia="Times New Roman" w:hAnsi="Arial" w:cs="Arial"/>
                <w:color w:val="000000" w:themeColor="text1"/>
                <w:sz w:val="32"/>
                <w:szCs w:val="32"/>
                <w:lang w:eastAsia="en-AU"/>
              </w:rPr>
              <w:lastRenderedPageBreak/>
              <w:t>Statement of Comprehensive Income</w:t>
            </w:r>
          </w:p>
        </w:tc>
        <w:tc>
          <w:tcPr>
            <w:tcW w:w="989" w:type="dxa"/>
            <w:shd w:val="clear" w:color="auto" w:fill="auto"/>
            <w:noWrap/>
            <w:vAlign w:val="bottom"/>
            <w:hideMark/>
          </w:tcPr>
          <w:p w14:paraId="63B53B2B" w14:textId="77777777" w:rsidR="00854205" w:rsidRPr="00854205" w:rsidRDefault="00854205" w:rsidP="00854205">
            <w:pPr>
              <w:spacing w:before="0" w:after="0"/>
              <w:rPr>
                <w:rFonts w:ascii="Arial" w:eastAsia="Times New Roman" w:hAnsi="Arial" w:cs="Arial"/>
                <w:color w:val="000000" w:themeColor="text1"/>
                <w:sz w:val="32"/>
                <w:szCs w:val="32"/>
                <w:lang w:eastAsia="en-AU"/>
              </w:rPr>
            </w:pPr>
          </w:p>
        </w:tc>
        <w:tc>
          <w:tcPr>
            <w:tcW w:w="1520" w:type="dxa"/>
            <w:shd w:val="clear" w:color="auto" w:fill="auto"/>
            <w:noWrap/>
            <w:vAlign w:val="bottom"/>
            <w:hideMark/>
          </w:tcPr>
          <w:p w14:paraId="3AABC181" w14:textId="77777777" w:rsidR="00854205" w:rsidRPr="00854205" w:rsidRDefault="00854205" w:rsidP="00854205">
            <w:pPr>
              <w:spacing w:before="0" w:after="0"/>
              <w:rPr>
                <w:rFonts w:ascii="Times New Roman" w:eastAsia="Times New Roman" w:hAnsi="Times New Roman" w:cs="Times New Roman"/>
                <w:color w:val="000000" w:themeColor="text1"/>
                <w:szCs w:val="20"/>
                <w:lang w:eastAsia="en-AU"/>
              </w:rPr>
            </w:pPr>
          </w:p>
        </w:tc>
        <w:tc>
          <w:tcPr>
            <w:tcW w:w="1520" w:type="dxa"/>
            <w:shd w:val="clear" w:color="auto" w:fill="auto"/>
            <w:noWrap/>
            <w:vAlign w:val="bottom"/>
            <w:hideMark/>
          </w:tcPr>
          <w:p w14:paraId="6A2B4661" w14:textId="77777777" w:rsidR="00854205" w:rsidRPr="00854205" w:rsidRDefault="00854205" w:rsidP="00854205">
            <w:pPr>
              <w:spacing w:before="0" w:after="0"/>
              <w:rPr>
                <w:rFonts w:ascii="Times New Roman" w:eastAsia="Times New Roman" w:hAnsi="Times New Roman" w:cs="Times New Roman"/>
                <w:color w:val="000000" w:themeColor="text1"/>
                <w:szCs w:val="20"/>
                <w:lang w:eastAsia="en-AU"/>
              </w:rPr>
            </w:pPr>
          </w:p>
        </w:tc>
      </w:tr>
      <w:tr w:rsidR="00854205" w:rsidRPr="00854205" w14:paraId="595261DB" w14:textId="77777777" w:rsidTr="00382AB9">
        <w:trPr>
          <w:trHeight w:val="255"/>
        </w:trPr>
        <w:tc>
          <w:tcPr>
            <w:tcW w:w="5271" w:type="dxa"/>
            <w:shd w:val="clear" w:color="auto" w:fill="auto"/>
            <w:vAlign w:val="center"/>
            <w:hideMark/>
          </w:tcPr>
          <w:p w14:paraId="127B82F8" w14:textId="77777777" w:rsidR="00854205" w:rsidRPr="00854205" w:rsidRDefault="00854205" w:rsidP="00854205">
            <w:pPr>
              <w:spacing w:before="0" w:after="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for the period 1 July 2023 to 30 June 2024</w:t>
            </w:r>
          </w:p>
        </w:tc>
        <w:tc>
          <w:tcPr>
            <w:tcW w:w="989" w:type="dxa"/>
            <w:shd w:val="clear" w:color="auto" w:fill="auto"/>
            <w:noWrap/>
            <w:vAlign w:val="bottom"/>
            <w:hideMark/>
          </w:tcPr>
          <w:p w14:paraId="275C17B9" w14:textId="77777777" w:rsidR="00854205" w:rsidRPr="00854205" w:rsidRDefault="00854205" w:rsidP="00854205">
            <w:pPr>
              <w:spacing w:before="0" w:after="0"/>
              <w:rPr>
                <w:rFonts w:ascii="Arial" w:eastAsia="Times New Roman" w:hAnsi="Arial" w:cs="Arial"/>
                <w:color w:val="000000" w:themeColor="text1"/>
                <w:sz w:val="19"/>
                <w:szCs w:val="19"/>
                <w:lang w:eastAsia="en-AU"/>
              </w:rPr>
            </w:pPr>
          </w:p>
        </w:tc>
        <w:tc>
          <w:tcPr>
            <w:tcW w:w="1520" w:type="dxa"/>
            <w:shd w:val="clear" w:color="auto" w:fill="auto"/>
            <w:noWrap/>
            <w:vAlign w:val="bottom"/>
            <w:hideMark/>
          </w:tcPr>
          <w:p w14:paraId="1306CD75" w14:textId="77777777" w:rsidR="00854205" w:rsidRPr="00854205" w:rsidRDefault="00854205" w:rsidP="00854205">
            <w:pPr>
              <w:spacing w:before="0" w:after="0"/>
              <w:rPr>
                <w:rFonts w:ascii="Times New Roman" w:eastAsia="Times New Roman" w:hAnsi="Times New Roman" w:cs="Times New Roman"/>
                <w:color w:val="000000" w:themeColor="text1"/>
                <w:szCs w:val="20"/>
                <w:lang w:eastAsia="en-AU"/>
              </w:rPr>
            </w:pPr>
          </w:p>
        </w:tc>
        <w:tc>
          <w:tcPr>
            <w:tcW w:w="1520" w:type="dxa"/>
            <w:shd w:val="clear" w:color="auto" w:fill="auto"/>
            <w:noWrap/>
            <w:vAlign w:val="bottom"/>
            <w:hideMark/>
          </w:tcPr>
          <w:p w14:paraId="0704AC4B" w14:textId="77777777" w:rsidR="00854205" w:rsidRPr="00854205" w:rsidRDefault="00854205" w:rsidP="00854205">
            <w:pPr>
              <w:spacing w:before="0" w:after="0"/>
              <w:rPr>
                <w:rFonts w:ascii="Times New Roman" w:eastAsia="Times New Roman" w:hAnsi="Times New Roman" w:cs="Times New Roman"/>
                <w:color w:val="000000" w:themeColor="text1"/>
                <w:szCs w:val="20"/>
                <w:lang w:eastAsia="en-AU"/>
              </w:rPr>
            </w:pPr>
          </w:p>
        </w:tc>
      </w:tr>
      <w:tr w:rsidR="00854205" w:rsidRPr="00854205" w14:paraId="735492D6" w14:textId="77777777" w:rsidTr="00582298">
        <w:trPr>
          <w:trHeight w:val="570"/>
        </w:trPr>
        <w:tc>
          <w:tcPr>
            <w:tcW w:w="5271" w:type="dxa"/>
            <w:shd w:val="clear" w:color="auto" w:fill="3E3E3E" w:themeFill="background2" w:themeFillShade="40"/>
            <w:vAlign w:val="center"/>
            <w:hideMark/>
          </w:tcPr>
          <w:p w14:paraId="4880F9A2" w14:textId="77777777" w:rsidR="00854205" w:rsidRPr="00854205" w:rsidRDefault="00854205" w:rsidP="00854205">
            <w:pPr>
              <w:spacing w:before="0" w:after="0"/>
              <w:rPr>
                <w:rFonts w:ascii="Calibri" w:eastAsia="Times New Roman" w:hAnsi="Calibri" w:cs="Calibri"/>
                <w:color w:val="FFFFFF" w:themeColor="background1"/>
                <w:sz w:val="22"/>
                <w:szCs w:val="22"/>
                <w:lang w:eastAsia="en-AU"/>
              </w:rPr>
            </w:pPr>
            <w:r w:rsidRPr="00854205">
              <w:rPr>
                <w:rFonts w:ascii="Calibri" w:eastAsia="Times New Roman" w:hAnsi="Calibri" w:cs="Calibri"/>
                <w:color w:val="FFFFFF" w:themeColor="background1"/>
                <w:sz w:val="22"/>
                <w:szCs w:val="22"/>
                <w:lang w:eastAsia="en-AU"/>
              </w:rPr>
              <w:t> </w:t>
            </w:r>
          </w:p>
        </w:tc>
        <w:tc>
          <w:tcPr>
            <w:tcW w:w="989" w:type="dxa"/>
            <w:shd w:val="clear" w:color="auto" w:fill="3E3E3E" w:themeFill="background2" w:themeFillShade="40"/>
            <w:vAlign w:val="center"/>
            <w:hideMark/>
          </w:tcPr>
          <w:p w14:paraId="16F584FC" w14:textId="77777777" w:rsidR="00854205" w:rsidRPr="00854205" w:rsidRDefault="00854205" w:rsidP="00854205">
            <w:pPr>
              <w:spacing w:before="0" w:after="0"/>
              <w:jc w:val="right"/>
              <w:rPr>
                <w:rFonts w:ascii="Arial" w:eastAsia="Times New Roman" w:hAnsi="Arial" w:cs="Arial"/>
                <w:color w:val="FFFFFF" w:themeColor="background1"/>
                <w:sz w:val="19"/>
                <w:szCs w:val="19"/>
                <w:lang w:eastAsia="en-AU"/>
              </w:rPr>
            </w:pPr>
            <w:r w:rsidRPr="00854205">
              <w:rPr>
                <w:rFonts w:ascii="Arial" w:eastAsia="Times New Roman" w:hAnsi="Arial" w:cs="Arial"/>
                <w:color w:val="FFFFFF" w:themeColor="background1"/>
                <w:sz w:val="19"/>
                <w:szCs w:val="19"/>
                <w:lang w:eastAsia="en-AU"/>
              </w:rPr>
              <w:t>Note</w:t>
            </w:r>
          </w:p>
        </w:tc>
        <w:tc>
          <w:tcPr>
            <w:tcW w:w="1520" w:type="dxa"/>
            <w:shd w:val="clear" w:color="auto" w:fill="3E3E3E" w:themeFill="background2" w:themeFillShade="40"/>
            <w:vAlign w:val="center"/>
            <w:hideMark/>
          </w:tcPr>
          <w:p w14:paraId="63FB75CF" w14:textId="77777777" w:rsidR="00854205" w:rsidRPr="00854205" w:rsidRDefault="00854205" w:rsidP="00854205">
            <w:pPr>
              <w:spacing w:before="0" w:after="0"/>
              <w:jc w:val="center"/>
              <w:rPr>
                <w:rFonts w:ascii="Arial" w:eastAsia="Times New Roman" w:hAnsi="Arial" w:cs="Arial"/>
                <w:color w:val="FFFFFF" w:themeColor="background1"/>
                <w:sz w:val="19"/>
                <w:szCs w:val="19"/>
                <w:lang w:eastAsia="en-AU"/>
              </w:rPr>
            </w:pPr>
            <w:r w:rsidRPr="00854205">
              <w:rPr>
                <w:rFonts w:ascii="Arial" w:eastAsia="Times New Roman" w:hAnsi="Arial" w:cs="Arial"/>
                <w:color w:val="FFFFFF" w:themeColor="background1"/>
                <w:sz w:val="19"/>
                <w:szCs w:val="19"/>
                <w:lang w:eastAsia="en-AU"/>
              </w:rPr>
              <w:t>Actual         2023-24</w:t>
            </w:r>
          </w:p>
        </w:tc>
        <w:tc>
          <w:tcPr>
            <w:tcW w:w="1520" w:type="dxa"/>
            <w:shd w:val="clear" w:color="auto" w:fill="3E3E3E" w:themeFill="background2" w:themeFillShade="40"/>
            <w:vAlign w:val="center"/>
            <w:hideMark/>
          </w:tcPr>
          <w:p w14:paraId="40E3843B" w14:textId="77777777" w:rsidR="00854205" w:rsidRPr="00854205" w:rsidRDefault="00854205" w:rsidP="00854205">
            <w:pPr>
              <w:spacing w:before="0" w:after="0"/>
              <w:jc w:val="center"/>
              <w:rPr>
                <w:rFonts w:ascii="Arial" w:eastAsia="Times New Roman" w:hAnsi="Arial" w:cs="Arial"/>
                <w:color w:val="FFFFFF" w:themeColor="background1"/>
                <w:sz w:val="19"/>
                <w:szCs w:val="19"/>
                <w:lang w:eastAsia="en-AU"/>
              </w:rPr>
            </w:pPr>
            <w:r w:rsidRPr="00854205">
              <w:rPr>
                <w:rFonts w:ascii="Arial" w:eastAsia="Times New Roman" w:hAnsi="Arial" w:cs="Arial"/>
                <w:color w:val="FFFFFF" w:themeColor="background1"/>
                <w:sz w:val="19"/>
                <w:szCs w:val="19"/>
                <w:lang w:eastAsia="en-AU"/>
              </w:rPr>
              <w:t>Actual          2022-23</w:t>
            </w:r>
          </w:p>
        </w:tc>
      </w:tr>
      <w:tr w:rsidR="00854205" w:rsidRPr="00854205" w14:paraId="556813D3" w14:textId="77777777" w:rsidTr="00582298">
        <w:trPr>
          <w:trHeight w:val="290"/>
        </w:trPr>
        <w:tc>
          <w:tcPr>
            <w:tcW w:w="5271" w:type="dxa"/>
            <w:shd w:val="clear" w:color="auto" w:fill="7C7C7C" w:themeFill="background2" w:themeFillShade="80"/>
            <w:vAlign w:val="center"/>
            <w:hideMark/>
          </w:tcPr>
          <w:p w14:paraId="0E921FEB" w14:textId="77777777" w:rsidR="00854205" w:rsidRPr="00854205" w:rsidRDefault="00854205" w:rsidP="00854205">
            <w:pPr>
              <w:spacing w:before="0" w:after="0"/>
              <w:rPr>
                <w:rFonts w:ascii="Calibri" w:eastAsia="Times New Roman" w:hAnsi="Calibri" w:cs="Calibri"/>
                <w:color w:val="000000" w:themeColor="text1"/>
                <w:sz w:val="22"/>
                <w:szCs w:val="22"/>
                <w:lang w:eastAsia="en-AU"/>
              </w:rPr>
            </w:pPr>
            <w:r w:rsidRPr="00854205">
              <w:rPr>
                <w:rFonts w:ascii="Calibri" w:eastAsia="Times New Roman" w:hAnsi="Calibri" w:cs="Calibri"/>
                <w:color w:val="000000" w:themeColor="text1"/>
                <w:sz w:val="22"/>
                <w:szCs w:val="22"/>
                <w:lang w:eastAsia="en-AU"/>
              </w:rPr>
              <w:t> </w:t>
            </w:r>
          </w:p>
        </w:tc>
        <w:tc>
          <w:tcPr>
            <w:tcW w:w="989" w:type="dxa"/>
            <w:shd w:val="clear" w:color="auto" w:fill="7C7C7C" w:themeFill="background2" w:themeFillShade="80"/>
            <w:vAlign w:val="center"/>
            <w:hideMark/>
          </w:tcPr>
          <w:p w14:paraId="16DF3DBC"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7C7C7C" w:themeFill="background2" w:themeFillShade="80"/>
            <w:vAlign w:val="center"/>
            <w:hideMark/>
          </w:tcPr>
          <w:p w14:paraId="0D501417" w14:textId="77777777" w:rsidR="00854205" w:rsidRPr="00854205" w:rsidRDefault="00854205" w:rsidP="00854205">
            <w:pPr>
              <w:spacing w:before="0" w:after="0"/>
              <w:jc w:val="center"/>
              <w:rPr>
                <w:rFonts w:ascii="Arial" w:eastAsia="Times New Roman" w:hAnsi="Arial" w:cs="Arial"/>
                <w:color w:val="FFFFFF" w:themeColor="background1"/>
                <w:sz w:val="19"/>
                <w:szCs w:val="19"/>
                <w:lang w:eastAsia="en-AU"/>
              </w:rPr>
            </w:pPr>
            <w:r w:rsidRPr="00854205">
              <w:rPr>
                <w:rFonts w:ascii="Arial" w:eastAsia="Times New Roman" w:hAnsi="Arial" w:cs="Arial"/>
                <w:color w:val="FFFFFF" w:themeColor="background1"/>
                <w:sz w:val="19"/>
                <w:szCs w:val="19"/>
                <w:lang w:eastAsia="en-AU"/>
              </w:rPr>
              <w:t>$’000</w:t>
            </w:r>
          </w:p>
        </w:tc>
        <w:tc>
          <w:tcPr>
            <w:tcW w:w="1520" w:type="dxa"/>
            <w:shd w:val="clear" w:color="auto" w:fill="7C7C7C" w:themeFill="background2" w:themeFillShade="80"/>
            <w:vAlign w:val="center"/>
            <w:hideMark/>
          </w:tcPr>
          <w:p w14:paraId="541F7213" w14:textId="77777777" w:rsidR="00854205" w:rsidRPr="00854205" w:rsidRDefault="00854205" w:rsidP="00854205">
            <w:pPr>
              <w:spacing w:before="0" w:after="0"/>
              <w:jc w:val="center"/>
              <w:rPr>
                <w:rFonts w:ascii="Arial" w:eastAsia="Times New Roman" w:hAnsi="Arial" w:cs="Arial"/>
                <w:color w:val="FFFFFF" w:themeColor="background1"/>
                <w:sz w:val="19"/>
                <w:szCs w:val="19"/>
                <w:lang w:eastAsia="en-AU"/>
              </w:rPr>
            </w:pPr>
            <w:r w:rsidRPr="00854205">
              <w:rPr>
                <w:rFonts w:ascii="Arial" w:eastAsia="Times New Roman" w:hAnsi="Arial" w:cs="Arial"/>
                <w:color w:val="FFFFFF" w:themeColor="background1"/>
                <w:sz w:val="19"/>
                <w:szCs w:val="19"/>
                <w:lang w:eastAsia="en-AU"/>
              </w:rPr>
              <w:t>$’000</w:t>
            </w:r>
          </w:p>
        </w:tc>
      </w:tr>
      <w:tr w:rsidR="00854205" w:rsidRPr="00854205" w14:paraId="0374FF0A" w14:textId="77777777" w:rsidTr="00582298">
        <w:trPr>
          <w:trHeight w:val="290"/>
        </w:trPr>
        <w:tc>
          <w:tcPr>
            <w:tcW w:w="5271" w:type="dxa"/>
            <w:shd w:val="clear" w:color="auto" w:fill="DFDFDF" w:themeFill="background2" w:themeFillShade="E6"/>
            <w:vAlign w:val="center"/>
            <w:hideMark/>
          </w:tcPr>
          <w:p w14:paraId="14CD6617" w14:textId="77777777" w:rsidR="00854205" w:rsidRPr="00854205" w:rsidRDefault="00854205" w:rsidP="00854205">
            <w:pPr>
              <w:spacing w:before="0" w:after="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INCOME</w:t>
            </w:r>
          </w:p>
        </w:tc>
        <w:tc>
          <w:tcPr>
            <w:tcW w:w="989" w:type="dxa"/>
            <w:shd w:val="clear" w:color="auto" w:fill="DFDFDF" w:themeFill="background2" w:themeFillShade="E6"/>
            <w:vAlign w:val="center"/>
            <w:hideMark/>
          </w:tcPr>
          <w:p w14:paraId="26D22B11"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vAlign w:val="center"/>
            <w:hideMark/>
          </w:tcPr>
          <w:p w14:paraId="67CAF32E"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vAlign w:val="center"/>
            <w:hideMark/>
          </w:tcPr>
          <w:p w14:paraId="6FE01AE7" w14:textId="77777777" w:rsidR="00854205" w:rsidRPr="00854205" w:rsidRDefault="00854205" w:rsidP="00854205">
            <w:pPr>
              <w:spacing w:before="0" w:after="0"/>
              <w:rPr>
                <w:rFonts w:ascii="Calibri" w:eastAsia="Times New Roman" w:hAnsi="Calibri" w:cs="Calibri"/>
                <w:color w:val="000000" w:themeColor="text1"/>
                <w:sz w:val="22"/>
                <w:szCs w:val="22"/>
                <w:lang w:eastAsia="en-AU"/>
              </w:rPr>
            </w:pPr>
            <w:r w:rsidRPr="00854205">
              <w:rPr>
                <w:rFonts w:ascii="Calibri" w:eastAsia="Times New Roman" w:hAnsi="Calibri" w:cs="Calibri"/>
                <w:color w:val="000000" w:themeColor="text1"/>
                <w:sz w:val="22"/>
                <w:szCs w:val="22"/>
                <w:lang w:eastAsia="en-AU"/>
              </w:rPr>
              <w:t> </w:t>
            </w:r>
          </w:p>
        </w:tc>
      </w:tr>
      <w:tr w:rsidR="00854205" w:rsidRPr="00854205" w14:paraId="6831E667" w14:textId="77777777" w:rsidTr="00382AB9">
        <w:trPr>
          <w:trHeight w:val="250"/>
        </w:trPr>
        <w:tc>
          <w:tcPr>
            <w:tcW w:w="5271" w:type="dxa"/>
            <w:shd w:val="clear" w:color="auto" w:fill="auto"/>
            <w:vAlign w:val="center"/>
            <w:hideMark/>
          </w:tcPr>
          <w:p w14:paraId="3A68E47F"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User charges and fees</w:t>
            </w:r>
          </w:p>
        </w:tc>
        <w:tc>
          <w:tcPr>
            <w:tcW w:w="989" w:type="dxa"/>
            <w:shd w:val="clear" w:color="auto" w:fill="auto"/>
            <w:vAlign w:val="center"/>
            <w:hideMark/>
          </w:tcPr>
          <w:p w14:paraId="6512A903"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w:t>
            </w:r>
          </w:p>
        </w:tc>
        <w:tc>
          <w:tcPr>
            <w:tcW w:w="1520" w:type="dxa"/>
            <w:shd w:val="clear" w:color="auto" w:fill="auto"/>
            <w:noWrap/>
            <w:vAlign w:val="center"/>
            <w:hideMark/>
          </w:tcPr>
          <w:p w14:paraId="17EABFDE"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1,163,231</w:t>
            </w:r>
          </w:p>
        </w:tc>
        <w:tc>
          <w:tcPr>
            <w:tcW w:w="1520" w:type="dxa"/>
            <w:shd w:val="clear" w:color="auto" w:fill="auto"/>
            <w:noWrap/>
            <w:vAlign w:val="center"/>
            <w:hideMark/>
          </w:tcPr>
          <w:p w14:paraId="23CF7115"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2,014,224</w:t>
            </w:r>
          </w:p>
        </w:tc>
      </w:tr>
      <w:tr w:rsidR="00854205" w:rsidRPr="00854205" w14:paraId="5B7CDBA0" w14:textId="77777777" w:rsidTr="00582298">
        <w:trPr>
          <w:trHeight w:val="250"/>
        </w:trPr>
        <w:tc>
          <w:tcPr>
            <w:tcW w:w="5271" w:type="dxa"/>
            <w:shd w:val="clear" w:color="auto" w:fill="DFDFDF" w:themeFill="background2" w:themeFillShade="E6"/>
            <w:vAlign w:val="center"/>
            <w:hideMark/>
          </w:tcPr>
          <w:p w14:paraId="5D60EAF6"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Appropriation revenue</w:t>
            </w:r>
          </w:p>
        </w:tc>
        <w:tc>
          <w:tcPr>
            <w:tcW w:w="989" w:type="dxa"/>
            <w:shd w:val="clear" w:color="auto" w:fill="DFDFDF" w:themeFill="background2" w:themeFillShade="E6"/>
            <w:vAlign w:val="center"/>
            <w:hideMark/>
          </w:tcPr>
          <w:p w14:paraId="6A22CEA2"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p>
        </w:tc>
        <w:tc>
          <w:tcPr>
            <w:tcW w:w="1520" w:type="dxa"/>
            <w:shd w:val="clear" w:color="auto" w:fill="DFDFDF" w:themeFill="background2" w:themeFillShade="E6"/>
            <w:noWrap/>
            <w:vAlign w:val="center"/>
            <w:hideMark/>
          </w:tcPr>
          <w:p w14:paraId="545E12F0"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307,946</w:t>
            </w:r>
          </w:p>
        </w:tc>
        <w:tc>
          <w:tcPr>
            <w:tcW w:w="1520" w:type="dxa"/>
            <w:shd w:val="clear" w:color="auto" w:fill="DFDFDF" w:themeFill="background2" w:themeFillShade="E6"/>
            <w:noWrap/>
            <w:vAlign w:val="center"/>
            <w:hideMark/>
          </w:tcPr>
          <w:p w14:paraId="38096538"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241,010</w:t>
            </w:r>
          </w:p>
        </w:tc>
      </w:tr>
      <w:tr w:rsidR="00854205" w:rsidRPr="00854205" w14:paraId="005BB0F1" w14:textId="77777777" w:rsidTr="00382AB9">
        <w:trPr>
          <w:trHeight w:val="250"/>
        </w:trPr>
        <w:tc>
          <w:tcPr>
            <w:tcW w:w="5271" w:type="dxa"/>
            <w:shd w:val="clear" w:color="auto" w:fill="auto"/>
            <w:vAlign w:val="center"/>
            <w:hideMark/>
          </w:tcPr>
          <w:p w14:paraId="60027180"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Grants and other contributions</w:t>
            </w:r>
          </w:p>
        </w:tc>
        <w:tc>
          <w:tcPr>
            <w:tcW w:w="989" w:type="dxa"/>
            <w:shd w:val="clear" w:color="auto" w:fill="auto"/>
            <w:vAlign w:val="center"/>
            <w:hideMark/>
          </w:tcPr>
          <w:p w14:paraId="58C91650"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xml:space="preserve">    </w:t>
            </w:r>
          </w:p>
        </w:tc>
        <w:tc>
          <w:tcPr>
            <w:tcW w:w="1520" w:type="dxa"/>
            <w:shd w:val="clear" w:color="auto" w:fill="auto"/>
            <w:noWrap/>
            <w:vAlign w:val="center"/>
            <w:hideMark/>
          </w:tcPr>
          <w:p w14:paraId="3569DA99"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54,826</w:t>
            </w:r>
          </w:p>
        </w:tc>
        <w:tc>
          <w:tcPr>
            <w:tcW w:w="1520" w:type="dxa"/>
            <w:shd w:val="clear" w:color="auto" w:fill="auto"/>
            <w:noWrap/>
            <w:vAlign w:val="center"/>
            <w:hideMark/>
          </w:tcPr>
          <w:p w14:paraId="38F3E9C3"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33,055</w:t>
            </w:r>
          </w:p>
        </w:tc>
      </w:tr>
      <w:tr w:rsidR="00854205" w:rsidRPr="00854205" w14:paraId="5448B9FB" w14:textId="77777777" w:rsidTr="00582298">
        <w:trPr>
          <w:trHeight w:val="250"/>
        </w:trPr>
        <w:tc>
          <w:tcPr>
            <w:tcW w:w="5271" w:type="dxa"/>
            <w:shd w:val="clear" w:color="auto" w:fill="DFDFDF" w:themeFill="background2" w:themeFillShade="E6"/>
            <w:vAlign w:val="center"/>
            <w:hideMark/>
          </w:tcPr>
          <w:p w14:paraId="589FAB85"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Other revenue</w:t>
            </w:r>
          </w:p>
        </w:tc>
        <w:tc>
          <w:tcPr>
            <w:tcW w:w="989" w:type="dxa"/>
            <w:shd w:val="clear" w:color="auto" w:fill="DFDFDF" w:themeFill="background2" w:themeFillShade="E6"/>
            <w:vAlign w:val="center"/>
            <w:hideMark/>
          </w:tcPr>
          <w:p w14:paraId="00840056"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630D9E22"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26,876</w:t>
            </w:r>
          </w:p>
        </w:tc>
        <w:tc>
          <w:tcPr>
            <w:tcW w:w="1520" w:type="dxa"/>
            <w:shd w:val="clear" w:color="auto" w:fill="DFDFDF" w:themeFill="background2" w:themeFillShade="E6"/>
            <w:noWrap/>
            <w:vAlign w:val="center"/>
            <w:hideMark/>
          </w:tcPr>
          <w:p w14:paraId="1C7875B7"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31,007</w:t>
            </w:r>
          </w:p>
        </w:tc>
      </w:tr>
      <w:tr w:rsidR="00854205" w:rsidRPr="00854205" w14:paraId="4BBE2E92" w14:textId="77777777" w:rsidTr="00382AB9">
        <w:trPr>
          <w:trHeight w:val="250"/>
        </w:trPr>
        <w:tc>
          <w:tcPr>
            <w:tcW w:w="5271" w:type="dxa"/>
            <w:shd w:val="clear" w:color="auto" w:fill="auto"/>
            <w:vAlign w:val="center"/>
            <w:hideMark/>
          </w:tcPr>
          <w:p w14:paraId="0513BD7C"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Gains on disposal /remeasurement of assets</w:t>
            </w:r>
          </w:p>
        </w:tc>
        <w:tc>
          <w:tcPr>
            <w:tcW w:w="989" w:type="dxa"/>
            <w:shd w:val="clear" w:color="auto" w:fill="auto"/>
            <w:vAlign w:val="center"/>
            <w:hideMark/>
          </w:tcPr>
          <w:p w14:paraId="6158F5B8" w14:textId="77777777" w:rsidR="00854205" w:rsidRPr="00854205" w:rsidRDefault="00854205" w:rsidP="00854205">
            <w:pPr>
              <w:spacing w:before="0" w:after="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xml:space="preserve">    </w:t>
            </w:r>
          </w:p>
        </w:tc>
        <w:tc>
          <w:tcPr>
            <w:tcW w:w="1520" w:type="dxa"/>
            <w:shd w:val="clear" w:color="auto" w:fill="auto"/>
            <w:noWrap/>
            <w:vAlign w:val="center"/>
            <w:hideMark/>
          </w:tcPr>
          <w:p w14:paraId="2CD76C1C"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1,831</w:t>
            </w:r>
          </w:p>
        </w:tc>
        <w:tc>
          <w:tcPr>
            <w:tcW w:w="1520" w:type="dxa"/>
            <w:shd w:val="clear" w:color="auto" w:fill="auto"/>
            <w:noWrap/>
            <w:vAlign w:val="center"/>
            <w:hideMark/>
          </w:tcPr>
          <w:p w14:paraId="5F5B46F6"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555</w:t>
            </w:r>
          </w:p>
        </w:tc>
      </w:tr>
      <w:tr w:rsidR="00854205" w:rsidRPr="00854205" w14:paraId="38ABFE60" w14:textId="77777777" w:rsidTr="009E6069">
        <w:trPr>
          <w:trHeight w:val="250"/>
        </w:trPr>
        <w:tc>
          <w:tcPr>
            <w:tcW w:w="5271" w:type="dxa"/>
            <w:shd w:val="clear" w:color="auto" w:fill="B9B9B9" w:themeFill="background2" w:themeFillShade="BF"/>
            <w:vAlign w:val="center"/>
            <w:hideMark/>
          </w:tcPr>
          <w:p w14:paraId="5A0D83C2" w14:textId="77777777" w:rsidR="00854205" w:rsidRPr="00854205" w:rsidRDefault="00854205" w:rsidP="00854205">
            <w:pPr>
              <w:spacing w:before="0" w:after="0"/>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Total income</w:t>
            </w:r>
          </w:p>
        </w:tc>
        <w:tc>
          <w:tcPr>
            <w:tcW w:w="989" w:type="dxa"/>
            <w:shd w:val="clear" w:color="auto" w:fill="B9B9B9" w:themeFill="background2" w:themeFillShade="BF"/>
            <w:vAlign w:val="center"/>
            <w:hideMark/>
          </w:tcPr>
          <w:p w14:paraId="538498D2"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B9B9B9" w:themeFill="background2" w:themeFillShade="BF"/>
            <w:noWrap/>
            <w:vAlign w:val="center"/>
            <w:hideMark/>
          </w:tcPr>
          <w:p w14:paraId="20E786FC"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1,554,710</w:t>
            </w:r>
          </w:p>
        </w:tc>
        <w:tc>
          <w:tcPr>
            <w:tcW w:w="1520" w:type="dxa"/>
            <w:shd w:val="clear" w:color="auto" w:fill="B9B9B9" w:themeFill="background2" w:themeFillShade="BF"/>
            <w:noWrap/>
            <w:vAlign w:val="center"/>
            <w:hideMark/>
          </w:tcPr>
          <w:p w14:paraId="6D322B17"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2,319,851</w:t>
            </w:r>
          </w:p>
        </w:tc>
      </w:tr>
      <w:tr w:rsidR="00854205" w:rsidRPr="00854205" w14:paraId="10200996" w14:textId="77777777" w:rsidTr="0066635F">
        <w:trPr>
          <w:trHeight w:val="290"/>
        </w:trPr>
        <w:tc>
          <w:tcPr>
            <w:tcW w:w="5271" w:type="dxa"/>
            <w:shd w:val="clear" w:color="auto" w:fill="DFDFDF" w:themeFill="background2" w:themeFillShade="E6"/>
            <w:vAlign w:val="center"/>
            <w:hideMark/>
          </w:tcPr>
          <w:p w14:paraId="394A8DCE" w14:textId="77777777" w:rsidR="00854205" w:rsidRPr="00854205" w:rsidRDefault="00854205" w:rsidP="00854205">
            <w:pPr>
              <w:spacing w:before="0" w:after="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EXPENSES</w:t>
            </w:r>
          </w:p>
        </w:tc>
        <w:tc>
          <w:tcPr>
            <w:tcW w:w="989" w:type="dxa"/>
            <w:shd w:val="clear" w:color="auto" w:fill="DFDFDF" w:themeFill="background2" w:themeFillShade="E6"/>
            <w:vAlign w:val="center"/>
            <w:hideMark/>
          </w:tcPr>
          <w:p w14:paraId="7C2EE502"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2E148161"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63B41F42" w14:textId="77777777" w:rsidR="00854205" w:rsidRPr="00854205" w:rsidRDefault="00854205" w:rsidP="00854205">
            <w:pPr>
              <w:spacing w:before="0" w:after="0"/>
              <w:jc w:val="right"/>
              <w:rPr>
                <w:rFonts w:ascii="Calibri" w:eastAsia="Times New Roman" w:hAnsi="Calibri" w:cs="Calibri"/>
                <w:color w:val="000000" w:themeColor="text1"/>
                <w:sz w:val="22"/>
                <w:szCs w:val="22"/>
                <w:lang w:eastAsia="en-AU"/>
              </w:rPr>
            </w:pPr>
            <w:r w:rsidRPr="00854205">
              <w:rPr>
                <w:rFonts w:ascii="Calibri" w:eastAsia="Times New Roman" w:hAnsi="Calibri" w:cs="Calibri"/>
                <w:color w:val="000000" w:themeColor="text1"/>
                <w:sz w:val="22"/>
                <w:szCs w:val="22"/>
                <w:lang w:eastAsia="en-AU"/>
              </w:rPr>
              <w:t> </w:t>
            </w:r>
          </w:p>
        </w:tc>
      </w:tr>
      <w:tr w:rsidR="00854205" w:rsidRPr="00854205" w14:paraId="0160C68D" w14:textId="77777777" w:rsidTr="00382AB9">
        <w:trPr>
          <w:trHeight w:val="250"/>
        </w:trPr>
        <w:tc>
          <w:tcPr>
            <w:tcW w:w="5271" w:type="dxa"/>
            <w:shd w:val="clear" w:color="auto" w:fill="auto"/>
            <w:vAlign w:val="center"/>
            <w:hideMark/>
          </w:tcPr>
          <w:p w14:paraId="381C7478"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Supplies and services</w:t>
            </w:r>
          </w:p>
        </w:tc>
        <w:tc>
          <w:tcPr>
            <w:tcW w:w="989" w:type="dxa"/>
            <w:shd w:val="clear" w:color="auto" w:fill="auto"/>
            <w:vAlign w:val="center"/>
            <w:hideMark/>
          </w:tcPr>
          <w:p w14:paraId="36ACE32E"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w:t>
            </w:r>
          </w:p>
        </w:tc>
        <w:tc>
          <w:tcPr>
            <w:tcW w:w="1520" w:type="dxa"/>
            <w:shd w:val="clear" w:color="auto" w:fill="auto"/>
            <w:noWrap/>
            <w:vAlign w:val="center"/>
            <w:hideMark/>
          </w:tcPr>
          <w:p w14:paraId="21942F68"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739,118</w:t>
            </w:r>
          </w:p>
        </w:tc>
        <w:tc>
          <w:tcPr>
            <w:tcW w:w="1520" w:type="dxa"/>
            <w:shd w:val="clear" w:color="auto" w:fill="auto"/>
            <w:noWrap/>
            <w:vAlign w:val="center"/>
            <w:hideMark/>
          </w:tcPr>
          <w:p w14:paraId="4CEB7E80"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1,321,102</w:t>
            </w:r>
          </w:p>
        </w:tc>
      </w:tr>
      <w:tr w:rsidR="00854205" w:rsidRPr="00854205" w14:paraId="6CBBCE54" w14:textId="77777777" w:rsidTr="0066635F">
        <w:trPr>
          <w:trHeight w:val="250"/>
        </w:trPr>
        <w:tc>
          <w:tcPr>
            <w:tcW w:w="5271" w:type="dxa"/>
            <w:shd w:val="clear" w:color="auto" w:fill="DFDFDF" w:themeFill="background2" w:themeFillShade="E6"/>
            <w:vAlign w:val="center"/>
            <w:hideMark/>
          </w:tcPr>
          <w:p w14:paraId="78ADBEB9"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xml:space="preserve">Depreciation and amortisation </w:t>
            </w:r>
          </w:p>
        </w:tc>
        <w:tc>
          <w:tcPr>
            <w:tcW w:w="989" w:type="dxa"/>
            <w:shd w:val="clear" w:color="auto" w:fill="DFDFDF" w:themeFill="background2" w:themeFillShade="E6"/>
            <w:vAlign w:val="center"/>
            <w:hideMark/>
          </w:tcPr>
          <w:p w14:paraId="3C7AC58E"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w:t>
            </w:r>
          </w:p>
        </w:tc>
        <w:tc>
          <w:tcPr>
            <w:tcW w:w="1520" w:type="dxa"/>
            <w:shd w:val="clear" w:color="auto" w:fill="DFDFDF" w:themeFill="background2" w:themeFillShade="E6"/>
            <w:noWrap/>
            <w:vAlign w:val="center"/>
            <w:hideMark/>
          </w:tcPr>
          <w:p w14:paraId="4CF9B1D3"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306,582</w:t>
            </w:r>
          </w:p>
        </w:tc>
        <w:tc>
          <w:tcPr>
            <w:tcW w:w="1520" w:type="dxa"/>
            <w:shd w:val="clear" w:color="auto" w:fill="DFDFDF" w:themeFill="background2" w:themeFillShade="E6"/>
            <w:noWrap/>
            <w:vAlign w:val="center"/>
            <w:hideMark/>
          </w:tcPr>
          <w:p w14:paraId="2227D24E"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536,245</w:t>
            </w:r>
          </w:p>
        </w:tc>
      </w:tr>
      <w:tr w:rsidR="00854205" w:rsidRPr="00854205" w14:paraId="79C755B8" w14:textId="77777777" w:rsidTr="00382AB9">
        <w:trPr>
          <w:trHeight w:val="250"/>
        </w:trPr>
        <w:tc>
          <w:tcPr>
            <w:tcW w:w="5271" w:type="dxa"/>
            <w:shd w:val="clear" w:color="auto" w:fill="auto"/>
            <w:vAlign w:val="center"/>
            <w:hideMark/>
          </w:tcPr>
          <w:p w14:paraId="7BE75E1B"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Employee expenses</w:t>
            </w:r>
          </w:p>
        </w:tc>
        <w:tc>
          <w:tcPr>
            <w:tcW w:w="989" w:type="dxa"/>
            <w:shd w:val="clear" w:color="auto" w:fill="auto"/>
            <w:vAlign w:val="center"/>
            <w:hideMark/>
          </w:tcPr>
          <w:p w14:paraId="761219BB"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p>
        </w:tc>
        <w:tc>
          <w:tcPr>
            <w:tcW w:w="1520" w:type="dxa"/>
            <w:shd w:val="clear" w:color="auto" w:fill="auto"/>
            <w:noWrap/>
            <w:vAlign w:val="center"/>
            <w:hideMark/>
          </w:tcPr>
          <w:p w14:paraId="2F7218BD"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214,899</w:t>
            </w:r>
          </w:p>
        </w:tc>
        <w:tc>
          <w:tcPr>
            <w:tcW w:w="1520" w:type="dxa"/>
            <w:shd w:val="clear" w:color="auto" w:fill="auto"/>
            <w:noWrap/>
            <w:vAlign w:val="center"/>
            <w:hideMark/>
          </w:tcPr>
          <w:p w14:paraId="472BE39A"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287,380</w:t>
            </w:r>
          </w:p>
        </w:tc>
      </w:tr>
      <w:tr w:rsidR="00854205" w:rsidRPr="00854205" w14:paraId="2BDE10FD" w14:textId="77777777" w:rsidTr="0066635F">
        <w:trPr>
          <w:trHeight w:val="250"/>
        </w:trPr>
        <w:tc>
          <w:tcPr>
            <w:tcW w:w="5271" w:type="dxa"/>
            <w:shd w:val="clear" w:color="auto" w:fill="DFDFDF" w:themeFill="background2" w:themeFillShade="E6"/>
            <w:vAlign w:val="center"/>
            <w:hideMark/>
          </w:tcPr>
          <w:p w14:paraId="6F307EAF"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xml:space="preserve">Finance/borrowing costs </w:t>
            </w:r>
          </w:p>
        </w:tc>
        <w:tc>
          <w:tcPr>
            <w:tcW w:w="989" w:type="dxa"/>
            <w:shd w:val="clear" w:color="auto" w:fill="DFDFDF" w:themeFill="background2" w:themeFillShade="E6"/>
            <w:vAlign w:val="center"/>
            <w:hideMark/>
          </w:tcPr>
          <w:p w14:paraId="3278EFBE" w14:textId="77777777" w:rsidR="00854205" w:rsidRPr="00854205" w:rsidRDefault="00854205" w:rsidP="00854205">
            <w:pPr>
              <w:spacing w:before="0" w:after="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xml:space="preserve">       </w:t>
            </w:r>
          </w:p>
        </w:tc>
        <w:tc>
          <w:tcPr>
            <w:tcW w:w="1520" w:type="dxa"/>
            <w:shd w:val="clear" w:color="auto" w:fill="DFDFDF" w:themeFill="background2" w:themeFillShade="E6"/>
            <w:noWrap/>
            <w:vAlign w:val="center"/>
            <w:hideMark/>
          </w:tcPr>
          <w:p w14:paraId="649222B7"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30,435</w:t>
            </w:r>
          </w:p>
        </w:tc>
        <w:tc>
          <w:tcPr>
            <w:tcW w:w="1520" w:type="dxa"/>
            <w:shd w:val="clear" w:color="auto" w:fill="DFDFDF" w:themeFill="background2" w:themeFillShade="E6"/>
            <w:noWrap/>
            <w:vAlign w:val="center"/>
            <w:hideMark/>
          </w:tcPr>
          <w:p w14:paraId="554AA663"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39,881</w:t>
            </w:r>
          </w:p>
        </w:tc>
      </w:tr>
      <w:tr w:rsidR="00854205" w:rsidRPr="00854205" w14:paraId="3841E8FA" w14:textId="77777777" w:rsidTr="00382AB9">
        <w:trPr>
          <w:trHeight w:val="250"/>
        </w:trPr>
        <w:tc>
          <w:tcPr>
            <w:tcW w:w="5271" w:type="dxa"/>
            <w:shd w:val="clear" w:color="auto" w:fill="auto"/>
            <w:vAlign w:val="center"/>
            <w:hideMark/>
          </w:tcPr>
          <w:p w14:paraId="013E7868"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Grants and subsidies</w:t>
            </w:r>
          </w:p>
        </w:tc>
        <w:tc>
          <w:tcPr>
            <w:tcW w:w="989" w:type="dxa"/>
            <w:shd w:val="clear" w:color="auto" w:fill="auto"/>
            <w:vAlign w:val="center"/>
            <w:hideMark/>
          </w:tcPr>
          <w:p w14:paraId="549DCDA0"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xml:space="preserve">2    </w:t>
            </w:r>
          </w:p>
        </w:tc>
        <w:tc>
          <w:tcPr>
            <w:tcW w:w="1520" w:type="dxa"/>
            <w:shd w:val="clear" w:color="auto" w:fill="auto"/>
            <w:noWrap/>
            <w:vAlign w:val="center"/>
            <w:hideMark/>
          </w:tcPr>
          <w:p w14:paraId="44E65488"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200,061</w:t>
            </w:r>
          </w:p>
        </w:tc>
        <w:tc>
          <w:tcPr>
            <w:tcW w:w="1520" w:type="dxa"/>
            <w:shd w:val="clear" w:color="auto" w:fill="auto"/>
            <w:noWrap/>
            <w:vAlign w:val="center"/>
            <w:hideMark/>
          </w:tcPr>
          <w:p w14:paraId="5345CFCE"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77,015</w:t>
            </w:r>
          </w:p>
        </w:tc>
      </w:tr>
      <w:tr w:rsidR="00854205" w:rsidRPr="00854205" w14:paraId="49AAC788" w14:textId="77777777" w:rsidTr="0066635F">
        <w:trPr>
          <w:trHeight w:val="250"/>
        </w:trPr>
        <w:tc>
          <w:tcPr>
            <w:tcW w:w="5271" w:type="dxa"/>
            <w:shd w:val="clear" w:color="auto" w:fill="DFDFDF" w:themeFill="background2" w:themeFillShade="E6"/>
            <w:vAlign w:val="center"/>
            <w:hideMark/>
          </w:tcPr>
          <w:p w14:paraId="5393A22D"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Other expenses</w:t>
            </w:r>
          </w:p>
        </w:tc>
        <w:tc>
          <w:tcPr>
            <w:tcW w:w="989" w:type="dxa"/>
            <w:shd w:val="clear" w:color="auto" w:fill="DFDFDF" w:themeFill="background2" w:themeFillShade="E6"/>
            <w:vAlign w:val="center"/>
            <w:hideMark/>
          </w:tcPr>
          <w:p w14:paraId="61C16CA4"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5471B6AE"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14,821</w:t>
            </w:r>
          </w:p>
        </w:tc>
        <w:tc>
          <w:tcPr>
            <w:tcW w:w="1520" w:type="dxa"/>
            <w:shd w:val="clear" w:color="auto" w:fill="DFDFDF" w:themeFill="background2" w:themeFillShade="E6"/>
            <w:noWrap/>
            <w:vAlign w:val="center"/>
            <w:hideMark/>
          </w:tcPr>
          <w:p w14:paraId="297A08A7"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19,141</w:t>
            </w:r>
          </w:p>
        </w:tc>
      </w:tr>
      <w:tr w:rsidR="00854205" w:rsidRPr="00854205" w14:paraId="18E1A793" w14:textId="77777777" w:rsidTr="009E6069">
        <w:trPr>
          <w:trHeight w:val="250"/>
        </w:trPr>
        <w:tc>
          <w:tcPr>
            <w:tcW w:w="5271" w:type="dxa"/>
            <w:shd w:val="clear" w:color="auto" w:fill="B9B9B9" w:themeFill="background2" w:themeFillShade="BF"/>
            <w:vAlign w:val="center"/>
            <w:hideMark/>
          </w:tcPr>
          <w:p w14:paraId="37B59695" w14:textId="77777777" w:rsidR="00854205" w:rsidRPr="00854205" w:rsidRDefault="00854205" w:rsidP="00854205">
            <w:pPr>
              <w:spacing w:before="0" w:after="0"/>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Total expenses</w:t>
            </w:r>
          </w:p>
        </w:tc>
        <w:tc>
          <w:tcPr>
            <w:tcW w:w="989" w:type="dxa"/>
            <w:shd w:val="clear" w:color="auto" w:fill="B9B9B9" w:themeFill="background2" w:themeFillShade="BF"/>
            <w:vAlign w:val="center"/>
            <w:hideMark/>
          </w:tcPr>
          <w:p w14:paraId="4C5E945D"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B9B9B9" w:themeFill="background2" w:themeFillShade="BF"/>
            <w:noWrap/>
            <w:vAlign w:val="center"/>
            <w:hideMark/>
          </w:tcPr>
          <w:p w14:paraId="636EA380"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1,505,916</w:t>
            </w:r>
          </w:p>
        </w:tc>
        <w:tc>
          <w:tcPr>
            <w:tcW w:w="1520" w:type="dxa"/>
            <w:shd w:val="clear" w:color="auto" w:fill="B9B9B9" w:themeFill="background2" w:themeFillShade="BF"/>
            <w:noWrap/>
            <w:vAlign w:val="center"/>
            <w:hideMark/>
          </w:tcPr>
          <w:p w14:paraId="26835F09"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2,280,764</w:t>
            </w:r>
          </w:p>
        </w:tc>
      </w:tr>
      <w:tr w:rsidR="00854205" w:rsidRPr="00854205" w14:paraId="2D976914" w14:textId="77777777" w:rsidTr="009E6069">
        <w:trPr>
          <w:trHeight w:val="250"/>
        </w:trPr>
        <w:tc>
          <w:tcPr>
            <w:tcW w:w="5271" w:type="dxa"/>
            <w:shd w:val="clear" w:color="auto" w:fill="DFDFDF" w:themeFill="background2" w:themeFillShade="E6"/>
            <w:vAlign w:val="center"/>
            <w:hideMark/>
          </w:tcPr>
          <w:p w14:paraId="23E67AEF" w14:textId="77777777" w:rsidR="00854205" w:rsidRPr="00854205" w:rsidRDefault="00854205" w:rsidP="00854205">
            <w:pPr>
              <w:spacing w:before="0" w:after="0"/>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Operating result before income tax</w:t>
            </w:r>
          </w:p>
        </w:tc>
        <w:tc>
          <w:tcPr>
            <w:tcW w:w="989" w:type="dxa"/>
            <w:shd w:val="clear" w:color="auto" w:fill="DFDFDF" w:themeFill="background2" w:themeFillShade="E6"/>
            <w:vAlign w:val="center"/>
            <w:hideMark/>
          </w:tcPr>
          <w:p w14:paraId="5C06F611"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121AE2D0"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48,794</w:t>
            </w:r>
          </w:p>
        </w:tc>
        <w:tc>
          <w:tcPr>
            <w:tcW w:w="1520" w:type="dxa"/>
            <w:shd w:val="clear" w:color="auto" w:fill="DFDFDF" w:themeFill="background2" w:themeFillShade="E6"/>
            <w:noWrap/>
            <w:vAlign w:val="center"/>
            <w:hideMark/>
          </w:tcPr>
          <w:p w14:paraId="2C7C09F9"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39,087</w:t>
            </w:r>
          </w:p>
        </w:tc>
      </w:tr>
      <w:tr w:rsidR="00854205" w:rsidRPr="00854205" w14:paraId="40CA1D21" w14:textId="77777777" w:rsidTr="00382AB9">
        <w:trPr>
          <w:trHeight w:val="250"/>
        </w:trPr>
        <w:tc>
          <w:tcPr>
            <w:tcW w:w="5271" w:type="dxa"/>
            <w:shd w:val="clear" w:color="auto" w:fill="auto"/>
            <w:vAlign w:val="center"/>
            <w:hideMark/>
          </w:tcPr>
          <w:p w14:paraId="24A6F304"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Income tax benefit /(expense)</w:t>
            </w:r>
          </w:p>
        </w:tc>
        <w:tc>
          <w:tcPr>
            <w:tcW w:w="989" w:type="dxa"/>
            <w:shd w:val="clear" w:color="auto" w:fill="auto"/>
            <w:vAlign w:val="center"/>
            <w:hideMark/>
          </w:tcPr>
          <w:p w14:paraId="33C5B69F"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p>
        </w:tc>
        <w:tc>
          <w:tcPr>
            <w:tcW w:w="1520" w:type="dxa"/>
            <w:shd w:val="clear" w:color="auto" w:fill="auto"/>
            <w:noWrap/>
            <w:vAlign w:val="center"/>
            <w:hideMark/>
          </w:tcPr>
          <w:p w14:paraId="42FBC741"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(13,490)</w:t>
            </w:r>
          </w:p>
        </w:tc>
        <w:tc>
          <w:tcPr>
            <w:tcW w:w="1520" w:type="dxa"/>
            <w:shd w:val="clear" w:color="auto" w:fill="auto"/>
            <w:noWrap/>
            <w:vAlign w:val="center"/>
            <w:hideMark/>
          </w:tcPr>
          <w:p w14:paraId="5017EC1E"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(6,487)</w:t>
            </w:r>
          </w:p>
        </w:tc>
      </w:tr>
      <w:tr w:rsidR="00854205" w:rsidRPr="00854205" w14:paraId="01DF3981" w14:textId="77777777" w:rsidTr="009E6069">
        <w:trPr>
          <w:trHeight w:val="250"/>
        </w:trPr>
        <w:tc>
          <w:tcPr>
            <w:tcW w:w="5271" w:type="dxa"/>
            <w:shd w:val="clear" w:color="auto" w:fill="DFDFDF" w:themeFill="background2" w:themeFillShade="E6"/>
            <w:vAlign w:val="center"/>
            <w:hideMark/>
          </w:tcPr>
          <w:p w14:paraId="24CC59D9" w14:textId="77777777" w:rsidR="00854205" w:rsidRPr="00854205" w:rsidRDefault="00854205" w:rsidP="00854205">
            <w:pPr>
              <w:spacing w:before="0" w:after="0"/>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Operating result after income tax</w:t>
            </w:r>
          </w:p>
        </w:tc>
        <w:tc>
          <w:tcPr>
            <w:tcW w:w="989" w:type="dxa"/>
            <w:shd w:val="clear" w:color="auto" w:fill="DFDFDF" w:themeFill="background2" w:themeFillShade="E6"/>
            <w:vAlign w:val="center"/>
            <w:hideMark/>
          </w:tcPr>
          <w:p w14:paraId="4E9FB206"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5F7D6200"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35,304</w:t>
            </w:r>
          </w:p>
        </w:tc>
        <w:tc>
          <w:tcPr>
            <w:tcW w:w="1520" w:type="dxa"/>
            <w:shd w:val="clear" w:color="auto" w:fill="DFDFDF" w:themeFill="background2" w:themeFillShade="E6"/>
            <w:noWrap/>
            <w:vAlign w:val="center"/>
            <w:hideMark/>
          </w:tcPr>
          <w:p w14:paraId="68258153"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32,600</w:t>
            </w:r>
          </w:p>
        </w:tc>
      </w:tr>
      <w:tr w:rsidR="00854205" w:rsidRPr="00854205" w14:paraId="7F9B95E7" w14:textId="77777777" w:rsidTr="009E6069">
        <w:trPr>
          <w:trHeight w:val="290"/>
        </w:trPr>
        <w:tc>
          <w:tcPr>
            <w:tcW w:w="5271" w:type="dxa"/>
            <w:shd w:val="clear" w:color="auto" w:fill="B9B9B9" w:themeFill="background2" w:themeFillShade="BF"/>
            <w:vAlign w:val="center"/>
            <w:hideMark/>
          </w:tcPr>
          <w:p w14:paraId="6BADB000" w14:textId="77777777" w:rsidR="00854205" w:rsidRPr="00854205" w:rsidRDefault="00854205" w:rsidP="00854205">
            <w:pPr>
              <w:spacing w:before="0" w:after="0"/>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OTHER COMPREHENSIVE INCOME</w:t>
            </w:r>
          </w:p>
        </w:tc>
        <w:tc>
          <w:tcPr>
            <w:tcW w:w="989" w:type="dxa"/>
            <w:shd w:val="clear" w:color="auto" w:fill="B9B9B9" w:themeFill="background2" w:themeFillShade="BF"/>
            <w:vAlign w:val="center"/>
            <w:hideMark/>
          </w:tcPr>
          <w:p w14:paraId="0145DB4E"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B9B9B9" w:themeFill="background2" w:themeFillShade="BF"/>
            <w:noWrap/>
            <w:vAlign w:val="center"/>
            <w:hideMark/>
          </w:tcPr>
          <w:p w14:paraId="6FFAE7B8"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B9B9B9" w:themeFill="background2" w:themeFillShade="BF"/>
            <w:noWrap/>
            <w:vAlign w:val="center"/>
            <w:hideMark/>
          </w:tcPr>
          <w:p w14:paraId="07987A61" w14:textId="77777777" w:rsidR="00854205" w:rsidRPr="00854205" w:rsidRDefault="00854205" w:rsidP="00854205">
            <w:pPr>
              <w:spacing w:before="0" w:after="0"/>
              <w:jc w:val="right"/>
              <w:rPr>
                <w:rFonts w:ascii="Calibri" w:eastAsia="Times New Roman" w:hAnsi="Calibri" w:cs="Calibri"/>
                <w:color w:val="000000" w:themeColor="text1"/>
                <w:sz w:val="22"/>
                <w:szCs w:val="22"/>
                <w:lang w:eastAsia="en-AU"/>
              </w:rPr>
            </w:pPr>
            <w:r w:rsidRPr="00854205">
              <w:rPr>
                <w:rFonts w:ascii="Calibri" w:eastAsia="Times New Roman" w:hAnsi="Calibri" w:cs="Calibri"/>
                <w:color w:val="000000" w:themeColor="text1"/>
                <w:sz w:val="22"/>
                <w:szCs w:val="22"/>
                <w:lang w:eastAsia="en-AU"/>
              </w:rPr>
              <w:t> </w:t>
            </w:r>
          </w:p>
        </w:tc>
      </w:tr>
      <w:tr w:rsidR="00854205" w:rsidRPr="00854205" w14:paraId="61812FD8" w14:textId="77777777" w:rsidTr="009E6069">
        <w:trPr>
          <w:trHeight w:val="290"/>
        </w:trPr>
        <w:tc>
          <w:tcPr>
            <w:tcW w:w="5271" w:type="dxa"/>
            <w:shd w:val="clear" w:color="auto" w:fill="DFDFDF" w:themeFill="background2" w:themeFillShade="E6"/>
            <w:vAlign w:val="center"/>
            <w:hideMark/>
          </w:tcPr>
          <w:p w14:paraId="0ED2C7BE" w14:textId="77777777" w:rsidR="00854205" w:rsidRPr="00854205" w:rsidRDefault="00854205" w:rsidP="00854205">
            <w:pPr>
              <w:spacing w:before="0" w:after="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Items that will not be reclassified to operating result</w:t>
            </w:r>
          </w:p>
        </w:tc>
        <w:tc>
          <w:tcPr>
            <w:tcW w:w="989" w:type="dxa"/>
            <w:shd w:val="clear" w:color="auto" w:fill="DFDFDF" w:themeFill="background2" w:themeFillShade="E6"/>
            <w:vAlign w:val="center"/>
            <w:hideMark/>
          </w:tcPr>
          <w:p w14:paraId="47456B36"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4D2ED061"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17FD0A4F" w14:textId="77777777" w:rsidR="00854205" w:rsidRPr="00854205" w:rsidRDefault="00854205" w:rsidP="00854205">
            <w:pPr>
              <w:spacing w:before="0" w:after="0"/>
              <w:jc w:val="right"/>
              <w:rPr>
                <w:rFonts w:ascii="Calibri" w:eastAsia="Times New Roman" w:hAnsi="Calibri" w:cs="Calibri"/>
                <w:color w:val="000000" w:themeColor="text1"/>
                <w:sz w:val="22"/>
                <w:szCs w:val="22"/>
                <w:lang w:eastAsia="en-AU"/>
              </w:rPr>
            </w:pPr>
            <w:r w:rsidRPr="00854205">
              <w:rPr>
                <w:rFonts w:ascii="Calibri" w:eastAsia="Times New Roman" w:hAnsi="Calibri" w:cs="Calibri"/>
                <w:color w:val="000000" w:themeColor="text1"/>
                <w:sz w:val="22"/>
                <w:szCs w:val="22"/>
                <w:lang w:eastAsia="en-AU"/>
              </w:rPr>
              <w:t> </w:t>
            </w:r>
          </w:p>
        </w:tc>
      </w:tr>
      <w:tr w:rsidR="00854205" w:rsidRPr="00854205" w14:paraId="4D8BB514" w14:textId="77777777" w:rsidTr="00382AB9">
        <w:trPr>
          <w:trHeight w:val="250"/>
        </w:trPr>
        <w:tc>
          <w:tcPr>
            <w:tcW w:w="5271" w:type="dxa"/>
            <w:shd w:val="clear" w:color="auto" w:fill="auto"/>
            <w:vAlign w:val="center"/>
            <w:hideMark/>
          </w:tcPr>
          <w:p w14:paraId="341565AF" w14:textId="77777777" w:rsidR="00854205" w:rsidRPr="00854205" w:rsidRDefault="00854205" w:rsidP="00854205">
            <w:pPr>
              <w:spacing w:before="0" w:after="0"/>
              <w:ind w:firstLineChars="100" w:firstLine="190"/>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Increase/(decrease) in asset revaluation surplus</w:t>
            </w:r>
          </w:p>
        </w:tc>
        <w:tc>
          <w:tcPr>
            <w:tcW w:w="989" w:type="dxa"/>
            <w:shd w:val="clear" w:color="auto" w:fill="auto"/>
            <w:vAlign w:val="center"/>
            <w:hideMark/>
          </w:tcPr>
          <w:p w14:paraId="33EAB9D9"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w:t>
            </w:r>
          </w:p>
        </w:tc>
        <w:tc>
          <w:tcPr>
            <w:tcW w:w="1520" w:type="dxa"/>
            <w:shd w:val="clear" w:color="auto" w:fill="auto"/>
            <w:noWrap/>
            <w:vAlign w:val="center"/>
            <w:hideMark/>
          </w:tcPr>
          <w:p w14:paraId="4EE89A6A"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1,838</w:t>
            </w:r>
          </w:p>
        </w:tc>
        <w:tc>
          <w:tcPr>
            <w:tcW w:w="1520" w:type="dxa"/>
            <w:shd w:val="clear" w:color="auto" w:fill="auto"/>
            <w:noWrap/>
            <w:vAlign w:val="center"/>
            <w:hideMark/>
          </w:tcPr>
          <w:p w14:paraId="4C78B384" w14:textId="77777777" w:rsidR="00854205" w:rsidRPr="00854205" w:rsidRDefault="00854205" w:rsidP="00854205">
            <w:pPr>
              <w:spacing w:before="0" w:after="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141,361</w:t>
            </w:r>
          </w:p>
        </w:tc>
      </w:tr>
      <w:tr w:rsidR="00854205" w:rsidRPr="00854205" w14:paraId="5E192998" w14:textId="77777777" w:rsidTr="009E6069">
        <w:trPr>
          <w:trHeight w:val="250"/>
        </w:trPr>
        <w:tc>
          <w:tcPr>
            <w:tcW w:w="5271" w:type="dxa"/>
            <w:shd w:val="clear" w:color="auto" w:fill="DFDFDF" w:themeFill="background2" w:themeFillShade="E6"/>
            <w:vAlign w:val="center"/>
            <w:hideMark/>
          </w:tcPr>
          <w:p w14:paraId="03AEB036" w14:textId="77777777" w:rsidR="00854205" w:rsidRPr="00854205" w:rsidRDefault="00854205" w:rsidP="00854205">
            <w:pPr>
              <w:spacing w:before="0" w:after="0"/>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Total other comprehensive income</w:t>
            </w:r>
          </w:p>
        </w:tc>
        <w:tc>
          <w:tcPr>
            <w:tcW w:w="989" w:type="dxa"/>
            <w:shd w:val="clear" w:color="auto" w:fill="DFDFDF" w:themeFill="background2" w:themeFillShade="E6"/>
            <w:vAlign w:val="center"/>
            <w:hideMark/>
          </w:tcPr>
          <w:p w14:paraId="5FAAC954" w14:textId="77777777" w:rsidR="00854205" w:rsidRPr="00854205" w:rsidRDefault="00854205" w:rsidP="00854205">
            <w:pPr>
              <w:spacing w:before="0" w:after="0"/>
              <w:ind w:firstLineChars="200" w:firstLine="380"/>
              <w:jc w:val="right"/>
              <w:rPr>
                <w:rFonts w:ascii="Arial" w:eastAsia="Times New Roman" w:hAnsi="Arial" w:cs="Arial"/>
                <w:color w:val="000000" w:themeColor="text1"/>
                <w:sz w:val="19"/>
                <w:szCs w:val="19"/>
                <w:lang w:eastAsia="en-AU"/>
              </w:rPr>
            </w:pPr>
            <w:r w:rsidRPr="00854205">
              <w:rPr>
                <w:rFonts w:ascii="Arial" w:eastAsia="Times New Roman" w:hAnsi="Arial" w:cs="Arial"/>
                <w:color w:val="000000" w:themeColor="text1"/>
                <w:sz w:val="19"/>
                <w:szCs w:val="19"/>
                <w:lang w:eastAsia="en-AU"/>
              </w:rPr>
              <w:t> </w:t>
            </w:r>
          </w:p>
        </w:tc>
        <w:tc>
          <w:tcPr>
            <w:tcW w:w="1520" w:type="dxa"/>
            <w:shd w:val="clear" w:color="auto" w:fill="DFDFDF" w:themeFill="background2" w:themeFillShade="E6"/>
            <w:noWrap/>
            <w:vAlign w:val="center"/>
            <w:hideMark/>
          </w:tcPr>
          <w:p w14:paraId="35FA80D2"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1,838</w:t>
            </w:r>
          </w:p>
        </w:tc>
        <w:tc>
          <w:tcPr>
            <w:tcW w:w="1520" w:type="dxa"/>
            <w:shd w:val="clear" w:color="auto" w:fill="DFDFDF" w:themeFill="background2" w:themeFillShade="E6"/>
            <w:noWrap/>
            <w:vAlign w:val="center"/>
            <w:hideMark/>
          </w:tcPr>
          <w:p w14:paraId="662CC1F1" w14:textId="77777777" w:rsidR="00854205" w:rsidRPr="00854205" w:rsidRDefault="00854205" w:rsidP="00854205">
            <w:pPr>
              <w:spacing w:before="0" w:after="0"/>
              <w:jc w:val="right"/>
              <w:rPr>
                <w:rFonts w:ascii="Arial" w:eastAsia="Times New Roman" w:hAnsi="Arial" w:cs="Arial"/>
                <w:b/>
                <w:bCs/>
                <w:color w:val="000000" w:themeColor="text1"/>
                <w:sz w:val="19"/>
                <w:szCs w:val="19"/>
                <w:lang w:eastAsia="en-AU"/>
              </w:rPr>
            </w:pPr>
            <w:r w:rsidRPr="00854205">
              <w:rPr>
                <w:rFonts w:ascii="Arial" w:eastAsia="Times New Roman" w:hAnsi="Arial" w:cs="Arial"/>
                <w:b/>
                <w:bCs/>
                <w:color w:val="000000" w:themeColor="text1"/>
                <w:sz w:val="19"/>
                <w:szCs w:val="19"/>
                <w:lang w:eastAsia="en-AU"/>
              </w:rPr>
              <w:t>141,361</w:t>
            </w:r>
          </w:p>
        </w:tc>
      </w:tr>
      <w:tr w:rsidR="00854205" w:rsidRPr="00854205" w14:paraId="2E913C1B" w14:textId="77777777" w:rsidTr="00C70857">
        <w:trPr>
          <w:trHeight w:val="250"/>
        </w:trPr>
        <w:tc>
          <w:tcPr>
            <w:tcW w:w="5271" w:type="dxa"/>
            <w:shd w:val="clear" w:color="auto" w:fill="3E3E3E" w:themeFill="background2" w:themeFillShade="40"/>
            <w:vAlign w:val="center"/>
            <w:hideMark/>
          </w:tcPr>
          <w:p w14:paraId="065D8D68" w14:textId="77777777" w:rsidR="00854205" w:rsidRPr="00854205" w:rsidRDefault="00854205" w:rsidP="00854205">
            <w:pPr>
              <w:spacing w:before="0" w:after="0"/>
              <w:rPr>
                <w:rFonts w:ascii="Arial" w:eastAsia="Times New Roman" w:hAnsi="Arial" w:cs="Arial"/>
                <w:b/>
                <w:color w:val="FFFFFF" w:themeColor="background1"/>
                <w:sz w:val="19"/>
                <w:szCs w:val="19"/>
                <w:lang w:eastAsia="en-AU"/>
              </w:rPr>
            </w:pPr>
            <w:r w:rsidRPr="00854205">
              <w:rPr>
                <w:rFonts w:ascii="Arial" w:eastAsia="Times New Roman" w:hAnsi="Arial" w:cs="Arial"/>
                <w:b/>
                <w:color w:val="FFFFFF" w:themeColor="background1"/>
                <w:sz w:val="19"/>
                <w:szCs w:val="19"/>
                <w:lang w:eastAsia="en-AU"/>
              </w:rPr>
              <w:t>Total comprehensive income</w:t>
            </w:r>
          </w:p>
        </w:tc>
        <w:tc>
          <w:tcPr>
            <w:tcW w:w="989" w:type="dxa"/>
            <w:shd w:val="clear" w:color="auto" w:fill="3E3E3E" w:themeFill="background2" w:themeFillShade="40"/>
            <w:vAlign w:val="center"/>
            <w:hideMark/>
          </w:tcPr>
          <w:p w14:paraId="4E067272" w14:textId="77777777" w:rsidR="00854205" w:rsidRPr="00854205" w:rsidRDefault="00854205" w:rsidP="00854205">
            <w:pPr>
              <w:spacing w:before="0" w:after="0"/>
              <w:ind w:firstLineChars="200" w:firstLine="381"/>
              <w:rPr>
                <w:rFonts w:ascii="Arial" w:eastAsia="Times New Roman" w:hAnsi="Arial" w:cs="Arial"/>
                <w:b/>
                <w:color w:val="FFFFFF" w:themeColor="background1"/>
                <w:sz w:val="19"/>
                <w:szCs w:val="19"/>
                <w:lang w:eastAsia="en-AU"/>
              </w:rPr>
            </w:pPr>
            <w:r w:rsidRPr="00854205">
              <w:rPr>
                <w:rFonts w:ascii="Arial" w:eastAsia="Times New Roman" w:hAnsi="Arial" w:cs="Arial"/>
                <w:b/>
                <w:color w:val="FFFFFF" w:themeColor="background1"/>
                <w:sz w:val="19"/>
                <w:szCs w:val="19"/>
                <w:lang w:eastAsia="en-AU"/>
              </w:rPr>
              <w:t> </w:t>
            </w:r>
          </w:p>
        </w:tc>
        <w:tc>
          <w:tcPr>
            <w:tcW w:w="1520" w:type="dxa"/>
            <w:shd w:val="clear" w:color="auto" w:fill="3E3E3E" w:themeFill="background2" w:themeFillShade="40"/>
            <w:noWrap/>
            <w:vAlign w:val="center"/>
            <w:hideMark/>
          </w:tcPr>
          <w:p w14:paraId="68616AEF" w14:textId="77777777" w:rsidR="00854205" w:rsidRPr="00854205" w:rsidRDefault="00854205" w:rsidP="00854205">
            <w:pPr>
              <w:spacing w:before="0" w:after="0"/>
              <w:jc w:val="right"/>
              <w:rPr>
                <w:rFonts w:ascii="Arial" w:eastAsia="Times New Roman" w:hAnsi="Arial" w:cs="Arial"/>
                <w:b/>
                <w:color w:val="FFFFFF" w:themeColor="background1"/>
                <w:sz w:val="19"/>
                <w:szCs w:val="19"/>
                <w:lang w:eastAsia="en-AU"/>
              </w:rPr>
            </w:pPr>
            <w:r w:rsidRPr="00854205">
              <w:rPr>
                <w:rFonts w:ascii="Arial" w:eastAsia="Times New Roman" w:hAnsi="Arial" w:cs="Arial"/>
                <w:b/>
                <w:color w:val="FFFFFF" w:themeColor="background1"/>
                <w:sz w:val="19"/>
                <w:szCs w:val="19"/>
                <w:lang w:eastAsia="en-AU"/>
              </w:rPr>
              <w:t>37,142</w:t>
            </w:r>
          </w:p>
        </w:tc>
        <w:tc>
          <w:tcPr>
            <w:tcW w:w="1520" w:type="dxa"/>
            <w:shd w:val="clear" w:color="auto" w:fill="3E3E3E" w:themeFill="background2" w:themeFillShade="40"/>
            <w:noWrap/>
            <w:vAlign w:val="center"/>
            <w:hideMark/>
          </w:tcPr>
          <w:p w14:paraId="7C5045C3" w14:textId="77777777" w:rsidR="00854205" w:rsidRPr="00854205" w:rsidRDefault="00854205" w:rsidP="00854205">
            <w:pPr>
              <w:spacing w:before="0" w:after="0"/>
              <w:jc w:val="right"/>
              <w:rPr>
                <w:rFonts w:ascii="Arial" w:eastAsia="Times New Roman" w:hAnsi="Arial" w:cs="Arial"/>
                <w:b/>
                <w:color w:val="FFFFFF" w:themeColor="background1"/>
                <w:sz w:val="19"/>
                <w:szCs w:val="19"/>
                <w:lang w:eastAsia="en-AU"/>
              </w:rPr>
            </w:pPr>
            <w:r w:rsidRPr="00854205">
              <w:rPr>
                <w:rFonts w:ascii="Arial" w:eastAsia="Times New Roman" w:hAnsi="Arial" w:cs="Arial"/>
                <w:b/>
                <w:color w:val="FFFFFF" w:themeColor="background1"/>
                <w:sz w:val="19"/>
                <w:szCs w:val="19"/>
                <w:lang w:eastAsia="en-AU"/>
              </w:rPr>
              <w:t>173,961</w:t>
            </w:r>
          </w:p>
        </w:tc>
      </w:tr>
    </w:tbl>
    <w:tbl>
      <w:tblPr>
        <w:tblStyle w:val="TableGrid"/>
        <w:tblW w:w="0" w:type="auto"/>
        <w:tblInd w:w="5" w:type="dxa"/>
        <w:tblLook w:val="04A0" w:firstRow="1" w:lastRow="0" w:firstColumn="1" w:lastColumn="0" w:noHBand="0" w:noVBand="1"/>
      </w:tblPr>
      <w:tblGrid>
        <w:gridCol w:w="9519"/>
      </w:tblGrid>
      <w:tr w:rsidR="00195366" w:rsidRPr="00024595" w14:paraId="7FA47B44" w14:textId="77777777" w:rsidTr="00195366">
        <w:tc>
          <w:tcPr>
            <w:tcW w:w="9519" w:type="dxa"/>
            <w:tcBorders>
              <w:top w:val="nil"/>
              <w:left w:val="nil"/>
              <w:bottom w:val="nil"/>
              <w:right w:val="nil"/>
            </w:tcBorders>
            <w:shd w:val="clear" w:color="auto" w:fill="auto"/>
            <w:vAlign w:val="bottom"/>
          </w:tcPr>
          <w:p w14:paraId="6830BD8C" w14:textId="77777777" w:rsidR="00195366" w:rsidRDefault="00195366" w:rsidP="00195366">
            <w:pPr>
              <w:pStyle w:val="DECNotes"/>
            </w:pPr>
            <w:r w:rsidRPr="00024595">
              <w:t>Notes:</w:t>
            </w:r>
          </w:p>
          <w:p w14:paraId="6E1D9330" w14:textId="31B6147D" w:rsidR="00195366" w:rsidRPr="00024595" w:rsidRDefault="00195366" w:rsidP="00350E83">
            <w:pPr>
              <w:pStyle w:val="DECNotes"/>
              <w:numPr>
                <w:ilvl w:val="0"/>
                <w:numId w:val="45"/>
              </w:numPr>
              <w:rPr>
                <w:szCs w:val="12"/>
              </w:rPr>
            </w:pPr>
            <w:r w:rsidRPr="00024595">
              <w:rPr>
                <w:szCs w:val="12"/>
              </w:rPr>
              <w:t>The decrease is due to the Machinery of Government change that occurred during 2023-24 whereby QBuild and Public Works transferred to the Department of Housing, Local Government, Planning and Public Works (effective 1 January 2024). Therefore the 2023-24 figures only include 6 months of balances for QBuild and Public Works.</w:t>
            </w:r>
          </w:p>
        </w:tc>
      </w:tr>
      <w:tr w:rsidR="00195366" w:rsidRPr="00024595" w14:paraId="4D4E3472" w14:textId="77777777" w:rsidTr="00195366">
        <w:tc>
          <w:tcPr>
            <w:tcW w:w="9519" w:type="dxa"/>
            <w:tcBorders>
              <w:top w:val="nil"/>
              <w:left w:val="nil"/>
              <w:bottom w:val="nil"/>
              <w:right w:val="nil"/>
            </w:tcBorders>
            <w:shd w:val="clear" w:color="auto" w:fill="auto"/>
            <w:vAlign w:val="bottom"/>
          </w:tcPr>
          <w:p w14:paraId="6419D005" w14:textId="18A24502" w:rsidR="00195366" w:rsidRPr="00024595" w:rsidRDefault="00195366" w:rsidP="00350E83">
            <w:pPr>
              <w:pStyle w:val="DECNotes"/>
              <w:numPr>
                <w:ilvl w:val="0"/>
                <w:numId w:val="45"/>
              </w:numPr>
              <w:rPr>
                <w:szCs w:val="12"/>
              </w:rPr>
            </w:pPr>
            <w:r w:rsidRPr="00024595">
              <w:rPr>
                <w:szCs w:val="12"/>
              </w:rPr>
              <w:t>The increased amount in Grants and subsidies is mainly due to increased payment under the Housing Resilience Program, the Household Energy Initiatives program, and the Regional Economic Future Fund.</w:t>
            </w:r>
          </w:p>
        </w:tc>
      </w:tr>
    </w:tbl>
    <w:p w14:paraId="407C2B0D" w14:textId="77777777" w:rsidR="00854205" w:rsidRDefault="00854205">
      <w:r>
        <w:br w:type="page"/>
      </w:r>
    </w:p>
    <w:tbl>
      <w:tblPr>
        <w:tblW w:w="9469" w:type="dxa"/>
        <w:tblLook w:val="04A0" w:firstRow="1" w:lastRow="0" w:firstColumn="1" w:lastColumn="0" w:noHBand="0" w:noVBand="1"/>
      </w:tblPr>
      <w:tblGrid>
        <w:gridCol w:w="4716"/>
        <w:gridCol w:w="1647"/>
        <w:gridCol w:w="1553"/>
        <w:gridCol w:w="1553"/>
      </w:tblGrid>
      <w:tr w:rsidR="001311F9" w:rsidRPr="001311F9" w14:paraId="41732025" w14:textId="77777777" w:rsidTr="00691AC0">
        <w:trPr>
          <w:trHeight w:val="405"/>
        </w:trPr>
        <w:tc>
          <w:tcPr>
            <w:tcW w:w="4716" w:type="dxa"/>
            <w:shd w:val="clear" w:color="auto" w:fill="auto"/>
            <w:vAlign w:val="center"/>
            <w:hideMark/>
          </w:tcPr>
          <w:p w14:paraId="26518CEA" w14:textId="0B7C7409" w:rsidR="001311F9" w:rsidRPr="001311F9" w:rsidRDefault="001311F9" w:rsidP="001311F9">
            <w:pPr>
              <w:widowControl w:val="0"/>
              <w:spacing w:before="0" w:after="0"/>
              <w:rPr>
                <w:rFonts w:ascii="Arial" w:eastAsia="Times New Roman" w:hAnsi="Arial" w:cs="Arial"/>
                <w:sz w:val="32"/>
                <w:szCs w:val="32"/>
                <w:lang w:eastAsia="en-AU"/>
              </w:rPr>
            </w:pPr>
            <w:r w:rsidRPr="001311F9">
              <w:rPr>
                <w:rFonts w:ascii="Arial" w:eastAsia="Times New Roman" w:hAnsi="Arial" w:cs="Arial"/>
                <w:sz w:val="32"/>
                <w:szCs w:val="32"/>
                <w:lang w:eastAsia="en-AU"/>
              </w:rPr>
              <w:lastRenderedPageBreak/>
              <w:t>Statement of Financial Position</w:t>
            </w:r>
          </w:p>
        </w:tc>
        <w:tc>
          <w:tcPr>
            <w:tcW w:w="1647" w:type="dxa"/>
            <w:shd w:val="clear" w:color="auto" w:fill="auto"/>
            <w:noWrap/>
            <w:vAlign w:val="bottom"/>
            <w:hideMark/>
          </w:tcPr>
          <w:p w14:paraId="2197BED5" w14:textId="77777777" w:rsidR="001311F9" w:rsidRPr="001311F9" w:rsidRDefault="001311F9" w:rsidP="001311F9">
            <w:pPr>
              <w:spacing w:before="0" w:after="0"/>
              <w:rPr>
                <w:rFonts w:ascii="Arial" w:eastAsia="Times New Roman" w:hAnsi="Arial" w:cs="Arial"/>
                <w:sz w:val="32"/>
                <w:szCs w:val="32"/>
                <w:lang w:eastAsia="en-AU"/>
              </w:rPr>
            </w:pPr>
          </w:p>
        </w:tc>
        <w:tc>
          <w:tcPr>
            <w:tcW w:w="1553" w:type="dxa"/>
            <w:shd w:val="clear" w:color="auto" w:fill="auto"/>
            <w:noWrap/>
            <w:vAlign w:val="bottom"/>
            <w:hideMark/>
          </w:tcPr>
          <w:p w14:paraId="5580B257" w14:textId="77777777" w:rsidR="001311F9" w:rsidRPr="001311F9" w:rsidRDefault="001311F9" w:rsidP="001311F9">
            <w:pPr>
              <w:spacing w:before="0" w:after="0"/>
              <w:rPr>
                <w:rFonts w:ascii="Times New Roman" w:eastAsia="Times New Roman" w:hAnsi="Times New Roman" w:cs="Times New Roman"/>
                <w:szCs w:val="20"/>
                <w:lang w:eastAsia="en-AU"/>
              </w:rPr>
            </w:pPr>
          </w:p>
        </w:tc>
        <w:tc>
          <w:tcPr>
            <w:tcW w:w="1553" w:type="dxa"/>
            <w:shd w:val="clear" w:color="auto" w:fill="auto"/>
            <w:noWrap/>
            <w:vAlign w:val="bottom"/>
            <w:hideMark/>
          </w:tcPr>
          <w:p w14:paraId="45469FF4" w14:textId="77777777" w:rsidR="001311F9" w:rsidRPr="001311F9" w:rsidRDefault="001311F9" w:rsidP="001311F9">
            <w:pPr>
              <w:spacing w:before="0" w:after="0"/>
              <w:rPr>
                <w:rFonts w:ascii="Times New Roman" w:eastAsia="Times New Roman" w:hAnsi="Times New Roman" w:cs="Times New Roman"/>
                <w:szCs w:val="20"/>
                <w:lang w:eastAsia="en-AU"/>
              </w:rPr>
            </w:pPr>
          </w:p>
        </w:tc>
      </w:tr>
      <w:tr w:rsidR="001311F9" w:rsidRPr="001311F9" w14:paraId="4629486B" w14:textId="77777777" w:rsidTr="00691AC0">
        <w:trPr>
          <w:trHeight w:val="255"/>
        </w:trPr>
        <w:tc>
          <w:tcPr>
            <w:tcW w:w="4716" w:type="dxa"/>
            <w:shd w:val="clear" w:color="auto" w:fill="auto"/>
            <w:vAlign w:val="center"/>
            <w:hideMark/>
          </w:tcPr>
          <w:p w14:paraId="78A4F05F" w14:textId="77777777" w:rsidR="001311F9" w:rsidRPr="001311F9" w:rsidRDefault="001311F9" w:rsidP="001311F9">
            <w:pPr>
              <w:spacing w:before="0" w:after="0"/>
              <w:rPr>
                <w:rFonts w:ascii="Arial" w:eastAsia="Times New Roman" w:hAnsi="Arial" w:cs="Arial"/>
                <w:sz w:val="19"/>
                <w:szCs w:val="19"/>
                <w:lang w:eastAsia="en-AU"/>
              </w:rPr>
            </w:pPr>
            <w:r w:rsidRPr="001311F9">
              <w:rPr>
                <w:rFonts w:ascii="Arial" w:eastAsia="Times New Roman" w:hAnsi="Arial" w:cs="Arial"/>
                <w:sz w:val="19"/>
                <w:szCs w:val="19"/>
                <w:lang w:eastAsia="en-AU"/>
              </w:rPr>
              <w:t xml:space="preserve">as </w:t>
            </w:r>
            <w:proofErr w:type="gramStart"/>
            <w:r w:rsidRPr="001311F9">
              <w:rPr>
                <w:rFonts w:ascii="Arial" w:eastAsia="Times New Roman" w:hAnsi="Arial" w:cs="Arial"/>
                <w:sz w:val="19"/>
                <w:szCs w:val="19"/>
                <w:lang w:eastAsia="en-AU"/>
              </w:rPr>
              <w:t>at</w:t>
            </w:r>
            <w:proofErr w:type="gramEnd"/>
            <w:r w:rsidRPr="001311F9">
              <w:rPr>
                <w:rFonts w:ascii="Arial" w:eastAsia="Times New Roman" w:hAnsi="Arial" w:cs="Arial"/>
                <w:sz w:val="19"/>
                <w:szCs w:val="19"/>
                <w:lang w:eastAsia="en-AU"/>
              </w:rPr>
              <w:t xml:space="preserve"> 30 June 2024</w:t>
            </w:r>
          </w:p>
        </w:tc>
        <w:tc>
          <w:tcPr>
            <w:tcW w:w="1647" w:type="dxa"/>
            <w:shd w:val="clear" w:color="auto" w:fill="auto"/>
            <w:noWrap/>
            <w:vAlign w:val="bottom"/>
            <w:hideMark/>
          </w:tcPr>
          <w:p w14:paraId="6AA670E8" w14:textId="77777777" w:rsidR="001311F9" w:rsidRPr="001311F9" w:rsidRDefault="001311F9" w:rsidP="001311F9">
            <w:pPr>
              <w:spacing w:before="0" w:after="0"/>
              <w:rPr>
                <w:rFonts w:ascii="Arial" w:eastAsia="Times New Roman" w:hAnsi="Arial" w:cs="Arial"/>
                <w:sz w:val="19"/>
                <w:szCs w:val="19"/>
                <w:lang w:eastAsia="en-AU"/>
              </w:rPr>
            </w:pPr>
          </w:p>
        </w:tc>
        <w:tc>
          <w:tcPr>
            <w:tcW w:w="1553" w:type="dxa"/>
            <w:shd w:val="clear" w:color="auto" w:fill="auto"/>
            <w:noWrap/>
            <w:vAlign w:val="bottom"/>
            <w:hideMark/>
          </w:tcPr>
          <w:p w14:paraId="0E4672FD" w14:textId="77777777" w:rsidR="001311F9" w:rsidRPr="001311F9" w:rsidRDefault="001311F9" w:rsidP="001311F9">
            <w:pPr>
              <w:spacing w:before="0" w:after="0"/>
              <w:rPr>
                <w:rFonts w:ascii="Times New Roman" w:eastAsia="Times New Roman" w:hAnsi="Times New Roman" w:cs="Times New Roman"/>
                <w:szCs w:val="20"/>
                <w:lang w:eastAsia="en-AU"/>
              </w:rPr>
            </w:pPr>
          </w:p>
        </w:tc>
        <w:tc>
          <w:tcPr>
            <w:tcW w:w="1553" w:type="dxa"/>
            <w:shd w:val="clear" w:color="auto" w:fill="auto"/>
            <w:noWrap/>
            <w:vAlign w:val="bottom"/>
            <w:hideMark/>
          </w:tcPr>
          <w:p w14:paraId="3FB60D4E" w14:textId="77777777" w:rsidR="001311F9" w:rsidRPr="001311F9" w:rsidRDefault="001311F9" w:rsidP="001311F9">
            <w:pPr>
              <w:spacing w:before="0" w:after="0"/>
              <w:rPr>
                <w:rFonts w:ascii="Times New Roman" w:eastAsia="Times New Roman" w:hAnsi="Times New Roman" w:cs="Times New Roman"/>
                <w:szCs w:val="20"/>
                <w:lang w:eastAsia="en-AU"/>
              </w:rPr>
            </w:pPr>
          </w:p>
        </w:tc>
      </w:tr>
      <w:tr w:rsidR="001311F9" w:rsidRPr="001311F9" w14:paraId="00707D1F" w14:textId="77777777" w:rsidTr="00691AC0">
        <w:trPr>
          <w:trHeight w:val="510"/>
        </w:trPr>
        <w:tc>
          <w:tcPr>
            <w:tcW w:w="4716" w:type="dxa"/>
            <w:shd w:val="clear" w:color="auto" w:fill="3E3E3E" w:themeFill="background2" w:themeFillShade="40"/>
            <w:vAlign w:val="center"/>
            <w:hideMark/>
          </w:tcPr>
          <w:p w14:paraId="38CC1DF8" w14:textId="77777777" w:rsidR="001311F9" w:rsidRPr="00691AC0" w:rsidRDefault="001311F9" w:rsidP="001311F9">
            <w:pPr>
              <w:spacing w:before="0" w:after="0"/>
              <w:rPr>
                <w:rFonts w:ascii="Calibri" w:eastAsia="Times New Roman" w:hAnsi="Calibri" w:cs="Calibri"/>
                <w:color w:val="FFFFFF" w:themeColor="background1"/>
                <w:sz w:val="22"/>
                <w:szCs w:val="22"/>
                <w:lang w:eastAsia="en-AU"/>
              </w:rPr>
            </w:pPr>
            <w:r w:rsidRPr="00691AC0">
              <w:rPr>
                <w:rFonts w:ascii="Calibri" w:eastAsia="Times New Roman" w:hAnsi="Calibri" w:cs="Calibri"/>
                <w:color w:val="FFFFFF" w:themeColor="background1"/>
                <w:sz w:val="22"/>
                <w:szCs w:val="22"/>
                <w:lang w:eastAsia="en-AU"/>
              </w:rPr>
              <w:t> </w:t>
            </w:r>
          </w:p>
        </w:tc>
        <w:tc>
          <w:tcPr>
            <w:tcW w:w="1647" w:type="dxa"/>
            <w:shd w:val="clear" w:color="auto" w:fill="3E3E3E" w:themeFill="background2" w:themeFillShade="40"/>
            <w:vAlign w:val="center"/>
            <w:hideMark/>
          </w:tcPr>
          <w:p w14:paraId="09A6788E" w14:textId="77777777" w:rsidR="001311F9" w:rsidRPr="00691AC0" w:rsidRDefault="001311F9" w:rsidP="001311F9">
            <w:pPr>
              <w:spacing w:before="0" w:after="0"/>
              <w:jc w:val="center"/>
              <w:rPr>
                <w:rFonts w:ascii="Arial" w:eastAsia="Times New Roman" w:hAnsi="Arial" w:cs="Arial"/>
                <w:color w:val="FFFFFF" w:themeColor="background1"/>
                <w:sz w:val="19"/>
                <w:szCs w:val="19"/>
                <w:lang w:eastAsia="en-AU"/>
              </w:rPr>
            </w:pPr>
            <w:r w:rsidRPr="00691AC0">
              <w:rPr>
                <w:rFonts w:ascii="Arial" w:eastAsia="Times New Roman" w:hAnsi="Arial" w:cs="Arial"/>
                <w:color w:val="FFFFFF" w:themeColor="background1"/>
                <w:sz w:val="19"/>
                <w:szCs w:val="19"/>
                <w:lang w:eastAsia="en-AU"/>
              </w:rPr>
              <w:t>Note</w:t>
            </w:r>
          </w:p>
        </w:tc>
        <w:tc>
          <w:tcPr>
            <w:tcW w:w="1553" w:type="dxa"/>
            <w:shd w:val="clear" w:color="auto" w:fill="3E3E3E" w:themeFill="background2" w:themeFillShade="40"/>
            <w:vAlign w:val="center"/>
            <w:hideMark/>
          </w:tcPr>
          <w:p w14:paraId="526BA1AC" w14:textId="77777777" w:rsidR="001311F9" w:rsidRPr="00691AC0" w:rsidRDefault="001311F9" w:rsidP="001311F9">
            <w:pPr>
              <w:spacing w:before="0" w:after="0"/>
              <w:jc w:val="center"/>
              <w:rPr>
                <w:rFonts w:ascii="Arial" w:eastAsia="Times New Roman" w:hAnsi="Arial" w:cs="Arial"/>
                <w:color w:val="FFFFFF" w:themeColor="background1"/>
                <w:sz w:val="19"/>
                <w:szCs w:val="19"/>
                <w:lang w:eastAsia="en-AU"/>
              </w:rPr>
            </w:pPr>
            <w:r w:rsidRPr="00691AC0">
              <w:rPr>
                <w:rFonts w:ascii="Arial" w:eastAsia="Times New Roman" w:hAnsi="Arial" w:cs="Arial"/>
                <w:color w:val="FFFFFF" w:themeColor="background1"/>
                <w:sz w:val="19"/>
                <w:szCs w:val="19"/>
                <w:lang w:eastAsia="en-AU"/>
              </w:rPr>
              <w:t>Actual         2023-24</w:t>
            </w:r>
          </w:p>
        </w:tc>
        <w:tc>
          <w:tcPr>
            <w:tcW w:w="1553" w:type="dxa"/>
            <w:shd w:val="clear" w:color="auto" w:fill="3E3E3E" w:themeFill="background2" w:themeFillShade="40"/>
            <w:vAlign w:val="center"/>
            <w:hideMark/>
          </w:tcPr>
          <w:p w14:paraId="06262545" w14:textId="77777777" w:rsidR="001311F9" w:rsidRPr="00691AC0" w:rsidRDefault="001311F9" w:rsidP="001311F9">
            <w:pPr>
              <w:spacing w:before="0" w:after="0"/>
              <w:jc w:val="center"/>
              <w:rPr>
                <w:rFonts w:ascii="Arial" w:eastAsia="Times New Roman" w:hAnsi="Arial" w:cs="Arial"/>
                <w:color w:val="FFFFFF" w:themeColor="background1"/>
                <w:sz w:val="19"/>
                <w:szCs w:val="19"/>
                <w:lang w:eastAsia="en-AU"/>
              </w:rPr>
            </w:pPr>
            <w:r w:rsidRPr="00691AC0">
              <w:rPr>
                <w:rFonts w:ascii="Arial" w:eastAsia="Times New Roman" w:hAnsi="Arial" w:cs="Arial"/>
                <w:color w:val="FFFFFF" w:themeColor="background1"/>
                <w:sz w:val="19"/>
                <w:szCs w:val="19"/>
                <w:lang w:eastAsia="en-AU"/>
              </w:rPr>
              <w:t>Actual         2022-23</w:t>
            </w:r>
          </w:p>
        </w:tc>
      </w:tr>
      <w:tr w:rsidR="001311F9" w:rsidRPr="001311F9" w14:paraId="6A7198E2" w14:textId="77777777" w:rsidTr="00691AC0">
        <w:trPr>
          <w:trHeight w:val="300"/>
        </w:trPr>
        <w:tc>
          <w:tcPr>
            <w:tcW w:w="4716" w:type="dxa"/>
            <w:shd w:val="clear" w:color="auto" w:fill="7C7C7C" w:themeFill="background2" w:themeFillShade="80"/>
            <w:vAlign w:val="center"/>
            <w:hideMark/>
          </w:tcPr>
          <w:p w14:paraId="767CB273" w14:textId="77777777" w:rsidR="001311F9" w:rsidRPr="00691AC0" w:rsidRDefault="001311F9" w:rsidP="001311F9">
            <w:pPr>
              <w:spacing w:before="0" w:after="0"/>
              <w:rPr>
                <w:rFonts w:ascii="Calibri" w:eastAsia="Times New Roman" w:hAnsi="Calibri" w:cs="Calibri"/>
                <w:color w:val="FFFFFF" w:themeColor="background1"/>
                <w:sz w:val="22"/>
                <w:szCs w:val="22"/>
                <w:lang w:eastAsia="en-AU"/>
              </w:rPr>
            </w:pPr>
            <w:r w:rsidRPr="00691AC0">
              <w:rPr>
                <w:rFonts w:ascii="Calibri" w:eastAsia="Times New Roman" w:hAnsi="Calibri" w:cs="Calibri"/>
                <w:color w:val="FFFFFF" w:themeColor="background1"/>
                <w:sz w:val="22"/>
                <w:szCs w:val="22"/>
                <w:lang w:eastAsia="en-AU"/>
              </w:rPr>
              <w:t> </w:t>
            </w:r>
          </w:p>
        </w:tc>
        <w:tc>
          <w:tcPr>
            <w:tcW w:w="1647" w:type="dxa"/>
            <w:shd w:val="clear" w:color="auto" w:fill="7C7C7C" w:themeFill="background2" w:themeFillShade="80"/>
            <w:vAlign w:val="center"/>
            <w:hideMark/>
          </w:tcPr>
          <w:p w14:paraId="28D6DBB8" w14:textId="77777777" w:rsidR="001311F9" w:rsidRPr="00691AC0" w:rsidRDefault="001311F9" w:rsidP="001311F9">
            <w:pPr>
              <w:spacing w:before="0" w:after="0"/>
              <w:ind w:firstLineChars="400" w:firstLine="760"/>
              <w:rPr>
                <w:rFonts w:ascii="Arial" w:eastAsia="Times New Roman" w:hAnsi="Arial" w:cs="Arial"/>
                <w:color w:val="FFFFFF" w:themeColor="background1"/>
                <w:sz w:val="19"/>
                <w:szCs w:val="19"/>
                <w:lang w:eastAsia="en-AU"/>
              </w:rPr>
            </w:pPr>
            <w:r w:rsidRPr="00691AC0">
              <w:rPr>
                <w:rFonts w:ascii="Arial" w:eastAsia="Times New Roman" w:hAnsi="Arial" w:cs="Arial"/>
                <w:color w:val="FFFFFF" w:themeColor="background1"/>
                <w:sz w:val="19"/>
                <w:szCs w:val="19"/>
                <w:lang w:eastAsia="en-AU"/>
              </w:rPr>
              <w:t> </w:t>
            </w:r>
          </w:p>
        </w:tc>
        <w:tc>
          <w:tcPr>
            <w:tcW w:w="1553" w:type="dxa"/>
            <w:shd w:val="clear" w:color="auto" w:fill="7C7C7C" w:themeFill="background2" w:themeFillShade="80"/>
            <w:vAlign w:val="center"/>
            <w:hideMark/>
          </w:tcPr>
          <w:p w14:paraId="55B7DD1C" w14:textId="77777777" w:rsidR="001311F9" w:rsidRPr="00691AC0" w:rsidRDefault="001311F9" w:rsidP="001311F9">
            <w:pPr>
              <w:spacing w:before="0" w:after="0"/>
              <w:jc w:val="center"/>
              <w:rPr>
                <w:rFonts w:ascii="Arial" w:eastAsia="Times New Roman" w:hAnsi="Arial" w:cs="Arial"/>
                <w:color w:val="FFFFFF" w:themeColor="background1"/>
                <w:sz w:val="19"/>
                <w:szCs w:val="19"/>
                <w:lang w:eastAsia="en-AU"/>
              </w:rPr>
            </w:pPr>
            <w:r w:rsidRPr="00691AC0">
              <w:rPr>
                <w:rFonts w:ascii="Arial" w:eastAsia="Times New Roman" w:hAnsi="Arial" w:cs="Arial"/>
                <w:color w:val="FFFFFF" w:themeColor="background1"/>
                <w:sz w:val="19"/>
                <w:szCs w:val="19"/>
                <w:lang w:eastAsia="en-AU"/>
              </w:rPr>
              <w:t>$’000</w:t>
            </w:r>
          </w:p>
        </w:tc>
        <w:tc>
          <w:tcPr>
            <w:tcW w:w="1553" w:type="dxa"/>
            <w:shd w:val="clear" w:color="auto" w:fill="7C7C7C" w:themeFill="background2" w:themeFillShade="80"/>
            <w:vAlign w:val="center"/>
            <w:hideMark/>
          </w:tcPr>
          <w:p w14:paraId="09AA6F04" w14:textId="77777777" w:rsidR="001311F9" w:rsidRPr="00691AC0" w:rsidRDefault="001311F9" w:rsidP="001311F9">
            <w:pPr>
              <w:spacing w:before="0" w:after="0"/>
              <w:jc w:val="center"/>
              <w:rPr>
                <w:rFonts w:ascii="Arial" w:eastAsia="Times New Roman" w:hAnsi="Arial" w:cs="Arial"/>
                <w:color w:val="FFFFFF" w:themeColor="background1"/>
                <w:sz w:val="19"/>
                <w:szCs w:val="19"/>
                <w:lang w:eastAsia="en-AU"/>
              </w:rPr>
            </w:pPr>
            <w:r w:rsidRPr="00691AC0">
              <w:rPr>
                <w:rFonts w:ascii="Arial" w:eastAsia="Times New Roman" w:hAnsi="Arial" w:cs="Arial"/>
                <w:color w:val="FFFFFF" w:themeColor="background1"/>
                <w:sz w:val="19"/>
                <w:szCs w:val="19"/>
                <w:lang w:eastAsia="en-AU"/>
              </w:rPr>
              <w:t xml:space="preserve">  $’000</w:t>
            </w:r>
          </w:p>
        </w:tc>
      </w:tr>
      <w:tr w:rsidR="001311F9" w:rsidRPr="001311F9" w14:paraId="66373B35" w14:textId="77777777" w:rsidTr="00D44593">
        <w:trPr>
          <w:trHeight w:val="300"/>
        </w:trPr>
        <w:tc>
          <w:tcPr>
            <w:tcW w:w="4716" w:type="dxa"/>
            <w:shd w:val="clear" w:color="auto" w:fill="DFDFDF" w:themeFill="background2" w:themeFillShade="E6"/>
            <w:vAlign w:val="center"/>
            <w:hideMark/>
          </w:tcPr>
          <w:p w14:paraId="23030B4B" w14:textId="77777777" w:rsidR="001311F9" w:rsidRPr="001311F9" w:rsidRDefault="001311F9" w:rsidP="001311F9">
            <w:pPr>
              <w:spacing w:before="0" w:after="0"/>
              <w:rPr>
                <w:rFonts w:ascii="Arial" w:eastAsia="Times New Roman" w:hAnsi="Arial" w:cs="Arial"/>
                <w:sz w:val="19"/>
                <w:szCs w:val="19"/>
                <w:lang w:eastAsia="en-AU"/>
              </w:rPr>
            </w:pPr>
            <w:r w:rsidRPr="001311F9">
              <w:rPr>
                <w:rFonts w:ascii="Arial" w:eastAsia="Times New Roman" w:hAnsi="Arial" w:cs="Arial"/>
                <w:sz w:val="19"/>
                <w:szCs w:val="19"/>
                <w:lang w:eastAsia="en-AU"/>
              </w:rPr>
              <w:t>CURRENT ASSETS</w:t>
            </w:r>
          </w:p>
        </w:tc>
        <w:tc>
          <w:tcPr>
            <w:tcW w:w="1647" w:type="dxa"/>
            <w:shd w:val="clear" w:color="auto" w:fill="DFDFDF" w:themeFill="background2" w:themeFillShade="E6"/>
            <w:vAlign w:val="center"/>
            <w:hideMark/>
          </w:tcPr>
          <w:p w14:paraId="46D4F305" w14:textId="77777777" w:rsidR="001311F9" w:rsidRPr="001311F9" w:rsidRDefault="001311F9" w:rsidP="001311F9">
            <w:pPr>
              <w:spacing w:before="0" w:after="0"/>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c>
          <w:tcPr>
            <w:tcW w:w="1553" w:type="dxa"/>
            <w:shd w:val="clear" w:color="auto" w:fill="DFDFDF" w:themeFill="background2" w:themeFillShade="E6"/>
            <w:vAlign w:val="center"/>
            <w:hideMark/>
          </w:tcPr>
          <w:p w14:paraId="727BD830" w14:textId="77777777" w:rsidR="001311F9" w:rsidRPr="001311F9" w:rsidRDefault="001311F9" w:rsidP="001311F9">
            <w:pPr>
              <w:spacing w:before="0" w:after="0"/>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c>
          <w:tcPr>
            <w:tcW w:w="1553" w:type="dxa"/>
            <w:shd w:val="clear" w:color="auto" w:fill="DFDFDF" w:themeFill="background2" w:themeFillShade="E6"/>
            <w:vAlign w:val="center"/>
            <w:hideMark/>
          </w:tcPr>
          <w:p w14:paraId="14218D52" w14:textId="77777777" w:rsidR="001311F9" w:rsidRPr="001311F9" w:rsidRDefault="001311F9" w:rsidP="001311F9">
            <w:pPr>
              <w:spacing w:before="0" w:after="0"/>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r>
      <w:tr w:rsidR="001311F9" w:rsidRPr="001311F9" w14:paraId="492ECBAC" w14:textId="77777777" w:rsidTr="00691AC0">
        <w:trPr>
          <w:trHeight w:val="300"/>
        </w:trPr>
        <w:tc>
          <w:tcPr>
            <w:tcW w:w="4716" w:type="dxa"/>
            <w:shd w:val="clear" w:color="auto" w:fill="auto"/>
            <w:vAlign w:val="center"/>
            <w:hideMark/>
          </w:tcPr>
          <w:p w14:paraId="6FE757D6"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Cash and cash equivalents</w:t>
            </w:r>
          </w:p>
        </w:tc>
        <w:tc>
          <w:tcPr>
            <w:tcW w:w="1647" w:type="dxa"/>
            <w:shd w:val="clear" w:color="auto" w:fill="auto"/>
            <w:vAlign w:val="center"/>
            <w:hideMark/>
          </w:tcPr>
          <w:p w14:paraId="1921A90D"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3,4</w:t>
            </w:r>
          </w:p>
        </w:tc>
        <w:tc>
          <w:tcPr>
            <w:tcW w:w="1553" w:type="dxa"/>
            <w:shd w:val="clear" w:color="auto" w:fill="auto"/>
            <w:noWrap/>
            <w:vAlign w:val="center"/>
            <w:hideMark/>
          </w:tcPr>
          <w:p w14:paraId="3B5F1863"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(36,149)</w:t>
            </w:r>
          </w:p>
        </w:tc>
        <w:tc>
          <w:tcPr>
            <w:tcW w:w="1553" w:type="dxa"/>
            <w:shd w:val="clear" w:color="auto" w:fill="auto"/>
            <w:noWrap/>
            <w:vAlign w:val="center"/>
            <w:hideMark/>
          </w:tcPr>
          <w:p w14:paraId="4A375E70"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402,330</w:t>
            </w:r>
          </w:p>
        </w:tc>
      </w:tr>
      <w:tr w:rsidR="001311F9" w:rsidRPr="001311F9" w14:paraId="6C77B821" w14:textId="77777777" w:rsidTr="005020F9">
        <w:trPr>
          <w:trHeight w:val="255"/>
        </w:trPr>
        <w:tc>
          <w:tcPr>
            <w:tcW w:w="4716" w:type="dxa"/>
            <w:shd w:val="clear" w:color="auto" w:fill="DFDFDF" w:themeFill="background2" w:themeFillShade="E6"/>
            <w:vAlign w:val="center"/>
            <w:hideMark/>
          </w:tcPr>
          <w:p w14:paraId="23486F49"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Receivables</w:t>
            </w:r>
          </w:p>
        </w:tc>
        <w:tc>
          <w:tcPr>
            <w:tcW w:w="1647" w:type="dxa"/>
            <w:shd w:val="clear" w:color="auto" w:fill="DFDFDF" w:themeFill="background2" w:themeFillShade="E6"/>
            <w:vAlign w:val="center"/>
            <w:hideMark/>
          </w:tcPr>
          <w:p w14:paraId="2CE20947"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DFDFDF" w:themeFill="background2" w:themeFillShade="E6"/>
            <w:noWrap/>
            <w:vAlign w:val="center"/>
            <w:hideMark/>
          </w:tcPr>
          <w:p w14:paraId="768AC6C0"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79,438</w:t>
            </w:r>
          </w:p>
        </w:tc>
        <w:tc>
          <w:tcPr>
            <w:tcW w:w="1553" w:type="dxa"/>
            <w:shd w:val="clear" w:color="auto" w:fill="DFDFDF" w:themeFill="background2" w:themeFillShade="E6"/>
            <w:noWrap/>
            <w:vAlign w:val="center"/>
            <w:hideMark/>
          </w:tcPr>
          <w:p w14:paraId="44F7AB69"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162,756</w:t>
            </w:r>
          </w:p>
        </w:tc>
      </w:tr>
      <w:tr w:rsidR="001311F9" w:rsidRPr="001311F9" w14:paraId="112C4C1E" w14:textId="77777777" w:rsidTr="00691AC0">
        <w:trPr>
          <w:trHeight w:val="255"/>
        </w:trPr>
        <w:tc>
          <w:tcPr>
            <w:tcW w:w="4716" w:type="dxa"/>
            <w:shd w:val="clear" w:color="auto" w:fill="auto"/>
            <w:vAlign w:val="center"/>
            <w:hideMark/>
          </w:tcPr>
          <w:p w14:paraId="47DFB3C9"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Contract assets</w:t>
            </w:r>
          </w:p>
        </w:tc>
        <w:tc>
          <w:tcPr>
            <w:tcW w:w="1647" w:type="dxa"/>
            <w:shd w:val="clear" w:color="auto" w:fill="auto"/>
            <w:vAlign w:val="center"/>
            <w:hideMark/>
          </w:tcPr>
          <w:p w14:paraId="6C011224"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auto"/>
            <w:noWrap/>
            <w:vAlign w:val="center"/>
            <w:hideMark/>
          </w:tcPr>
          <w:p w14:paraId="0021CD0B"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auto"/>
            <w:noWrap/>
            <w:vAlign w:val="center"/>
            <w:hideMark/>
          </w:tcPr>
          <w:p w14:paraId="2BC3CA15"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77,596</w:t>
            </w:r>
          </w:p>
        </w:tc>
      </w:tr>
      <w:tr w:rsidR="001311F9" w:rsidRPr="001311F9" w14:paraId="715F5B9B" w14:textId="77777777" w:rsidTr="005020F9">
        <w:trPr>
          <w:trHeight w:val="255"/>
        </w:trPr>
        <w:tc>
          <w:tcPr>
            <w:tcW w:w="4716" w:type="dxa"/>
            <w:shd w:val="clear" w:color="auto" w:fill="DFDFDF" w:themeFill="background2" w:themeFillShade="E6"/>
            <w:vAlign w:val="center"/>
            <w:hideMark/>
          </w:tcPr>
          <w:p w14:paraId="6B70DD82"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Other current assets</w:t>
            </w:r>
          </w:p>
        </w:tc>
        <w:tc>
          <w:tcPr>
            <w:tcW w:w="1647" w:type="dxa"/>
            <w:shd w:val="clear" w:color="auto" w:fill="DFDFDF" w:themeFill="background2" w:themeFillShade="E6"/>
            <w:vAlign w:val="center"/>
            <w:hideMark/>
          </w:tcPr>
          <w:p w14:paraId="63EEB06C"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 xml:space="preserve">  </w:t>
            </w:r>
          </w:p>
        </w:tc>
        <w:tc>
          <w:tcPr>
            <w:tcW w:w="1553" w:type="dxa"/>
            <w:shd w:val="clear" w:color="auto" w:fill="DFDFDF" w:themeFill="background2" w:themeFillShade="E6"/>
            <w:noWrap/>
            <w:vAlign w:val="center"/>
            <w:hideMark/>
          </w:tcPr>
          <w:p w14:paraId="56F30429"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17,654</w:t>
            </w:r>
          </w:p>
        </w:tc>
        <w:tc>
          <w:tcPr>
            <w:tcW w:w="1553" w:type="dxa"/>
            <w:shd w:val="clear" w:color="auto" w:fill="DFDFDF" w:themeFill="background2" w:themeFillShade="E6"/>
            <w:noWrap/>
            <w:vAlign w:val="center"/>
            <w:hideMark/>
          </w:tcPr>
          <w:p w14:paraId="43F38C6F"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17,701</w:t>
            </w:r>
          </w:p>
        </w:tc>
      </w:tr>
      <w:tr w:rsidR="001311F9" w:rsidRPr="001311F9" w14:paraId="5E91DB79" w14:textId="77777777" w:rsidTr="00691AC0">
        <w:trPr>
          <w:trHeight w:val="255"/>
        </w:trPr>
        <w:tc>
          <w:tcPr>
            <w:tcW w:w="4716" w:type="dxa"/>
            <w:shd w:val="clear" w:color="auto" w:fill="auto"/>
            <w:vAlign w:val="center"/>
            <w:hideMark/>
          </w:tcPr>
          <w:p w14:paraId="724A4EFA"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Non-current assets classified as held for sale</w:t>
            </w:r>
          </w:p>
        </w:tc>
        <w:tc>
          <w:tcPr>
            <w:tcW w:w="1647" w:type="dxa"/>
            <w:shd w:val="clear" w:color="auto" w:fill="auto"/>
            <w:vAlign w:val="center"/>
            <w:hideMark/>
          </w:tcPr>
          <w:p w14:paraId="27C4CED3"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 xml:space="preserve">   </w:t>
            </w:r>
          </w:p>
        </w:tc>
        <w:tc>
          <w:tcPr>
            <w:tcW w:w="1553" w:type="dxa"/>
            <w:shd w:val="clear" w:color="auto" w:fill="auto"/>
            <w:noWrap/>
            <w:vAlign w:val="center"/>
            <w:hideMark/>
          </w:tcPr>
          <w:p w14:paraId="443F2DD3"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auto"/>
            <w:noWrap/>
            <w:vAlign w:val="center"/>
            <w:hideMark/>
          </w:tcPr>
          <w:p w14:paraId="46CDC1D5"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671</w:t>
            </w:r>
          </w:p>
        </w:tc>
      </w:tr>
      <w:tr w:rsidR="001311F9" w:rsidRPr="001311F9" w14:paraId="12A7FD46" w14:textId="77777777" w:rsidTr="005020F9">
        <w:trPr>
          <w:trHeight w:val="255"/>
        </w:trPr>
        <w:tc>
          <w:tcPr>
            <w:tcW w:w="4716" w:type="dxa"/>
            <w:shd w:val="clear" w:color="auto" w:fill="B9B9B9" w:themeFill="background2" w:themeFillShade="BF"/>
            <w:vAlign w:val="center"/>
            <w:hideMark/>
          </w:tcPr>
          <w:p w14:paraId="1C9D9BA8" w14:textId="77777777" w:rsidR="001311F9" w:rsidRPr="001311F9" w:rsidRDefault="001311F9" w:rsidP="001311F9">
            <w:pPr>
              <w:spacing w:before="0" w:after="0"/>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Total current assets</w:t>
            </w:r>
          </w:p>
        </w:tc>
        <w:tc>
          <w:tcPr>
            <w:tcW w:w="1647" w:type="dxa"/>
            <w:shd w:val="clear" w:color="auto" w:fill="B9B9B9" w:themeFill="background2" w:themeFillShade="BF"/>
            <w:vAlign w:val="center"/>
            <w:hideMark/>
          </w:tcPr>
          <w:p w14:paraId="656948AE" w14:textId="77777777" w:rsidR="001311F9" w:rsidRPr="001311F9" w:rsidRDefault="001311F9" w:rsidP="001311F9">
            <w:pPr>
              <w:spacing w:before="0" w:after="0"/>
              <w:jc w:val="center"/>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 </w:t>
            </w:r>
          </w:p>
        </w:tc>
        <w:tc>
          <w:tcPr>
            <w:tcW w:w="1553" w:type="dxa"/>
            <w:shd w:val="clear" w:color="auto" w:fill="B9B9B9" w:themeFill="background2" w:themeFillShade="BF"/>
            <w:noWrap/>
            <w:vAlign w:val="center"/>
            <w:hideMark/>
          </w:tcPr>
          <w:p w14:paraId="13163473"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60,943</w:t>
            </w:r>
          </w:p>
        </w:tc>
        <w:tc>
          <w:tcPr>
            <w:tcW w:w="1553" w:type="dxa"/>
            <w:shd w:val="clear" w:color="auto" w:fill="B9B9B9" w:themeFill="background2" w:themeFillShade="BF"/>
            <w:noWrap/>
            <w:vAlign w:val="center"/>
            <w:hideMark/>
          </w:tcPr>
          <w:p w14:paraId="55E6CF35"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661,054</w:t>
            </w:r>
          </w:p>
        </w:tc>
      </w:tr>
      <w:tr w:rsidR="001311F9" w:rsidRPr="001311F9" w14:paraId="3166F141" w14:textId="77777777" w:rsidTr="00D44593">
        <w:trPr>
          <w:trHeight w:val="300"/>
        </w:trPr>
        <w:tc>
          <w:tcPr>
            <w:tcW w:w="4716" w:type="dxa"/>
            <w:shd w:val="clear" w:color="auto" w:fill="DFDFDF" w:themeFill="background2" w:themeFillShade="E6"/>
            <w:vAlign w:val="center"/>
            <w:hideMark/>
          </w:tcPr>
          <w:p w14:paraId="51AC11D0" w14:textId="77777777" w:rsidR="001311F9" w:rsidRPr="001311F9" w:rsidRDefault="001311F9" w:rsidP="001311F9">
            <w:pPr>
              <w:spacing w:before="0" w:after="0"/>
              <w:rPr>
                <w:rFonts w:ascii="Arial" w:eastAsia="Times New Roman" w:hAnsi="Arial" w:cs="Arial"/>
                <w:sz w:val="19"/>
                <w:szCs w:val="19"/>
                <w:lang w:eastAsia="en-AU"/>
              </w:rPr>
            </w:pPr>
            <w:r w:rsidRPr="001311F9">
              <w:rPr>
                <w:rFonts w:ascii="Arial" w:eastAsia="Times New Roman" w:hAnsi="Arial" w:cs="Arial"/>
                <w:sz w:val="19"/>
                <w:szCs w:val="19"/>
                <w:lang w:eastAsia="en-AU"/>
              </w:rPr>
              <w:t>NON-CURRENT ASSETS</w:t>
            </w:r>
          </w:p>
        </w:tc>
        <w:tc>
          <w:tcPr>
            <w:tcW w:w="1647" w:type="dxa"/>
            <w:shd w:val="clear" w:color="auto" w:fill="DFDFDF" w:themeFill="background2" w:themeFillShade="E6"/>
            <w:vAlign w:val="center"/>
            <w:hideMark/>
          </w:tcPr>
          <w:p w14:paraId="513438EB" w14:textId="77777777" w:rsidR="001311F9" w:rsidRPr="001311F9" w:rsidRDefault="001311F9" w:rsidP="001311F9">
            <w:pPr>
              <w:spacing w:before="0" w:after="0"/>
              <w:jc w:val="center"/>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c>
          <w:tcPr>
            <w:tcW w:w="1553" w:type="dxa"/>
            <w:shd w:val="clear" w:color="auto" w:fill="DFDFDF" w:themeFill="background2" w:themeFillShade="E6"/>
            <w:vAlign w:val="center"/>
            <w:hideMark/>
          </w:tcPr>
          <w:p w14:paraId="5B787FD6" w14:textId="77777777" w:rsidR="001311F9" w:rsidRPr="001311F9" w:rsidRDefault="001311F9" w:rsidP="001311F9">
            <w:pPr>
              <w:spacing w:before="0" w:after="0"/>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c>
          <w:tcPr>
            <w:tcW w:w="1553" w:type="dxa"/>
            <w:shd w:val="clear" w:color="auto" w:fill="DFDFDF" w:themeFill="background2" w:themeFillShade="E6"/>
            <w:vAlign w:val="center"/>
            <w:hideMark/>
          </w:tcPr>
          <w:p w14:paraId="38CD273C" w14:textId="77777777" w:rsidR="001311F9" w:rsidRPr="001311F9" w:rsidRDefault="001311F9" w:rsidP="001311F9">
            <w:pPr>
              <w:spacing w:before="0" w:after="0"/>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r>
      <w:tr w:rsidR="001311F9" w:rsidRPr="001311F9" w14:paraId="50C6779D" w14:textId="77777777" w:rsidTr="00691AC0">
        <w:trPr>
          <w:trHeight w:val="300"/>
        </w:trPr>
        <w:tc>
          <w:tcPr>
            <w:tcW w:w="4716" w:type="dxa"/>
            <w:shd w:val="clear" w:color="auto" w:fill="auto"/>
            <w:vAlign w:val="center"/>
            <w:hideMark/>
          </w:tcPr>
          <w:p w14:paraId="554216E4"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 xml:space="preserve">Property, </w:t>
            </w:r>
            <w:proofErr w:type="gramStart"/>
            <w:r w:rsidRPr="001311F9">
              <w:rPr>
                <w:rFonts w:ascii="Arial" w:eastAsia="Times New Roman" w:hAnsi="Arial" w:cs="Arial"/>
                <w:sz w:val="19"/>
                <w:szCs w:val="19"/>
                <w:lang w:eastAsia="en-AU"/>
              </w:rPr>
              <w:t>plant</w:t>
            </w:r>
            <w:proofErr w:type="gramEnd"/>
            <w:r w:rsidRPr="001311F9">
              <w:rPr>
                <w:rFonts w:ascii="Arial" w:eastAsia="Times New Roman" w:hAnsi="Arial" w:cs="Arial"/>
                <w:sz w:val="19"/>
                <w:szCs w:val="19"/>
                <w:lang w:eastAsia="en-AU"/>
              </w:rPr>
              <w:t xml:space="preserve"> and equipment</w:t>
            </w:r>
          </w:p>
        </w:tc>
        <w:tc>
          <w:tcPr>
            <w:tcW w:w="1647" w:type="dxa"/>
            <w:shd w:val="clear" w:color="auto" w:fill="auto"/>
            <w:vAlign w:val="center"/>
            <w:hideMark/>
          </w:tcPr>
          <w:p w14:paraId="6374FF38"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auto"/>
            <w:noWrap/>
            <w:vAlign w:val="center"/>
            <w:hideMark/>
          </w:tcPr>
          <w:p w14:paraId="1A6FF1BF"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362,150</w:t>
            </w:r>
          </w:p>
        </w:tc>
        <w:tc>
          <w:tcPr>
            <w:tcW w:w="1553" w:type="dxa"/>
            <w:shd w:val="clear" w:color="auto" w:fill="auto"/>
            <w:noWrap/>
            <w:vAlign w:val="center"/>
            <w:hideMark/>
          </w:tcPr>
          <w:p w14:paraId="5399DD2A"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3,804,216</w:t>
            </w:r>
          </w:p>
        </w:tc>
      </w:tr>
      <w:tr w:rsidR="001311F9" w:rsidRPr="001311F9" w14:paraId="76A36F6A" w14:textId="77777777" w:rsidTr="005020F9">
        <w:trPr>
          <w:trHeight w:val="255"/>
        </w:trPr>
        <w:tc>
          <w:tcPr>
            <w:tcW w:w="4716" w:type="dxa"/>
            <w:shd w:val="clear" w:color="auto" w:fill="DFDFDF" w:themeFill="background2" w:themeFillShade="E6"/>
            <w:vAlign w:val="center"/>
            <w:hideMark/>
          </w:tcPr>
          <w:p w14:paraId="68E79654"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Right-of-use assets</w:t>
            </w:r>
          </w:p>
        </w:tc>
        <w:tc>
          <w:tcPr>
            <w:tcW w:w="1647" w:type="dxa"/>
            <w:shd w:val="clear" w:color="auto" w:fill="DFDFDF" w:themeFill="background2" w:themeFillShade="E6"/>
            <w:vAlign w:val="center"/>
            <w:hideMark/>
          </w:tcPr>
          <w:p w14:paraId="177EFB9F"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DFDFDF" w:themeFill="background2" w:themeFillShade="E6"/>
            <w:noWrap/>
            <w:vAlign w:val="center"/>
            <w:hideMark/>
          </w:tcPr>
          <w:p w14:paraId="7D87B3D6"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DFDFDF" w:themeFill="background2" w:themeFillShade="E6"/>
            <w:noWrap/>
            <w:vAlign w:val="center"/>
            <w:hideMark/>
          </w:tcPr>
          <w:p w14:paraId="5A0B17F8"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1,553,727</w:t>
            </w:r>
          </w:p>
        </w:tc>
      </w:tr>
      <w:tr w:rsidR="001311F9" w:rsidRPr="001311F9" w14:paraId="0E84E5FC" w14:textId="77777777" w:rsidTr="00691AC0">
        <w:trPr>
          <w:trHeight w:val="255"/>
        </w:trPr>
        <w:tc>
          <w:tcPr>
            <w:tcW w:w="4716" w:type="dxa"/>
            <w:shd w:val="clear" w:color="auto" w:fill="auto"/>
            <w:vAlign w:val="center"/>
            <w:hideMark/>
          </w:tcPr>
          <w:p w14:paraId="76F62C0B"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Receivables</w:t>
            </w:r>
          </w:p>
        </w:tc>
        <w:tc>
          <w:tcPr>
            <w:tcW w:w="1647" w:type="dxa"/>
            <w:shd w:val="clear" w:color="auto" w:fill="auto"/>
            <w:vAlign w:val="center"/>
            <w:hideMark/>
          </w:tcPr>
          <w:p w14:paraId="5D04899F"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auto"/>
            <w:noWrap/>
            <w:vAlign w:val="center"/>
            <w:hideMark/>
          </w:tcPr>
          <w:p w14:paraId="12207AB2"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auto"/>
            <w:noWrap/>
            <w:vAlign w:val="center"/>
            <w:hideMark/>
          </w:tcPr>
          <w:p w14:paraId="030FC1A7"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58,571</w:t>
            </w:r>
          </w:p>
        </w:tc>
      </w:tr>
      <w:tr w:rsidR="001311F9" w:rsidRPr="001311F9" w14:paraId="70183BFB" w14:textId="77777777" w:rsidTr="005020F9">
        <w:trPr>
          <w:trHeight w:val="255"/>
        </w:trPr>
        <w:tc>
          <w:tcPr>
            <w:tcW w:w="4716" w:type="dxa"/>
            <w:shd w:val="clear" w:color="auto" w:fill="DFDFDF" w:themeFill="background2" w:themeFillShade="E6"/>
            <w:vAlign w:val="center"/>
            <w:hideMark/>
          </w:tcPr>
          <w:p w14:paraId="1B779E83"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Other non-current assets</w:t>
            </w:r>
          </w:p>
        </w:tc>
        <w:tc>
          <w:tcPr>
            <w:tcW w:w="1647" w:type="dxa"/>
            <w:shd w:val="clear" w:color="auto" w:fill="DFDFDF" w:themeFill="background2" w:themeFillShade="E6"/>
            <w:vAlign w:val="center"/>
            <w:hideMark/>
          </w:tcPr>
          <w:p w14:paraId="5708C747"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 </w:t>
            </w:r>
          </w:p>
        </w:tc>
        <w:tc>
          <w:tcPr>
            <w:tcW w:w="1553" w:type="dxa"/>
            <w:shd w:val="clear" w:color="auto" w:fill="DFDFDF" w:themeFill="background2" w:themeFillShade="E6"/>
            <w:noWrap/>
            <w:vAlign w:val="center"/>
            <w:hideMark/>
          </w:tcPr>
          <w:p w14:paraId="06D1D7C5"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300</w:t>
            </w:r>
          </w:p>
        </w:tc>
        <w:tc>
          <w:tcPr>
            <w:tcW w:w="1553" w:type="dxa"/>
            <w:shd w:val="clear" w:color="auto" w:fill="DFDFDF" w:themeFill="background2" w:themeFillShade="E6"/>
            <w:noWrap/>
            <w:vAlign w:val="center"/>
            <w:hideMark/>
          </w:tcPr>
          <w:p w14:paraId="3B4F6666"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8,288</w:t>
            </w:r>
          </w:p>
        </w:tc>
      </w:tr>
      <w:tr w:rsidR="001311F9" w:rsidRPr="001311F9" w14:paraId="184D1D76" w14:textId="77777777" w:rsidTr="005020F9">
        <w:trPr>
          <w:trHeight w:val="255"/>
        </w:trPr>
        <w:tc>
          <w:tcPr>
            <w:tcW w:w="4716" w:type="dxa"/>
            <w:shd w:val="clear" w:color="auto" w:fill="B9B9B9" w:themeFill="background2" w:themeFillShade="BF"/>
            <w:vAlign w:val="center"/>
            <w:hideMark/>
          </w:tcPr>
          <w:p w14:paraId="6CC1FFB8" w14:textId="77777777" w:rsidR="001311F9" w:rsidRPr="001311F9" w:rsidRDefault="001311F9" w:rsidP="001311F9">
            <w:pPr>
              <w:spacing w:before="0" w:after="0"/>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Total non-current assets</w:t>
            </w:r>
          </w:p>
        </w:tc>
        <w:tc>
          <w:tcPr>
            <w:tcW w:w="1647" w:type="dxa"/>
            <w:shd w:val="clear" w:color="auto" w:fill="B9B9B9" w:themeFill="background2" w:themeFillShade="BF"/>
            <w:vAlign w:val="center"/>
            <w:hideMark/>
          </w:tcPr>
          <w:p w14:paraId="697C39A4" w14:textId="77777777" w:rsidR="001311F9" w:rsidRPr="001311F9" w:rsidRDefault="001311F9" w:rsidP="001311F9">
            <w:pPr>
              <w:spacing w:before="0" w:after="0"/>
              <w:ind w:firstLineChars="200" w:firstLine="381"/>
              <w:jc w:val="center"/>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 </w:t>
            </w:r>
          </w:p>
        </w:tc>
        <w:tc>
          <w:tcPr>
            <w:tcW w:w="1553" w:type="dxa"/>
            <w:shd w:val="clear" w:color="auto" w:fill="B9B9B9" w:themeFill="background2" w:themeFillShade="BF"/>
            <w:noWrap/>
            <w:vAlign w:val="center"/>
            <w:hideMark/>
          </w:tcPr>
          <w:p w14:paraId="5DBC35E6"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362,450</w:t>
            </w:r>
          </w:p>
        </w:tc>
        <w:tc>
          <w:tcPr>
            <w:tcW w:w="1553" w:type="dxa"/>
            <w:shd w:val="clear" w:color="auto" w:fill="B9B9B9" w:themeFill="background2" w:themeFillShade="BF"/>
            <w:noWrap/>
            <w:vAlign w:val="center"/>
            <w:hideMark/>
          </w:tcPr>
          <w:p w14:paraId="186C92EC"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5,424,802</w:t>
            </w:r>
          </w:p>
        </w:tc>
      </w:tr>
      <w:tr w:rsidR="001311F9" w:rsidRPr="001311F9" w14:paraId="2D69A531" w14:textId="77777777" w:rsidTr="005020F9">
        <w:trPr>
          <w:trHeight w:val="255"/>
        </w:trPr>
        <w:tc>
          <w:tcPr>
            <w:tcW w:w="4716" w:type="dxa"/>
            <w:shd w:val="clear" w:color="auto" w:fill="B9B9B9" w:themeFill="background2" w:themeFillShade="BF"/>
            <w:vAlign w:val="center"/>
            <w:hideMark/>
          </w:tcPr>
          <w:p w14:paraId="616FF468" w14:textId="77777777" w:rsidR="001311F9" w:rsidRPr="001311F9" w:rsidRDefault="001311F9" w:rsidP="001311F9">
            <w:pPr>
              <w:spacing w:before="0" w:after="0"/>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TOTAL ASSETS</w:t>
            </w:r>
          </w:p>
        </w:tc>
        <w:tc>
          <w:tcPr>
            <w:tcW w:w="1647" w:type="dxa"/>
            <w:shd w:val="clear" w:color="auto" w:fill="B9B9B9" w:themeFill="background2" w:themeFillShade="BF"/>
            <w:vAlign w:val="center"/>
            <w:hideMark/>
          </w:tcPr>
          <w:p w14:paraId="1F0030FF" w14:textId="77777777" w:rsidR="001311F9" w:rsidRPr="001311F9" w:rsidRDefault="001311F9" w:rsidP="001311F9">
            <w:pPr>
              <w:spacing w:before="0" w:after="0"/>
              <w:ind w:firstLineChars="200" w:firstLine="381"/>
              <w:jc w:val="center"/>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 </w:t>
            </w:r>
          </w:p>
        </w:tc>
        <w:tc>
          <w:tcPr>
            <w:tcW w:w="1553" w:type="dxa"/>
            <w:shd w:val="clear" w:color="auto" w:fill="B9B9B9" w:themeFill="background2" w:themeFillShade="BF"/>
            <w:noWrap/>
            <w:vAlign w:val="center"/>
            <w:hideMark/>
          </w:tcPr>
          <w:p w14:paraId="656459BC"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423,393</w:t>
            </w:r>
          </w:p>
        </w:tc>
        <w:tc>
          <w:tcPr>
            <w:tcW w:w="1553" w:type="dxa"/>
            <w:shd w:val="clear" w:color="auto" w:fill="B9B9B9" w:themeFill="background2" w:themeFillShade="BF"/>
            <w:noWrap/>
            <w:vAlign w:val="center"/>
            <w:hideMark/>
          </w:tcPr>
          <w:p w14:paraId="55D37CDA"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6,085,856</w:t>
            </w:r>
          </w:p>
        </w:tc>
      </w:tr>
      <w:tr w:rsidR="001311F9" w:rsidRPr="001311F9" w14:paraId="5F2C242B" w14:textId="77777777" w:rsidTr="005020F9">
        <w:trPr>
          <w:trHeight w:val="300"/>
        </w:trPr>
        <w:tc>
          <w:tcPr>
            <w:tcW w:w="4716" w:type="dxa"/>
            <w:shd w:val="clear" w:color="auto" w:fill="auto"/>
            <w:vAlign w:val="center"/>
            <w:hideMark/>
          </w:tcPr>
          <w:p w14:paraId="48F31527" w14:textId="77777777" w:rsidR="001311F9" w:rsidRPr="001311F9" w:rsidRDefault="001311F9" w:rsidP="001311F9">
            <w:pPr>
              <w:spacing w:before="0" w:after="0"/>
              <w:rPr>
                <w:rFonts w:ascii="Arial" w:eastAsia="Times New Roman" w:hAnsi="Arial" w:cs="Arial"/>
                <w:sz w:val="19"/>
                <w:szCs w:val="19"/>
                <w:lang w:eastAsia="en-AU"/>
              </w:rPr>
            </w:pPr>
            <w:r w:rsidRPr="001311F9">
              <w:rPr>
                <w:rFonts w:ascii="Arial" w:eastAsia="Times New Roman" w:hAnsi="Arial" w:cs="Arial"/>
                <w:sz w:val="19"/>
                <w:szCs w:val="19"/>
                <w:lang w:eastAsia="en-AU"/>
              </w:rPr>
              <w:t>CURRENT LIABILITIES</w:t>
            </w:r>
          </w:p>
        </w:tc>
        <w:tc>
          <w:tcPr>
            <w:tcW w:w="1647" w:type="dxa"/>
            <w:shd w:val="clear" w:color="auto" w:fill="auto"/>
            <w:vAlign w:val="center"/>
            <w:hideMark/>
          </w:tcPr>
          <w:p w14:paraId="307F5688" w14:textId="77777777" w:rsidR="001311F9" w:rsidRPr="001311F9" w:rsidRDefault="001311F9" w:rsidP="001311F9">
            <w:pPr>
              <w:spacing w:before="0" w:after="0"/>
              <w:jc w:val="center"/>
              <w:rPr>
                <w:rFonts w:ascii="Arial" w:eastAsia="Times New Roman" w:hAnsi="Arial" w:cs="Arial"/>
                <w:sz w:val="19"/>
                <w:szCs w:val="19"/>
                <w:lang w:eastAsia="en-AU"/>
              </w:rPr>
            </w:pPr>
          </w:p>
        </w:tc>
        <w:tc>
          <w:tcPr>
            <w:tcW w:w="1553" w:type="dxa"/>
            <w:shd w:val="clear" w:color="auto" w:fill="auto"/>
            <w:vAlign w:val="center"/>
            <w:hideMark/>
          </w:tcPr>
          <w:p w14:paraId="20275F53" w14:textId="77777777" w:rsidR="001311F9" w:rsidRPr="001311F9" w:rsidRDefault="001311F9" w:rsidP="001311F9">
            <w:pPr>
              <w:spacing w:before="0" w:after="0"/>
              <w:rPr>
                <w:rFonts w:ascii="Times New Roman" w:eastAsia="Times New Roman" w:hAnsi="Times New Roman" w:cs="Times New Roman"/>
                <w:szCs w:val="20"/>
                <w:lang w:eastAsia="en-AU"/>
              </w:rPr>
            </w:pPr>
          </w:p>
        </w:tc>
        <w:tc>
          <w:tcPr>
            <w:tcW w:w="1553" w:type="dxa"/>
            <w:shd w:val="clear" w:color="auto" w:fill="auto"/>
            <w:vAlign w:val="center"/>
            <w:hideMark/>
          </w:tcPr>
          <w:p w14:paraId="2180A44F" w14:textId="77777777" w:rsidR="001311F9" w:rsidRPr="001311F9" w:rsidRDefault="001311F9" w:rsidP="001311F9">
            <w:pPr>
              <w:spacing w:before="0" w:after="0"/>
              <w:rPr>
                <w:rFonts w:ascii="Times New Roman" w:eastAsia="Times New Roman" w:hAnsi="Times New Roman" w:cs="Times New Roman"/>
                <w:szCs w:val="20"/>
                <w:lang w:eastAsia="en-AU"/>
              </w:rPr>
            </w:pPr>
          </w:p>
        </w:tc>
      </w:tr>
      <w:tr w:rsidR="001311F9" w:rsidRPr="001311F9" w14:paraId="6EE7D92D" w14:textId="77777777" w:rsidTr="005020F9">
        <w:trPr>
          <w:trHeight w:val="255"/>
        </w:trPr>
        <w:tc>
          <w:tcPr>
            <w:tcW w:w="4716" w:type="dxa"/>
            <w:shd w:val="clear" w:color="auto" w:fill="DFDFDF" w:themeFill="background2" w:themeFillShade="E6"/>
            <w:vAlign w:val="center"/>
            <w:hideMark/>
          </w:tcPr>
          <w:p w14:paraId="3B746BAD"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 xml:space="preserve">Lease liabilities </w:t>
            </w:r>
          </w:p>
        </w:tc>
        <w:tc>
          <w:tcPr>
            <w:tcW w:w="1647" w:type="dxa"/>
            <w:shd w:val="clear" w:color="auto" w:fill="DFDFDF" w:themeFill="background2" w:themeFillShade="E6"/>
            <w:vAlign w:val="center"/>
            <w:hideMark/>
          </w:tcPr>
          <w:p w14:paraId="7C538E75" w14:textId="77777777" w:rsidR="001311F9" w:rsidRPr="001311F9" w:rsidRDefault="001311F9" w:rsidP="001311F9">
            <w:pPr>
              <w:spacing w:before="0" w:after="0"/>
              <w:ind w:firstLineChars="300" w:firstLine="57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 </w:t>
            </w:r>
          </w:p>
        </w:tc>
        <w:tc>
          <w:tcPr>
            <w:tcW w:w="1553" w:type="dxa"/>
            <w:shd w:val="clear" w:color="auto" w:fill="DFDFDF" w:themeFill="background2" w:themeFillShade="E6"/>
            <w:noWrap/>
            <w:vAlign w:val="center"/>
            <w:hideMark/>
          </w:tcPr>
          <w:p w14:paraId="2C8D0AB4"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DFDFDF" w:themeFill="background2" w:themeFillShade="E6"/>
            <w:noWrap/>
            <w:vAlign w:val="center"/>
            <w:hideMark/>
          </w:tcPr>
          <w:p w14:paraId="39E059F5"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395,692</w:t>
            </w:r>
          </w:p>
        </w:tc>
      </w:tr>
      <w:tr w:rsidR="001311F9" w:rsidRPr="001311F9" w14:paraId="1F7082FD" w14:textId="77777777" w:rsidTr="00691AC0">
        <w:trPr>
          <w:trHeight w:val="255"/>
        </w:trPr>
        <w:tc>
          <w:tcPr>
            <w:tcW w:w="4716" w:type="dxa"/>
            <w:shd w:val="clear" w:color="auto" w:fill="auto"/>
            <w:vAlign w:val="center"/>
            <w:hideMark/>
          </w:tcPr>
          <w:p w14:paraId="4F8396FF"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Payables</w:t>
            </w:r>
          </w:p>
        </w:tc>
        <w:tc>
          <w:tcPr>
            <w:tcW w:w="1647" w:type="dxa"/>
            <w:shd w:val="clear" w:color="auto" w:fill="auto"/>
            <w:vAlign w:val="center"/>
            <w:hideMark/>
          </w:tcPr>
          <w:p w14:paraId="06449406"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auto"/>
            <w:noWrap/>
            <w:vAlign w:val="center"/>
            <w:hideMark/>
          </w:tcPr>
          <w:p w14:paraId="0FEF666D"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50,988</w:t>
            </w:r>
          </w:p>
        </w:tc>
        <w:tc>
          <w:tcPr>
            <w:tcW w:w="1553" w:type="dxa"/>
            <w:shd w:val="clear" w:color="auto" w:fill="auto"/>
            <w:noWrap/>
            <w:vAlign w:val="center"/>
            <w:hideMark/>
          </w:tcPr>
          <w:p w14:paraId="6E391892"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257,192</w:t>
            </w:r>
          </w:p>
        </w:tc>
      </w:tr>
      <w:tr w:rsidR="001311F9" w:rsidRPr="001311F9" w14:paraId="1DE56AEE" w14:textId="77777777" w:rsidTr="005020F9">
        <w:trPr>
          <w:trHeight w:val="255"/>
        </w:trPr>
        <w:tc>
          <w:tcPr>
            <w:tcW w:w="4716" w:type="dxa"/>
            <w:shd w:val="clear" w:color="auto" w:fill="DFDFDF" w:themeFill="background2" w:themeFillShade="E6"/>
            <w:vAlign w:val="center"/>
            <w:hideMark/>
          </w:tcPr>
          <w:p w14:paraId="3A5DF7C1"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Borrowings</w:t>
            </w:r>
          </w:p>
        </w:tc>
        <w:tc>
          <w:tcPr>
            <w:tcW w:w="1647" w:type="dxa"/>
            <w:shd w:val="clear" w:color="auto" w:fill="DFDFDF" w:themeFill="background2" w:themeFillShade="E6"/>
            <w:vAlign w:val="center"/>
            <w:hideMark/>
          </w:tcPr>
          <w:p w14:paraId="41F68AC5"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5</w:t>
            </w:r>
          </w:p>
        </w:tc>
        <w:tc>
          <w:tcPr>
            <w:tcW w:w="1553" w:type="dxa"/>
            <w:shd w:val="clear" w:color="auto" w:fill="DFDFDF" w:themeFill="background2" w:themeFillShade="E6"/>
            <w:noWrap/>
            <w:vAlign w:val="center"/>
            <w:hideMark/>
          </w:tcPr>
          <w:p w14:paraId="2A36715F"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17,598</w:t>
            </w:r>
          </w:p>
        </w:tc>
        <w:tc>
          <w:tcPr>
            <w:tcW w:w="1553" w:type="dxa"/>
            <w:shd w:val="clear" w:color="auto" w:fill="DFDFDF" w:themeFill="background2" w:themeFillShade="E6"/>
            <w:noWrap/>
            <w:vAlign w:val="center"/>
            <w:hideMark/>
          </w:tcPr>
          <w:p w14:paraId="05A82022"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r>
      <w:tr w:rsidR="001311F9" w:rsidRPr="001311F9" w14:paraId="3F3D5565" w14:textId="77777777" w:rsidTr="00691AC0">
        <w:trPr>
          <w:trHeight w:val="255"/>
        </w:trPr>
        <w:tc>
          <w:tcPr>
            <w:tcW w:w="4716" w:type="dxa"/>
            <w:shd w:val="clear" w:color="auto" w:fill="auto"/>
            <w:vAlign w:val="center"/>
            <w:hideMark/>
          </w:tcPr>
          <w:p w14:paraId="0543F73E"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Queen’s Wharf deferred consideration</w:t>
            </w:r>
          </w:p>
        </w:tc>
        <w:tc>
          <w:tcPr>
            <w:tcW w:w="1647" w:type="dxa"/>
            <w:shd w:val="clear" w:color="auto" w:fill="auto"/>
            <w:vAlign w:val="center"/>
            <w:hideMark/>
          </w:tcPr>
          <w:p w14:paraId="1B70C3A4"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auto"/>
            <w:noWrap/>
            <w:vAlign w:val="center"/>
            <w:hideMark/>
          </w:tcPr>
          <w:p w14:paraId="500E344F"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auto"/>
            <w:noWrap/>
            <w:vAlign w:val="center"/>
            <w:hideMark/>
          </w:tcPr>
          <w:p w14:paraId="4BF98A59"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71,250</w:t>
            </w:r>
          </w:p>
        </w:tc>
      </w:tr>
      <w:tr w:rsidR="001311F9" w:rsidRPr="001311F9" w14:paraId="20917497" w14:textId="77777777" w:rsidTr="00292474">
        <w:trPr>
          <w:trHeight w:val="255"/>
        </w:trPr>
        <w:tc>
          <w:tcPr>
            <w:tcW w:w="4716" w:type="dxa"/>
            <w:shd w:val="clear" w:color="auto" w:fill="DFDFDF" w:themeFill="background2" w:themeFillShade="E6"/>
            <w:vAlign w:val="center"/>
            <w:hideMark/>
          </w:tcPr>
          <w:p w14:paraId="2F01CE19"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Accrued employee benefits</w:t>
            </w:r>
          </w:p>
        </w:tc>
        <w:tc>
          <w:tcPr>
            <w:tcW w:w="1647" w:type="dxa"/>
            <w:shd w:val="clear" w:color="auto" w:fill="DFDFDF" w:themeFill="background2" w:themeFillShade="E6"/>
            <w:vAlign w:val="center"/>
            <w:hideMark/>
          </w:tcPr>
          <w:p w14:paraId="734C56B7"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 xml:space="preserve">   </w:t>
            </w:r>
          </w:p>
        </w:tc>
        <w:tc>
          <w:tcPr>
            <w:tcW w:w="1553" w:type="dxa"/>
            <w:shd w:val="clear" w:color="auto" w:fill="DFDFDF" w:themeFill="background2" w:themeFillShade="E6"/>
            <w:noWrap/>
            <w:vAlign w:val="center"/>
            <w:hideMark/>
          </w:tcPr>
          <w:p w14:paraId="52A7AF2D"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2,939</w:t>
            </w:r>
          </w:p>
        </w:tc>
        <w:tc>
          <w:tcPr>
            <w:tcW w:w="1553" w:type="dxa"/>
            <w:shd w:val="clear" w:color="auto" w:fill="DFDFDF" w:themeFill="background2" w:themeFillShade="E6"/>
            <w:noWrap/>
            <w:vAlign w:val="center"/>
            <w:hideMark/>
          </w:tcPr>
          <w:p w14:paraId="05F84591"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9,923</w:t>
            </w:r>
          </w:p>
        </w:tc>
      </w:tr>
      <w:tr w:rsidR="001311F9" w:rsidRPr="001311F9" w14:paraId="509E7673" w14:textId="77777777" w:rsidTr="00691AC0">
        <w:trPr>
          <w:trHeight w:val="255"/>
        </w:trPr>
        <w:tc>
          <w:tcPr>
            <w:tcW w:w="4716" w:type="dxa"/>
            <w:shd w:val="clear" w:color="auto" w:fill="auto"/>
            <w:vAlign w:val="center"/>
            <w:hideMark/>
          </w:tcPr>
          <w:p w14:paraId="07327F14"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 xml:space="preserve">Provisions </w:t>
            </w:r>
          </w:p>
        </w:tc>
        <w:tc>
          <w:tcPr>
            <w:tcW w:w="1647" w:type="dxa"/>
            <w:shd w:val="clear" w:color="auto" w:fill="auto"/>
            <w:vAlign w:val="center"/>
            <w:hideMark/>
          </w:tcPr>
          <w:p w14:paraId="3741DAEA" w14:textId="77777777" w:rsidR="001311F9" w:rsidRPr="001311F9" w:rsidRDefault="001311F9" w:rsidP="001311F9">
            <w:pPr>
              <w:spacing w:before="0" w:after="0"/>
              <w:jc w:val="center"/>
              <w:rPr>
                <w:rFonts w:ascii="Arial" w:eastAsia="Times New Roman" w:hAnsi="Arial" w:cs="Arial"/>
                <w:sz w:val="19"/>
                <w:szCs w:val="19"/>
                <w:lang w:eastAsia="en-AU"/>
              </w:rPr>
            </w:pPr>
          </w:p>
        </w:tc>
        <w:tc>
          <w:tcPr>
            <w:tcW w:w="1553" w:type="dxa"/>
            <w:shd w:val="clear" w:color="auto" w:fill="auto"/>
            <w:noWrap/>
            <w:vAlign w:val="center"/>
            <w:hideMark/>
          </w:tcPr>
          <w:p w14:paraId="747802C5"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183</w:t>
            </w:r>
          </w:p>
        </w:tc>
        <w:tc>
          <w:tcPr>
            <w:tcW w:w="1553" w:type="dxa"/>
            <w:shd w:val="clear" w:color="auto" w:fill="auto"/>
            <w:noWrap/>
            <w:vAlign w:val="center"/>
            <w:hideMark/>
          </w:tcPr>
          <w:p w14:paraId="3B0F2F83"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39,622</w:t>
            </w:r>
          </w:p>
        </w:tc>
      </w:tr>
      <w:tr w:rsidR="001311F9" w:rsidRPr="001311F9" w14:paraId="2DAEF6C8" w14:textId="77777777" w:rsidTr="00292474">
        <w:trPr>
          <w:trHeight w:val="255"/>
        </w:trPr>
        <w:tc>
          <w:tcPr>
            <w:tcW w:w="4716" w:type="dxa"/>
            <w:shd w:val="clear" w:color="auto" w:fill="DFDFDF" w:themeFill="background2" w:themeFillShade="E6"/>
            <w:vAlign w:val="center"/>
            <w:hideMark/>
          </w:tcPr>
          <w:p w14:paraId="6A330D04"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Unearned revenue</w:t>
            </w:r>
          </w:p>
        </w:tc>
        <w:tc>
          <w:tcPr>
            <w:tcW w:w="1647" w:type="dxa"/>
            <w:shd w:val="clear" w:color="auto" w:fill="DFDFDF" w:themeFill="background2" w:themeFillShade="E6"/>
            <w:vAlign w:val="center"/>
            <w:hideMark/>
          </w:tcPr>
          <w:p w14:paraId="43873A3B"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DFDFDF" w:themeFill="background2" w:themeFillShade="E6"/>
            <w:noWrap/>
            <w:vAlign w:val="center"/>
            <w:hideMark/>
          </w:tcPr>
          <w:p w14:paraId="35D1B2DD"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DFDFDF" w:themeFill="background2" w:themeFillShade="E6"/>
            <w:noWrap/>
            <w:vAlign w:val="center"/>
            <w:hideMark/>
          </w:tcPr>
          <w:p w14:paraId="48C7A26C"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17,526</w:t>
            </w:r>
          </w:p>
        </w:tc>
      </w:tr>
      <w:tr w:rsidR="001311F9" w:rsidRPr="001311F9" w14:paraId="21FEDDFE" w14:textId="77777777" w:rsidTr="00691AC0">
        <w:trPr>
          <w:trHeight w:val="300"/>
        </w:trPr>
        <w:tc>
          <w:tcPr>
            <w:tcW w:w="4716" w:type="dxa"/>
            <w:shd w:val="clear" w:color="auto" w:fill="auto"/>
            <w:vAlign w:val="center"/>
            <w:hideMark/>
          </w:tcPr>
          <w:p w14:paraId="2C3E1F90"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Other current liabilities</w:t>
            </w:r>
          </w:p>
        </w:tc>
        <w:tc>
          <w:tcPr>
            <w:tcW w:w="1647" w:type="dxa"/>
            <w:shd w:val="clear" w:color="auto" w:fill="auto"/>
            <w:vAlign w:val="center"/>
            <w:hideMark/>
          </w:tcPr>
          <w:p w14:paraId="664DA709" w14:textId="77777777" w:rsidR="001311F9" w:rsidRPr="001311F9" w:rsidRDefault="001311F9" w:rsidP="001311F9">
            <w:pPr>
              <w:spacing w:before="0" w:after="0"/>
              <w:jc w:val="center"/>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xml:space="preserve">  </w:t>
            </w:r>
          </w:p>
        </w:tc>
        <w:tc>
          <w:tcPr>
            <w:tcW w:w="1553" w:type="dxa"/>
            <w:shd w:val="clear" w:color="auto" w:fill="auto"/>
            <w:noWrap/>
            <w:vAlign w:val="center"/>
            <w:hideMark/>
          </w:tcPr>
          <w:p w14:paraId="4C0DE84C"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16,138</w:t>
            </w:r>
          </w:p>
        </w:tc>
        <w:tc>
          <w:tcPr>
            <w:tcW w:w="1553" w:type="dxa"/>
            <w:shd w:val="clear" w:color="auto" w:fill="auto"/>
            <w:noWrap/>
            <w:vAlign w:val="center"/>
            <w:hideMark/>
          </w:tcPr>
          <w:p w14:paraId="4C959841"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47,784</w:t>
            </w:r>
          </w:p>
        </w:tc>
      </w:tr>
      <w:tr w:rsidR="001311F9" w:rsidRPr="001311F9" w14:paraId="48F1E752" w14:textId="77777777" w:rsidTr="005020F9">
        <w:trPr>
          <w:trHeight w:val="255"/>
        </w:trPr>
        <w:tc>
          <w:tcPr>
            <w:tcW w:w="4716" w:type="dxa"/>
            <w:shd w:val="clear" w:color="auto" w:fill="B9B9B9" w:themeFill="background2" w:themeFillShade="BF"/>
            <w:vAlign w:val="center"/>
            <w:hideMark/>
          </w:tcPr>
          <w:p w14:paraId="49970DB9" w14:textId="77777777" w:rsidR="001311F9" w:rsidRPr="001311F9" w:rsidRDefault="001311F9" w:rsidP="001311F9">
            <w:pPr>
              <w:spacing w:before="0" w:after="0"/>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Total current liabilities</w:t>
            </w:r>
          </w:p>
        </w:tc>
        <w:tc>
          <w:tcPr>
            <w:tcW w:w="1647" w:type="dxa"/>
            <w:shd w:val="clear" w:color="auto" w:fill="B9B9B9" w:themeFill="background2" w:themeFillShade="BF"/>
            <w:vAlign w:val="center"/>
            <w:hideMark/>
          </w:tcPr>
          <w:p w14:paraId="42F651BE" w14:textId="77777777" w:rsidR="001311F9" w:rsidRPr="001311F9" w:rsidRDefault="001311F9" w:rsidP="001311F9">
            <w:pPr>
              <w:spacing w:before="0" w:after="0"/>
              <w:ind w:firstLineChars="300" w:firstLine="572"/>
              <w:jc w:val="center"/>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 </w:t>
            </w:r>
          </w:p>
        </w:tc>
        <w:tc>
          <w:tcPr>
            <w:tcW w:w="1553" w:type="dxa"/>
            <w:shd w:val="clear" w:color="auto" w:fill="B9B9B9" w:themeFill="background2" w:themeFillShade="BF"/>
            <w:noWrap/>
            <w:vAlign w:val="center"/>
            <w:hideMark/>
          </w:tcPr>
          <w:p w14:paraId="7EAAB033"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87,846</w:t>
            </w:r>
          </w:p>
        </w:tc>
        <w:tc>
          <w:tcPr>
            <w:tcW w:w="1553" w:type="dxa"/>
            <w:shd w:val="clear" w:color="auto" w:fill="B9B9B9" w:themeFill="background2" w:themeFillShade="BF"/>
            <w:noWrap/>
            <w:vAlign w:val="center"/>
            <w:hideMark/>
          </w:tcPr>
          <w:p w14:paraId="75368DFC"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838,989</w:t>
            </w:r>
          </w:p>
        </w:tc>
      </w:tr>
      <w:tr w:rsidR="001311F9" w:rsidRPr="001311F9" w14:paraId="4D54832E" w14:textId="77777777" w:rsidTr="00292474">
        <w:trPr>
          <w:trHeight w:val="300"/>
        </w:trPr>
        <w:tc>
          <w:tcPr>
            <w:tcW w:w="4716" w:type="dxa"/>
            <w:shd w:val="clear" w:color="auto" w:fill="DFDFDF" w:themeFill="background2" w:themeFillShade="E6"/>
            <w:vAlign w:val="center"/>
            <w:hideMark/>
          </w:tcPr>
          <w:p w14:paraId="0344087D" w14:textId="77777777" w:rsidR="001311F9" w:rsidRPr="001311F9" w:rsidRDefault="001311F9" w:rsidP="001311F9">
            <w:pPr>
              <w:spacing w:before="0" w:after="0"/>
              <w:rPr>
                <w:rFonts w:ascii="Arial" w:eastAsia="Times New Roman" w:hAnsi="Arial" w:cs="Arial"/>
                <w:sz w:val="19"/>
                <w:szCs w:val="19"/>
                <w:lang w:eastAsia="en-AU"/>
              </w:rPr>
            </w:pPr>
            <w:r w:rsidRPr="001311F9">
              <w:rPr>
                <w:rFonts w:ascii="Arial" w:eastAsia="Times New Roman" w:hAnsi="Arial" w:cs="Arial"/>
                <w:sz w:val="19"/>
                <w:szCs w:val="19"/>
                <w:lang w:eastAsia="en-AU"/>
              </w:rPr>
              <w:t>NON-CURRENT LIABILITIES</w:t>
            </w:r>
          </w:p>
        </w:tc>
        <w:tc>
          <w:tcPr>
            <w:tcW w:w="1647" w:type="dxa"/>
            <w:shd w:val="clear" w:color="auto" w:fill="DFDFDF" w:themeFill="background2" w:themeFillShade="E6"/>
            <w:vAlign w:val="center"/>
            <w:hideMark/>
          </w:tcPr>
          <w:p w14:paraId="640652C3" w14:textId="77777777" w:rsidR="001311F9" w:rsidRPr="001311F9" w:rsidRDefault="001311F9" w:rsidP="001311F9">
            <w:pPr>
              <w:spacing w:before="0" w:after="0"/>
              <w:jc w:val="center"/>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c>
          <w:tcPr>
            <w:tcW w:w="1553" w:type="dxa"/>
            <w:shd w:val="clear" w:color="auto" w:fill="DFDFDF" w:themeFill="background2" w:themeFillShade="E6"/>
            <w:vAlign w:val="center"/>
            <w:hideMark/>
          </w:tcPr>
          <w:p w14:paraId="61A1FB40" w14:textId="77777777" w:rsidR="001311F9" w:rsidRPr="001311F9" w:rsidRDefault="001311F9" w:rsidP="001311F9">
            <w:pPr>
              <w:spacing w:before="0" w:after="0"/>
              <w:jc w:val="right"/>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c>
          <w:tcPr>
            <w:tcW w:w="1553" w:type="dxa"/>
            <w:shd w:val="clear" w:color="auto" w:fill="DFDFDF" w:themeFill="background2" w:themeFillShade="E6"/>
            <w:vAlign w:val="center"/>
            <w:hideMark/>
          </w:tcPr>
          <w:p w14:paraId="1E30B320" w14:textId="77777777" w:rsidR="001311F9" w:rsidRPr="001311F9" w:rsidRDefault="001311F9" w:rsidP="001311F9">
            <w:pPr>
              <w:spacing w:before="0" w:after="0"/>
              <w:jc w:val="right"/>
              <w:rPr>
                <w:rFonts w:ascii="Calibri" w:eastAsia="Times New Roman" w:hAnsi="Calibri" w:cs="Calibri"/>
                <w:sz w:val="22"/>
                <w:szCs w:val="22"/>
                <w:lang w:eastAsia="en-AU"/>
              </w:rPr>
            </w:pPr>
            <w:r w:rsidRPr="001311F9">
              <w:rPr>
                <w:rFonts w:ascii="Calibri" w:eastAsia="Times New Roman" w:hAnsi="Calibri" w:cs="Calibri"/>
                <w:sz w:val="22"/>
                <w:szCs w:val="22"/>
                <w:lang w:eastAsia="en-AU"/>
              </w:rPr>
              <w:t> </w:t>
            </w:r>
          </w:p>
        </w:tc>
      </w:tr>
      <w:tr w:rsidR="001311F9" w:rsidRPr="001311F9" w14:paraId="3F2F01B9" w14:textId="77777777" w:rsidTr="00691AC0">
        <w:trPr>
          <w:trHeight w:val="300"/>
        </w:trPr>
        <w:tc>
          <w:tcPr>
            <w:tcW w:w="4716" w:type="dxa"/>
            <w:shd w:val="clear" w:color="auto" w:fill="auto"/>
            <w:vAlign w:val="center"/>
            <w:hideMark/>
          </w:tcPr>
          <w:p w14:paraId="3E394A29"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Lease liabilities</w:t>
            </w:r>
          </w:p>
        </w:tc>
        <w:tc>
          <w:tcPr>
            <w:tcW w:w="1647" w:type="dxa"/>
            <w:shd w:val="clear" w:color="auto" w:fill="auto"/>
            <w:vAlign w:val="center"/>
            <w:hideMark/>
          </w:tcPr>
          <w:p w14:paraId="36DEE78E"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auto"/>
            <w:noWrap/>
            <w:vAlign w:val="center"/>
            <w:hideMark/>
          </w:tcPr>
          <w:p w14:paraId="2065F234"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auto"/>
            <w:noWrap/>
            <w:vAlign w:val="center"/>
            <w:hideMark/>
          </w:tcPr>
          <w:p w14:paraId="0209708A"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1,427,552</w:t>
            </w:r>
          </w:p>
        </w:tc>
      </w:tr>
      <w:tr w:rsidR="001311F9" w:rsidRPr="001311F9" w14:paraId="00BA98AA" w14:textId="77777777" w:rsidTr="00292474">
        <w:trPr>
          <w:trHeight w:val="255"/>
        </w:trPr>
        <w:tc>
          <w:tcPr>
            <w:tcW w:w="4716" w:type="dxa"/>
            <w:shd w:val="clear" w:color="auto" w:fill="DFDFDF" w:themeFill="background2" w:themeFillShade="E6"/>
            <w:vAlign w:val="center"/>
            <w:hideMark/>
          </w:tcPr>
          <w:p w14:paraId="0961FAC4"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Borrowings</w:t>
            </w:r>
          </w:p>
        </w:tc>
        <w:tc>
          <w:tcPr>
            <w:tcW w:w="1647" w:type="dxa"/>
            <w:shd w:val="clear" w:color="auto" w:fill="DFDFDF" w:themeFill="background2" w:themeFillShade="E6"/>
            <w:vAlign w:val="center"/>
            <w:hideMark/>
          </w:tcPr>
          <w:p w14:paraId="0EDDF28B" w14:textId="67875F86" w:rsidR="001311F9" w:rsidRPr="001311F9" w:rsidRDefault="001311F9" w:rsidP="006E4D3F">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5</w:t>
            </w:r>
          </w:p>
        </w:tc>
        <w:tc>
          <w:tcPr>
            <w:tcW w:w="1553" w:type="dxa"/>
            <w:shd w:val="clear" w:color="auto" w:fill="DFDFDF" w:themeFill="background2" w:themeFillShade="E6"/>
            <w:noWrap/>
            <w:vAlign w:val="center"/>
            <w:hideMark/>
          </w:tcPr>
          <w:p w14:paraId="73AE80F4"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206,512</w:t>
            </w:r>
          </w:p>
        </w:tc>
        <w:tc>
          <w:tcPr>
            <w:tcW w:w="1553" w:type="dxa"/>
            <w:shd w:val="clear" w:color="auto" w:fill="DFDFDF" w:themeFill="background2" w:themeFillShade="E6"/>
            <w:noWrap/>
            <w:vAlign w:val="center"/>
            <w:hideMark/>
          </w:tcPr>
          <w:p w14:paraId="08961544"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196,512</w:t>
            </w:r>
          </w:p>
        </w:tc>
      </w:tr>
      <w:tr w:rsidR="001311F9" w:rsidRPr="001311F9" w14:paraId="5E2E0A8C" w14:textId="77777777" w:rsidTr="00691AC0">
        <w:trPr>
          <w:trHeight w:val="300"/>
        </w:trPr>
        <w:tc>
          <w:tcPr>
            <w:tcW w:w="4716" w:type="dxa"/>
            <w:shd w:val="clear" w:color="auto" w:fill="auto"/>
            <w:vAlign w:val="center"/>
            <w:hideMark/>
          </w:tcPr>
          <w:p w14:paraId="117F65C3"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Queen’s Wharf deferred consideration</w:t>
            </w:r>
          </w:p>
        </w:tc>
        <w:tc>
          <w:tcPr>
            <w:tcW w:w="1647" w:type="dxa"/>
            <w:shd w:val="clear" w:color="auto" w:fill="auto"/>
            <w:vAlign w:val="center"/>
            <w:hideMark/>
          </w:tcPr>
          <w:p w14:paraId="5F6F9F90"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auto"/>
            <w:noWrap/>
            <w:vAlign w:val="center"/>
            <w:hideMark/>
          </w:tcPr>
          <w:p w14:paraId="584945B8"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auto"/>
            <w:noWrap/>
            <w:vAlign w:val="center"/>
            <w:hideMark/>
          </w:tcPr>
          <w:p w14:paraId="0E04834E"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48,142</w:t>
            </w:r>
          </w:p>
        </w:tc>
      </w:tr>
      <w:tr w:rsidR="001311F9" w:rsidRPr="001311F9" w14:paraId="7F60C9EB" w14:textId="77777777" w:rsidTr="00292474">
        <w:trPr>
          <w:trHeight w:val="255"/>
        </w:trPr>
        <w:tc>
          <w:tcPr>
            <w:tcW w:w="4716" w:type="dxa"/>
            <w:shd w:val="clear" w:color="auto" w:fill="DFDFDF" w:themeFill="background2" w:themeFillShade="E6"/>
            <w:vAlign w:val="center"/>
            <w:hideMark/>
          </w:tcPr>
          <w:p w14:paraId="27577414"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Provisions</w:t>
            </w:r>
          </w:p>
        </w:tc>
        <w:tc>
          <w:tcPr>
            <w:tcW w:w="1647" w:type="dxa"/>
            <w:shd w:val="clear" w:color="auto" w:fill="DFDFDF" w:themeFill="background2" w:themeFillShade="E6"/>
            <w:vAlign w:val="center"/>
            <w:hideMark/>
          </w:tcPr>
          <w:p w14:paraId="610CE739"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 xml:space="preserve">   </w:t>
            </w:r>
          </w:p>
        </w:tc>
        <w:tc>
          <w:tcPr>
            <w:tcW w:w="1553" w:type="dxa"/>
            <w:shd w:val="clear" w:color="auto" w:fill="DFDFDF" w:themeFill="background2" w:themeFillShade="E6"/>
            <w:noWrap/>
            <w:vAlign w:val="center"/>
            <w:hideMark/>
          </w:tcPr>
          <w:p w14:paraId="470F6C3E"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DFDFDF" w:themeFill="background2" w:themeFillShade="E6"/>
            <w:noWrap/>
            <w:vAlign w:val="center"/>
            <w:hideMark/>
          </w:tcPr>
          <w:p w14:paraId="35B86E00"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6,057</w:t>
            </w:r>
          </w:p>
        </w:tc>
      </w:tr>
      <w:tr w:rsidR="001311F9" w:rsidRPr="001311F9" w14:paraId="697DEDA4" w14:textId="77777777" w:rsidTr="00691AC0">
        <w:trPr>
          <w:trHeight w:val="300"/>
        </w:trPr>
        <w:tc>
          <w:tcPr>
            <w:tcW w:w="4716" w:type="dxa"/>
            <w:shd w:val="clear" w:color="auto" w:fill="auto"/>
            <w:vAlign w:val="center"/>
            <w:hideMark/>
          </w:tcPr>
          <w:p w14:paraId="3F2F26FF"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Unearned revenue</w:t>
            </w:r>
          </w:p>
        </w:tc>
        <w:tc>
          <w:tcPr>
            <w:tcW w:w="1647" w:type="dxa"/>
            <w:shd w:val="clear" w:color="auto" w:fill="auto"/>
            <w:vAlign w:val="center"/>
            <w:hideMark/>
          </w:tcPr>
          <w:p w14:paraId="0EF7CA66"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3</w:t>
            </w:r>
          </w:p>
        </w:tc>
        <w:tc>
          <w:tcPr>
            <w:tcW w:w="1553" w:type="dxa"/>
            <w:shd w:val="clear" w:color="auto" w:fill="auto"/>
            <w:noWrap/>
            <w:vAlign w:val="center"/>
            <w:hideMark/>
          </w:tcPr>
          <w:p w14:paraId="531C62A7"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auto"/>
            <w:noWrap/>
            <w:vAlign w:val="center"/>
            <w:hideMark/>
          </w:tcPr>
          <w:p w14:paraId="030171F8"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22,484</w:t>
            </w:r>
          </w:p>
        </w:tc>
      </w:tr>
      <w:tr w:rsidR="001311F9" w:rsidRPr="001311F9" w14:paraId="0D523BA9" w14:textId="77777777" w:rsidTr="00292474">
        <w:trPr>
          <w:trHeight w:val="255"/>
        </w:trPr>
        <w:tc>
          <w:tcPr>
            <w:tcW w:w="4716" w:type="dxa"/>
            <w:shd w:val="clear" w:color="auto" w:fill="DFDFDF" w:themeFill="background2" w:themeFillShade="E6"/>
            <w:vAlign w:val="center"/>
            <w:hideMark/>
          </w:tcPr>
          <w:p w14:paraId="1F128F6A"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Other non-current liabilities</w:t>
            </w:r>
          </w:p>
        </w:tc>
        <w:tc>
          <w:tcPr>
            <w:tcW w:w="1647" w:type="dxa"/>
            <w:shd w:val="clear" w:color="auto" w:fill="DFDFDF" w:themeFill="background2" w:themeFillShade="E6"/>
            <w:vAlign w:val="center"/>
            <w:hideMark/>
          </w:tcPr>
          <w:p w14:paraId="26149007"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 </w:t>
            </w:r>
          </w:p>
        </w:tc>
        <w:tc>
          <w:tcPr>
            <w:tcW w:w="1553" w:type="dxa"/>
            <w:shd w:val="clear" w:color="auto" w:fill="DFDFDF" w:themeFill="background2" w:themeFillShade="E6"/>
            <w:noWrap/>
            <w:vAlign w:val="center"/>
            <w:hideMark/>
          </w:tcPr>
          <w:p w14:paraId="7DE6310F"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16,336</w:t>
            </w:r>
          </w:p>
        </w:tc>
        <w:tc>
          <w:tcPr>
            <w:tcW w:w="1553" w:type="dxa"/>
            <w:shd w:val="clear" w:color="auto" w:fill="DFDFDF" w:themeFill="background2" w:themeFillShade="E6"/>
            <w:noWrap/>
            <w:vAlign w:val="center"/>
            <w:hideMark/>
          </w:tcPr>
          <w:p w14:paraId="02F50876"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19,677</w:t>
            </w:r>
          </w:p>
        </w:tc>
      </w:tr>
      <w:tr w:rsidR="001311F9" w:rsidRPr="001311F9" w14:paraId="448A3056" w14:textId="77777777" w:rsidTr="005020F9">
        <w:trPr>
          <w:trHeight w:val="255"/>
        </w:trPr>
        <w:tc>
          <w:tcPr>
            <w:tcW w:w="4716" w:type="dxa"/>
            <w:shd w:val="clear" w:color="auto" w:fill="B9B9B9" w:themeFill="background2" w:themeFillShade="BF"/>
            <w:vAlign w:val="center"/>
            <w:hideMark/>
          </w:tcPr>
          <w:p w14:paraId="26C77CFE" w14:textId="77777777" w:rsidR="001311F9" w:rsidRPr="001311F9" w:rsidRDefault="001311F9" w:rsidP="001311F9">
            <w:pPr>
              <w:spacing w:before="0" w:after="0"/>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Total non-current liabilities</w:t>
            </w:r>
          </w:p>
        </w:tc>
        <w:tc>
          <w:tcPr>
            <w:tcW w:w="1647" w:type="dxa"/>
            <w:shd w:val="clear" w:color="auto" w:fill="B9B9B9" w:themeFill="background2" w:themeFillShade="BF"/>
            <w:vAlign w:val="center"/>
            <w:hideMark/>
          </w:tcPr>
          <w:p w14:paraId="4E12E864" w14:textId="77777777" w:rsidR="001311F9" w:rsidRPr="001311F9" w:rsidRDefault="001311F9" w:rsidP="001311F9">
            <w:pPr>
              <w:spacing w:before="0" w:after="0"/>
              <w:ind w:firstLineChars="200" w:firstLine="381"/>
              <w:jc w:val="center"/>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 </w:t>
            </w:r>
          </w:p>
        </w:tc>
        <w:tc>
          <w:tcPr>
            <w:tcW w:w="1553" w:type="dxa"/>
            <w:shd w:val="clear" w:color="auto" w:fill="B9B9B9" w:themeFill="background2" w:themeFillShade="BF"/>
            <w:noWrap/>
            <w:vAlign w:val="center"/>
            <w:hideMark/>
          </w:tcPr>
          <w:p w14:paraId="466A23E6"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222,848</w:t>
            </w:r>
          </w:p>
        </w:tc>
        <w:tc>
          <w:tcPr>
            <w:tcW w:w="1553" w:type="dxa"/>
            <w:shd w:val="clear" w:color="auto" w:fill="B9B9B9" w:themeFill="background2" w:themeFillShade="BF"/>
            <w:noWrap/>
            <w:vAlign w:val="center"/>
            <w:hideMark/>
          </w:tcPr>
          <w:p w14:paraId="70F00F5C"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1,720,424</w:t>
            </w:r>
          </w:p>
        </w:tc>
      </w:tr>
      <w:tr w:rsidR="001311F9" w:rsidRPr="001311F9" w14:paraId="4FBC6FCA" w14:textId="77777777" w:rsidTr="005020F9">
        <w:trPr>
          <w:trHeight w:val="255"/>
        </w:trPr>
        <w:tc>
          <w:tcPr>
            <w:tcW w:w="4716" w:type="dxa"/>
            <w:shd w:val="clear" w:color="auto" w:fill="B9B9B9" w:themeFill="background2" w:themeFillShade="BF"/>
            <w:vAlign w:val="center"/>
            <w:hideMark/>
          </w:tcPr>
          <w:p w14:paraId="046D2D16" w14:textId="77777777" w:rsidR="001311F9" w:rsidRPr="001311F9" w:rsidRDefault="001311F9" w:rsidP="001311F9">
            <w:pPr>
              <w:spacing w:before="0" w:after="0"/>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TOTAL LIABILITIES</w:t>
            </w:r>
          </w:p>
        </w:tc>
        <w:tc>
          <w:tcPr>
            <w:tcW w:w="1647" w:type="dxa"/>
            <w:shd w:val="clear" w:color="auto" w:fill="B9B9B9" w:themeFill="background2" w:themeFillShade="BF"/>
            <w:vAlign w:val="center"/>
            <w:hideMark/>
          </w:tcPr>
          <w:p w14:paraId="6B67504C" w14:textId="77777777" w:rsidR="001311F9" w:rsidRPr="001311F9" w:rsidRDefault="001311F9" w:rsidP="001311F9">
            <w:pPr>
              <w:spacing w:before="0" w:after="0"/>
              <w:ind w:firstLineChars="200" w:firstLine="381"/>
              <w:jc w:val="center"/>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 </w:t>
            </w:r>
          </w:p>
        </w:tc>
        <w:tc>
          <w:tcPr>
            <w:tcW w:w="1553" w:type="dxa"/>
            <w:shd w:val="clear" w:color="auto" w:fill="B9B9B9" w:themeFill="background2" w:themeFillShade="BF"/>
            <w:noWrap/>
            <w:vAlign w:val="center"/>
            <w:hideMark/>
          </w:tcPr>
          <w:p w14:paraId="7580735C"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310,694</w:t>
            </w:r>
          </w:p>
        </w:tc>
        <w:tc>
          <w:tcPr>
            <w:tcW w:w="1553" w:type="dxa"/>
            <w:shd w:val="clear" w:color="auto" w:fill="B9B9B9" w:themeFill="background2" w:themeFillShade="BF"/>
            <w:noWrap/>
            <w:vAlign w:val="center"/>
            <w:hideMark/>
          </w:tcPr>
          <w:p w14:paraId="5BD68515"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2,559,413</w:t>
            </w:r>
          </w:p>
        </w:tc>
      </w:tr>
      <w:tr w:rsidR="001311F9" w:rsidRPr="001311F9" w14:paraId="5A53D2FD" w14:textId="77777777" w:rsidTr="005020F9">
        <w:trPr>
          <w:trHeight w:val="255"/>
        </w:trPr>
        <w:tc>
          <w:tcPr>
            <w:tcW w:w="4716" w:type="dxa"/>
            <w:shd w:val="clear" w:color="auto" w:fill="B9B9B9" w:themeFill="background2" w:themeFillShade="BF"/>
            <w:vAlign w:val="center"/>
            <w:hideMark/>
          </w:tcPr>
          <w:p w14:paraId="0B196736" w14:textId="77777777" w:rsidR="001311F9" w:rsidRPr="001311F9" w:rsidRDefault="001311F9" w:rsidP="001311F9">
            <w:pPr>
              <w:spacing w:before="0" w:after="0"/>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NET ASSETS</w:t>
            </w:r>
          </w:p>
        </w:tc>
        <w:tc>
          <w:tcPr>
            <w:tcW w:w="1647" w:type="dxa"/>
            <w:shd w:val="clear" w:color="auto" w:fill="B9B9B9" w:themeFill="background2" w:themeFillShade="BF"/>
            <w:vAlign w:val="center"/>
            <w:hideMark/>
          </w:tcPr>
          <w:p w14:paraId="68993963" w14:textId="77777777" w:rsidR="001311F9" w:rsidRPr="001311F9" w:rsidRDefault="001311F9" w:rsidP="001311F9">
            <w:pPr>
              <w:spacing w:before="0" w:after="0"/>
              <w:ind w:firstLineChars="200" w:firstLine="381"/>
              <w:jc w:val="center"/>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 </w:t>
            </w:r>
          </w:p>
        </w:tc>
        <w:tc>
          <w:tcPr>
            <w:tcW w:w="1553" w:type="dxa"/>
            <w:shd w:val="clear" w:color="auto" w:fill="B9B9B9" w:themeFill="background2" w:themeFillShade="BF"/>
            <w:noWrap/>
            <w:vAlign w:val="center"/>
            <w:hideMark/>
          </w:tcPr>
          <w:p w14:paraId="593B82B3"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112,699</w:t>
            </w:r>
          </w:p>
        </w:tc>
        <w:tc>
          <w:tcPr>
            <w:tcW w:w="1553" w:type="dxa"/>
            <w:shd w:val="clear" w:color="auto" w:fill="B9B9B9" w:themeFill="background2" w:themeFillShade="BF"/>
            <w:noWrap/>
            <w:vAlign w:val="center"/>
            <w:hideMark/>
          </w:tcPr>
          <w:p w14:paraId="5B11F0E8" w14:textId="77777777" w:rsidR="001311F9" w:rsidRPr="001311F9" w:rsidRDefault="001311F9" w:rsidP="001311F9">
            <w:pPr>
              <w:spacing w:before="0" w:after="0"/>
              <w:jc w:val="right"/>
              <w:rPr>
                <w:rFonts w:ascii="Arial" w:eastAsia="Times New Roman" w:hAnsi="Arial" w:cs="Arial"/>
                <w:b/>
                <w:bCs/>
                <w:sz w:val="19"/>
                <w:szCs w:val="19"/>
                <w:lang w:eastAsia="en-AU"/>
              </w:rPr>
            </w:pPr>
            <w:r w:rsidRPr="001311F9">
              <w:rPr>
                <w:rFonts w:ascii="Arial" w:eastAsia="Times New Roman" w:hAnsi="Arial" w:cs="Arial"/>
                <w:b/>
                <w:bCs/>
                <w:sz w:val="19"/>
                <w:szCs w:val="19"/>
                <w:lang w:eastAsia="en-AU"/>
              </w:rPr>
              <w:t>3,526,443</w:t>
            </w:r>
          </w:p>
        </w:tc>
      </w:tr>
      <w:tr w:rsidR="001311F9" w:rsidRPr="001311F9" w14:paraId="6259889F" w14:textId="77777777" w:rsidTr="00691AC0">
        <w:trPr>
          <w:trHeight w:val="300"/>
        </w:trPr>
        <w:tc>
          <w:tcPr>
            <w:tcW w:w="4716" w:type="dxa"/>
            <w:shd w:val="clear" w:color="auto" w:fill="auto"/>
            <w:vAlign w:val="center"/>
            <w:hideMark/>
          </w:tcPr>
          <w:p w14:paraId="5CD22487" w14:textId="77777777" w:rsidR="001311F9" w:rsidRPr="001311F9" w:rsidRDefault="001311F9" w:rsidP="001311F9">
            <w:pPr>
              <w:spacing w:before="0" w:after="0"/>
              <w:rPr>
                <w:rFonts w:ascii="Arial" w:eastAsia="Times New Roman" w:hAnsi="Arial" w:cs="Arial"/>
                <w:sz w:val="19"/>
                <w:szCs w:val="19"/>
                <w:lang w:eastAsia="en-AU"/>
              </w:rPr>
            </w:pPr>
            <w:r w:rsidRPr="001311F9">
              <w:rPr>
                <w:rFonts w:ascii="Arial" w:eastAsia="Times New Roman" w:hAnsi="Arial" w:cs="Arial"/>
                <w:sz w:val="19"/>
                <w:szCs w:val="19"/>
                <w:lang w:eastAsia="en-AU"/>
              </w:rPr>
              <w:t>EQUITY</w:t>
            </w:r>
          </w:p>
        </w:tc>
        <w:tc>
          <w:tcPr>
            <w:tcW w:w="1647" w:type="dxa"/>
            <w:shd w:val="clear" w:color="auto" w:fill="auto"/>
            <w:vAlign w:val="center"/>
            <w:hideMark/>
          </w:tcPr>
          <w:p w14:paraId="04D0291C" w14:textId="77777777" w:rsidR="001311F9" w:rsidRPr="001311F9" w:rsidRDefault="001311F9" w:rsidP="001311F9">
            <w:pPr>
              <w:spacing w:before="0" w:after="0"/>
              <w:jc w:val="center"/>
              <w:rPr>
                <w:rFonts w:ascii="Arial" w:eastAsia="Times New Roman" w:hAnsi="Arial" w:cs="Arial"/>
                <w:sz w:val="19"/>
                <w:szCs w:val="19"/>
                <w:lang w:eastAsia="en-AU"/>
              </w:rPr>
            </w:pPr>
          </w:p>
        </w:tc>
        <w:tc>
          <w:tcPr>
            <w:tcW w:w="1553" w:type="dxa"/>
            <w:shd w:val="clear" w:color="auto" w:fill="auto"/>
            <w:vAlign w:val="center"/>
            <w:hideMark/>
          </w:tcPr>
          <w:p w14:paraId="40C5D763" w14:textId="77777777" w:rsidR="001311F9" w:rsidRPr="001311F9" w:rsidRDefault="001311F9" w:rsidP="001311F9">
            <w:pPr>
              <w:spacing w:before="0" w:after="0"/>
              <w:rPr>
                <w:rFonts w:ascii="Times New Roman" w:eastAsia="Times New Roman" w:hAnsi="Times New Roman" w:cs="Times New Roman"/>
                <w:szCs w:val="20"/>
                <w:lang w:eastAsia="en-AU"/>
              </w:rPr>
            </w:pPr>
          </w:p>
        </w:tc>
        <w:tc>
          <w:tcPr>
            <w:tcW w:w="1553" w:type="dxa"/>
            <w:shd w:val="clear" w:color="auto" w:fill="auto"/>
            <w:vAlign w:val="center"/>
            <w:hideMark/>
          </w:tcPr>
          <w:p w14:paraId="00E4BDFF" w14:textId="77777777" w:rsidR="001311F9" w:rsidRPr="001311F9" w:rsidRDefault="001311F9" w:rsidP="001311F9">
            <w:pPr>
              <w:spacing w:before="0" w:after="0"/>
              <w:rPr>
                <w:rFonts w:ascii="Times New Roman" w:eastAsia="Times New Roman" w:hAnsi="Times New Roman" w:cs="Times New Roman"/>
                <w:szCs w:val="20"/>
                <w:lang w:eastAsia="en-AU"/>
              </w:rPr>
            </w:pPr>
          </w:p>
        </w:tc>
      </w:tr>
      <w:tr w:rsidR="001311F9" w:rsidRPr="001311F9" w14:paraId="6DB7CAF9" w14:textId="77777777" w:rsidTr="00292474">
        <w:trPr>
          <w:trHeight w:val="255"/>
        </w:trPr>
        <w:tc>
          <w:tcPr>
            <w:tcW w:w="4716" w:type="dxa"/>
            <w:shd w:val="clear" w:color="auto" w:fill="DFDFDF" w:themeFill="background2" w:themeFillShade="E6"/>
            <w:vAlign w:val="center"/>
            <w:hideMark/>
          </w:tcPr>
          <w:p w14:paraId="1FDB2351"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Contributed equity</w:t>
            </w:r>
          </w:p>
        </w:tc>
        <w:tc>
          <w:tcPr>
            <w:tcW w:w="1647" w:type="dxa"/>
            <w:shd w:val="clear" w:color="auto" w:fill="DFDFDF" w:themeFill="background2" w:themeFillShade="E6"/>
            <w:vAlign w:val="center"/>
            <w:hideMark/>
          </w:tcPr>
          <w:p w14:paraId="34E69A6A" w14:textId="77777777" w:rsidR="001311F9" w:rsidRPr="001311F9" w:rsidRDefault="001311F9" w:rsidP="001311F9">
            <w:pPr>
              <w:spacing w:before="0" w:after="0"/>
              <w:jc w:val="center"/>
              <w:rPr>
                <w:rFonts w:ascii="Arial" w:eastAsia="Times New Roman" w:hAnsi="Arial" w:cs="Arial"/>
                <w:sz w:val="19"/>
                <w:szCs w:val="19"/>
                <w:lang w:eastAsia="en-AU"/>
              </w:rPr>
            </w:pPr>
          </w:p>
        </w:tc>
        <w:tc>
          <w:tcPr>
            <w:tcW w:w="1553" w:type="dxa"/>
            <w:shd w:val="clear" w:color="auto" w:fill="DFDFDF" w:themeFill="background2" w:themeFillShade="E6"/>
            <w:noWrap/>
            <w:vAlign w:val="center"/>
            <w:hideMark/>
          </w:tcPr>
          <w:p w14:paraId="0DBEB2FF"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34,103</w:t>
            </w:r>
          </w:p>
        </w:tc>
        <w:tc>
          <w:tcPr>
            <w:tcW w:w="1553" w:type="dxa"/>
            <w:shd w:val="clear" w:color="auto" w:fill="DFDFDF" w:themeFill="background2" w:themeFillShade="E6"/>
            <w:noWrap/>
            <w:vAlign w:val="center"/>
            <w:hideMark/>
          </w:tcPr>
          <w:p w14:paraId="67E595FC"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3,107,542</w:t>
            </w:r>
          </w:p>
        </w:tc>
      </w:tr>
      <w:tr w:rsidR="001311F9" w:rsidRPr="001311F9" w14:paraId="744C3315" w14:textId="77777777" w:rsidTr="00691AC0">
        <w:trPr>
          <w:trHeight w:val="255"/>
        </w:trPr>
        <w:tc>
          <w:tcPr>
            <w:tcW w:w="4716" w:type="dxa"/>
            <w:shd w:val="clear" w:color="auto" w:fill="auto"/>
            <w:vAlign w:val="center"/>
            <w:hideMark/>
          </w:tcPr>
          <w:p w14:paraId="3EF297E9"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Asset revaluation surplus</w:t>
            </w:r>
          </w:p>
        </w:tc>
        <w:tc>
          <w:tcPr>
            <w:tcW w:w="1647" w:type="dxa"/>
            <w:shd w:val="clear" w:color="auto" w:fill="auto"/>
            <w:vAlign w:val="center"/>
            <w:hideMark/>
          </w:tcPr>
          <w:p w14:paraId="7BBA9D62" w14:textId="77777777" w:rsidR="001311F9" w:rsidRPr="001311F9" w:rsidRDefault="001311F9" w:rsidP="001311F9">
            <w:pPr>
              <w:spacing w:before="0" w:after="0"/>
              <w:jc w:val="center"/>
              <w:rPr>
                <w:rFonts w:ascii="Arial" w:eastAsia="Times New Roman" w:hAnsi="Arial" w:cs="Arial"/>
                <w:sz w:val="19"/>
                <w:szCs w:val="19"/>
                <w:lang w:eastAsia="en-AU"/>
              </w:rPr>
            </w:pPr>
          </w:p>
        </w:tc>
        <w:tc>
          <w:tcPr>
            <w:tcW w:w="1553" w:type="dxa"/>
            <w:shd w:val="clear" w:color="auto" w:fill="auto"/>
            <w:noWrap/>
            <w:vAlign w:val="center"/>
            <w:hideMark/>
          </w:tcPr>
          <w:p w14:paraId="4134AD57"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0</w:t>
            </w:r>
          </w:p>
        </w:tc>
        <w:tc>
          <w:tcPr>
            <w:tcW w:w="1553" w:type="dxa"/>
            <w:shd w:val="clear" w:color="auto" w:fill="auto"/>
            <w:noWrap/>
            <w:vAlign w:val="center"/>
            <w:hideMark/>
          </w:tcPr>
          <w:p w14:paraId="1CEABC72"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366,463</w:t>
            </w:r>
          </w:p>
        </w:tc>
      </w:tr>
      <w:tr w:rsidR="001311F9" w:rsidRPr="001311F9" w14:paraId="7A625F94" w14:textId="77777777" w:rsidTr="00292474">
        <w:trPr>
          <w:trHeight w:val="255"/>
        </w:trPr>
        <w:tc>
          <w:tcPr>
            <w:tcW w:w="4716" w:type="dxa"/>
            <w:shd w:val="clear" w:color="auto" w:fill="DFDFDF" w:themeFill="background2" w:themeFillShade="E6"/>
            <w:vAlign w:val="center"/>
            <w:hideMark/>
          </w:tcPr>
          <w:p w14:paraId="2A50AC62" w14:textId="77777777" w:rsidR="001311F9" w:rsidRPr="001311F9" w:rsidRDefault="001311F9" w:rsidP="001311F9">
            <w:pPr>
              <w:spacing w:before="0" w:after="0"/>
              <w:ind w:firstLineChars="100" w:firstLine="190"/>
              <w:rPr>
                <w:rFonts w:ascii="Arial" w:eastAsia="Times New Roman" w:hAnsi="Arial" w:cs="Arial"/>
                <w:sz w:val="19"/>
                <w:szCs w:val="19"/>
                <w:lang w:eastAsia="en-AU"/>
              </w:rPr>
            </w:pPr>
            <w:r w:rsidRPr="001311F9">
              <w:rPr>
                <w:rFonts w:ascii="Arial" w:eastAsia="Times New Roman" w:hAnsi="Arial" w:cs="Arial"/>
                <w:sz w:val="19"/>
                <w:szCs w:val="19"/>
                <w:lang w:eastAsia="en-AU"/>
              </w:rPr>
              <w:t>Accumulated surplus/(deficit)</w:t>
            </w:r>
          </w:p>
        </w:tc>
        <w:tc>
          <w:tcPr>
            <w:tcW w:w="1647" w:type="dxa"/>
            <w:shd w:val="clear" w:color="auto" w:fill="DFDFDF" w:themeFill="background2" w:themeFillShade="E6"/>
            <w:vAlign w:val="center"/>
            <w:hideMark/>
          </w:tcPr>
          <w:p w14:paraId="73F1F9E6" w14:textId="77777777" w:rsidR="001311F9" w:rsidRPr="001311F9" w:rsidRDefault="001311F9" w:rsidP="001311F9">
            <w:pPr>
              <w:spacing w:before="0" w:after="0"/>
              <w:jc w:val="center"/>
              <w:rPr>
                <w:rFonts w:ascii="Arial" w:eastAsia="Times New Roman" w:hAnsi="Arial" w:cs="Arial"/>
                <w:sz w:val="19"/>
                <w:szCs w:val="19"/>
                <w:lang w:eastAsia="en-AU"/>
              </w:rPr>
            </w:pPr>
            <w:r w:rsidRPr="001311F9">
              <w:rPr>
                <w:rFonts w:ascii="Arial" w:eastAsia="Times New Roman" w:hAnsi="Arial" w:cs="Arial"/>
                <w:sz w:val="19"/>
                <w:szCs w:val="19"/>
                <w:lang w:eastAsia="en-AU"/>
              </w:rPr>
              <w:t> </w:t>
            </w:r>
          </w:p>
        </w:tc>
        <w:tc>
          <w:tcPr>
            <w:tcW w:w="1553" w:type="dxa"/>
            <w:shd w:val="clear" w:color="auto" w:fill="DFDFDF" w:themeFill="background2" w:themeFillShade="E6"/>
            <w:noWrap/>
            <w:vAlign w:val="center"/>
            <w:hideMark/>
          </w:tcPr>
          <w:p w14:paraId="250CE5A4"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78,596</w:t>
            </w:r>
          </w:p>
        </w:tc>
        <w:tc>
          <w:tcPr>
            <w:tcW w:w="1553" w:type="dxa"/>
            <w:shd w:val="clear" w:color="auto" w:fill="DFDFDF" w:themeFill="background2" w:themeFillShade="E6"/>
            <w:noWrap/>
            <w:vAlign w:val="center"/>
            <w:hideMark/>
          </w:tcPr>
          <w:p w14:paraId="7AD28C6E" w14:textId="77777777" w:rsidR="001311F9" w:rsidRPr="001311F9" w:rsidRDefault="001311F9" w:rsidP="001311F9">
            <w:pPr>
              <w:spacing w:before="0" w:after="0"/>
              <w:jc w:val="right"/>
              <w:rPr>
                <w:rFonts w:ascii="Arial" w:eastAsia="Times New Roman" w:hAnsi="Arial" w:cs="Arial"/>
                <w:sz w:val="19"/>
                <w:szCs w:val="19"/>
                <w:lang w:eastAsia="en-AU"/>
              </w:rPr>
            </w:pPr>
            <w:r w:rsidRPr="001311F9">
              <w:rPr>
                <w:rFonts w:ascii="Arial" w:eastAsia="Times New Roman" w:hAnsi="Arial" w:cs="Arial"/>
                <w:sz w:val="19"/>
                <w:szCs w:val="19"/>
                <w:lang w:eastAsia="en-AU"/>
              </w:rPr>
              <w:t>52,438</w:t>
            </w:r>
          </w:p>
        </w:tc>
      </w:tr>
      <w:tr w:rsidR="00292474" w:rsidRPr="00292474" w14:paraId="09CC4A92" w14:textId="77777777" w:rsidTr="00292474">
        <w:trPr>
          <w:trHeight w:val="255"/>
        </w:trPr>
        <w:tc>
          <w:tcPr>
            <w:tcW w:w="4716" w:type="dxa"/>
            <w:shd w:val="clear" w:color="auto" w:fill="3E3E3E" w:themeFill="background2" w:themeFillShade="40"/>
            <w:vAlign w:val="center"/>
            <w:hideMark/>
          </w:tcPr>
          <w:p w14:paraId="2AF9A847" w14:textId="77777777" w:rsidR="001311F9" w:rsidRPr="00292474" w:rsidRDefault="001311F9" w:rsidP="001311F9">
            <w:pPr>
              <w:spacing w:before="0" w:after="0"/>
              <w:rPr>
                <w:rFonts w:ascii="Arial" w:eastAsia="Times New Roman" w:hAnsi="Arial" w:cs="Arial"/>
                <w:b/>
                <w:bCs/>
                <w:color w:val="FFFFFF" w:themeColor="background1"/>
                <w:sz w:val="19"/>
                <w:szCs w:val="19"/>
                <w:lang w:eastAsia="en-AU"/>
              </w:rPr>
            </w:pPr>
            <w:r w:rsidRPr="00292474">
              <w:rPr>
                <w:rFonts w:ascii="Arial" w:eastAsia="Times New Roman" w:hAnsi="Arial" w:cs="Arial"/>
                <w:b/>
                <w:bCs/>
                <w:color w:val="FFFFFF" w:themeColor="background1"/>
                <w:sz w:val="19"/>
                <w:szCs w:val="19"/>
                <w:lang w:eastAsia="en-AU"/>
              </w:rPr>
              <w:t>TOTAL EQUITY</w:t>
            </w:r>
          </w:p>
        </w:tc>
        <w:tc>
          <w:tcPr>
            <w:tcW w:w="1647" w:type="dxa"/>
            <w:shd w:val="clear" w:color="auto" w:fill="3E3E3E" w:themeFill="background2" w:themeFillShade="40"/>
            <w:vAlign w:val="center"/>
            <w:hideMark/>
          </w:tcPr>
          <w:p w14:paraId="46B97AD8" w14:textId="77777777" w:rsidR="001311F9" w:rsidRPr="00292474" w:rsidRDefault="001311F9" w:rsidP="001311F9">
            <w:pPr>
              <w:spacing w:before="0" w:after="0"/>
              <w:ind w:firstLineChars="200" w:firstLine="381"/>
              <w:rPr>
                <w:rFonts w:ascii="Arial" w:eastAsia="Times New Roman" w:hAnsi="Arial" w:cs="Arial"/>
                <w:b/>
                <w:bCs/>
                <w:color w:val="FFFFFF" w:themeColor="background1"/>
                <w:sz w:val="19"/>
                <w:szCs w:val="19"/>
                <w:lang w:eastAsia="en-AU"/>
              </w:rPr>
            </w:pPr>
            <w:r w:rsidRPr="00292474">
              <w:rPr>
                <w:rFonts w:ascii="Arial" w:eastAsia="Times New Roman" w:hAnsi="Arial" w:cs="Arial"/>
                <w:b/>
                <w:bCs/>
                <w:color w:val="FFFFFF" w:themeColor="background1"/>
                <w:sz w:val="19"/>
                <w:szCs w:val="19"/>
                <w:lang w:eastAsia="en-AU"/>
              </w:rPr>
              <w:t> </w:t>
            </w:r>
          </w:p>
        </w:tc>
        <w:tc>
          <w:tcPr>
            <w:tcW w:w="1553" w:type="dxa"/>
            <w:shd w:val="clear" w:color="auto" w:fill="3E3E3E" w:themeFill="background2" w:themeFillShade="40"/>
            <w:noWrap/>
            <w:vAlign w:val="center"/>
            <w:hideMark/>
          </w:tcPr>
          <w:p w14:paraId="54AA7C25" w14:textId="77777777" w:rsidR="001311F9" w:rsidRPr="00292474" w:rsidRDefault="001311F9" w:rsidP="001311F9">
            <w:pPr>
              <w:spacing w:before="0" w:after="0"/>
              <w:jc w:val="right"/>
              <w:rPr>
                <w:rFonts w:ascii="Arial" w:eastAsia="Times New Roman" w:hAnsi="Arial" w:cs="Arial"/>
                <w:b/>
                <w:bCs/>
                <w:color w:val="FFFFFF" w:themeColor="background1"/>
                <w:sz w:val="19"/>
                <w:szCs w:val="19"/>
                <w:lang w:eastAsia="en-AU"/>
              </w:rPr>
            </w:pPr>
            <w:r w:rsidRPr="00292474">
              <w:rPr>
                <w:rFonts w:ascii="Arial" w:eastAsia="Times New Roman" w:hAnsi="Arial" w:cs="Arial"/>
                <w:b/>
                <w:bCs/>
                <w:color w:val="FFFFFF" w:themeColor="background1"/>
                <w:sz w:val="19"/>
                <w:szCs w:val="19"/>
                <w:lang w:eastAsia="en-AU"/>
              </w:rPr>
              <w:t>112,699</w:t>
            </w:r>
          </w:p>
        </w:tc>
        <w:tc>
          <w:tcPr>
            <w:tcW w:w="1553" w:type="dxa"/>
            <w:shd w:val="clear" w:color="auto" w:fill="3E3E3E" w:themeFill="background2" w:themeFillShade="40"/>
            <w:noWrap/>
            <w:vAlign w:val="center"/>
            <w:hideMark/>
          </w:tcPr>
          <w:p w14:paraId="2B6982D1" w14:textId="77777777" w:rsidR="001311F9" w:rsidRPr="00292474" w:rsidRDefault="001311F9" w:rsidP="001311F9">
            <w:pPr>
              <w:spacing w:before="0" w:after="0"/>
              <w:jc w:val="right"/>
              <w:rPr>
                <w:rFonts w:ascii="Arial" w:eastAsia="Times New Roman" w:hAnsi="Arial" w:cs="Arial"/>
                <w:b/>
                <w:bCs/>
                <w:color w:val="FFFFFF" w:themeColor="background1"/>
                <w:sz w:val="19"/>
                <w:szCs w:val="19"/>
                <w:lang w:eastAsia="en-AU"/>
              </w:rPr>
            </w:pPr>
            <w:r w:rsidRPr="00292474">
              <w:rPr>
                <w:rFonts w:ascii="Arial" w:eastAsia="Times New Roman" w:hAnsi="Arial" w:cs="Arial"/>
                <w:b/>
                <w:bCs/>
                <w:color w:val="FFFFFF" w:themeColor="background1"/>
                <w:sz w:val="19"/>
                <w:szCs w:val="19"/>
                <w:lang w:eastAsia="en-AU"/>
              </w:rPr>
              <w:t>3,526,443</w:t>
            </w:r>
          </w:p>
        </w:tc>
      </w:tr>
    </w:tbl>
    <w:p w14:paraId="2D5F0675" w14:textId="77777777" w:rsidR="0037350A" w:rsidRPr="006E1449" w:rsidRDefault="0037350A" w:rsidP="00746605">
      <w:pPr>
        <w:pStyle w:val="ListParagraph"/>
        <w:numPr>
          <w:ilvl w:val="0"/>
          <w:numId w:val="45"/>
        </w:numPr>
        <w:spacing w:before="0" w:after="0" w:line="259" w:lineRule="auto"/>
        <w:rPr>
          <w:sz w:val="14"/>
          <w:szCs w:val="14"/>
        </w:rPr>
      </w:pPr>
      <w:r w:rsidRPr="006E1449">
        <w:rPr>
          <w:sz w:val="14"/>
          <w:szCs w:val="14"/>
        </w:rPr>
        <w:t xml:space="preserve">The decrease is due to the Machinery of Government change that occurred during 2023-24 whereby QBuild and Public Works transferred to the Department of Housing, Local Government, Planning and Public Works (effective 1 January 2024). Therefore the 2023-24 figures do not include any balances for QBuild or Public Works. </w:t>
      </w:r>
    </w:p>
    <w:p w14:paraId="4ABD61E9" w14:textId="77777777" w:rsidR="006E1449" w:rsidRPr="006E1449" w:rsidRDefault="0037350A" w:rsidP="00746605">
      <w:pPr>
        <w:pStyle w:val="ListParagraph"/>
        <w:numPr>
          <w:ilvl w:val="0"/>
          <w:numId w:val="45"/>
        </w:numPr>
        <w:spacing w:before="0" w:after="0" w:line="259" w:lineRule="auto"/>
        <w:rPr>
          <w:sz w:val="14"/>
          <w:szCs w:val="14"/>
        </w:rPr>
      </w:pPr>
      <w:r w:rsidRPr="006E1449">
        <w:rPr>
          <w:sz w:val="14"/>
          <w:szCs w:val="14"/>
        </w:rPr>
        <w:t xml:space="preserve">The negative cash balance as </w:t>
      </w:r>
      <w:proofErr w:type="gramStart"/>
      <w:r w:rsidRPr="006E1449">
        <w:rPr>
          <w:sz w:val="14"/>
          <w:szCs w:val="14"/>
        </w:rPr>
        <w:t>at</w:t>
      </w:r>
      <w:proofErr w:type="gramEnd"/>
      <w:r w:rsidRPr="006E1449">
        <w:rPr>
          <w:sz w:val="14"/>
          <w:szCs w:val="14"/>
        </w:rPr>
        <w:t xml:space="preserve"> 30 June 2024 relates to the timing of cash flows into the main bank account which has been shared with the Department of Housing, Local Government, Planning and Public Works since the machinery-of-government change.</w:t>
      </w:r>
    </w:p>
    <w:p w14:paraId="6BEBDEBC" w14:textId="26A2EFA4" w:rsidR="00195366" w:rsidRPr="00A17B97" w:rsidRDefault="006E1449" w:rsidP="00746605">
      <w:pPr>
        <w:pStyle w:val="ListParagraph"/>
        <w:numPr>
          <w:ilvl w:val="0"/>
          <w:numId w:val="45"/>
        </w:numPr>
        <w:spacing w:before="0" w:after="0" w:line="259" w:lineRule="auto"/>
        <w:rPr>
          <w:sz w:val="14"/>
          <w:szCs w:val="14"/>
        </w:rPr>
      </w:pPr>
      <w:r w:rsidRPr="006E1449">
        <w:rPr>
          <w:sz w:val="14"/>
          <w:szCs w:val="14"/>
        </w:rPr>
        <w:t>The increase in Borrowings is mainly to fund a temporary gap in long term borrowings to finance motor vehicle purchases.</w:t>
      </w:r>
      <w:r w:rsidR="00195366">
        <w:br w:type="page"/>
      </w:r>
    </w:p>
    <w:p w14:paraId="20FDC43E" w14:textId="04F2A68B" w:rsidR="00980B73" w:rsidRDefault="00980B73" w:rsidP="00C94D3A">
      <w:pPr>
        <w:pStyle w:val="DECheading11"/>
      </w:pPr>
      <w:bookmarkStart w:id="882" w:name="_Toc176424895"/>
      <w:bookmarkStart w:id="883" w:name="_Toc176425056"/>
      <w:r>
        <w:lastRenderedPageBreak/>
        <w:t>INTRODUCTION TO FINANCIAL STATEMENTS</w:t>
      </w:r>
      <w:bookmarkEnd w:id="882"/>
      <w:bookmarkEnd w:id="883"/>
    </w:p>
    <w:p w14:paraId="425E3D17" w14:textId="77777777" w:rsidR="00980B73" w:rsidRPr="00D94B83" w:rsidRDefault="00980B73" w:rsidP="00D94B83">
      <w:pPr>
        <w:pStyle w:val="BodyText"/>
        <w:rPr>
          <w:lang w:val="en-US"/>
        </w:rPr>
      </w:pPr>
      <w:r w:rsidRPr="00D94B83">
        <w:rPr>
          <w:lang w:val="en-US"/>
        </w:rPr>
        <w:t>The following financial statements have been prepared by the department and audited by the Auditor-General of Queensland:</w:t>
      </w:r>
    </w:p>
    <w:p w14:paraId="345A6888" w14:textId="43802510" w:rsidR="00980B73" w:rsidRPr="00D94B83" w:rsidRDefault="00980B73" w:rsidP="00D94B83">
      <w:pPr>
        <w:pStyle w:val="BodyText"/>
        <w:numPr>
          <w:ilvl w:val="0"/>
          <w:numId w:val="42"/>
        </w:numPr>
        <w:rPr>
          <w:lang w:val="en-US"/>
        </w:rPr>
      </w:pPr>
      <w:r w:rsidRPr="00D94B83">
        <w:rPr>
          <w:lang w:val="en-US"/>
        </w:rPr>
        <w:t xml:space="preserve">Statement of Comprehensive Income </w:t>
      </w:r>
    </w:p>
    <w:p w14:paraId="0B6906B2" w14:textId="609CBD3F" w:rsidR="00980B73" w:rsidRPr="00D94B83" w:rsidRDefault="00980B73" w:rsidP="00D94B83">
      <w:pPr>
        <w:pStyle w:val="BodyText"/>
        <w:numPr>
          <w:ilvl w:val="0"/>
          <w:numId w:val="42"/>
        </w:numPr>
        <w:rPr>
          <w:lang w:val="en-US"/>
        </w:rPr>
      </w:pPr>
      <w:r w:rsidRPr="00D94B83">
        <w:rPr>
          <w:lang w:val="en-US"/>
        </w:rPr>
        <w:t xml:space="preserve">Statement of Comprehensive Income by Major Departmental Services and </w:t>
      </w:r>
      <w:proofErr w:type="spellStart"/>
      <w:r w:rsidRPr="00D94B83">
        <w:rPr>
          <w:lang w:val="en-US"/>
        </w:rPr>
        <w:t>Commercialised</w:t>
      </w:r>
      <w:proofErr w:type="spellEnd"/>
      <w:r w:rsidRPr="00D94B83">
        <w:rPr>
          <w:lang w:val="en-US"/>
        </w:rPr>
        <w:t xml:space="preserve"> Business Units</w:t>
      </w:r>
    </w:p>
    <w:p w14:paraId="5732939C" w14:textId="78150063" w:rsidR="00980B73" w:rsidRPr="00D94B83" w:rsidRDefault="00980B73" w:rsidP="00D94B83">
      <w:pPr>
        <w:pStyle w:val="BodyText"/>
        <w:numPr>
          <w:ilvl w:val="0"/>
          <w:numId w:val="42"/>
        </w:numPr>
        <w:rPr>
          <w:lang w:val="en-US"/>
        </w:rPr>
      </w:pPr>
      <w:r w:rsidRPr="00D94B83">
        <w:rPr>
          <w:lang w:val="en-US"/>
        </w:rPr>
        <w:t>Statement of Financial Position</w:t>
      </w:r>
    </w:p>
    <w:p w14:paraId="4A55A34F" w14:textId="58BCC263" w:rsidR="00980B73" w:rsidRPr="00D94B83" w:rsidRDefault="00980B73" w:rsidP="00D94B83">
      <w:pPr>
        <w:pStyle w:val="BodyText"/>
        <w:numPr>
          <w:ilvl w:val="0"/>
          <w:numId w:val="42"/>
        </w:numPr>
        <w:rPr>
          <w:lang w:val="en-US"/>
        </w:rPr>
      </w:pPr>
      <w:r w:rsidRPr="00D94B83">
        <w:rPr>
          <w:lang w:val="en-US"/>
        </w:rPr>
        <w:t xml:space="preserve">Statement of Assets and Liabilities by Major Departmental Services and </w:t>
      </w:r>
      <w:proofErr w:type="spellStart"/>
      <w:r w:rsidRPr="00D94B83">
        <w:rPr>
          <w:lang w:val="en-US"/>
        </w:rPr>
        <w:t>Commercialised</w:t>
      </w:r>
      <w:proofErr w:type="spellEnd"/>
      <w:r w:rsidRPr="00D94B83">
        <w:rPr>
          <w:lang w:val="en-US"/>
        </w:rPr>
        <w:t xml:space="preserve"> Business Units</w:t>
      </w:r>
    </w:p>
    <w:p w14:paraId="5266ED28" w14:textId="5C7A2382" w:rsidR="00980B73" w:rsidRPr="00D94B83" w:rsidRDefault="00980B73" w:rsidP="00D94B83">
      <w:pPr>
        <w:pStyle w:val="BodyText"/>
        <w:numPr>
          <w:ilvl w:val="0"/>
          <w:numId w:val="42"/>
        </w:numPr>
        <w:rPr>
          <w:lang w:val="en-US"/>
        </w:rPr>
      </w:pPr>
      <w:r w:rsidRPr="00D94B83">
        <w:rPr>
          <w:lang w:val="en-US"/>
        </w:rPr>
        <w:t>Statement of Changes in Equity</w:t>
      </w:r>
    </w:p>
    <w:p w14:paraId="51A5011B" w14:textId="54B1205F" w:rsidR="00980B73" w:rsidRPr="00D94B83" w:rsidRDefault="00980B73" w:rsidP="00D94B83">
      <w:pPr>
        <w:pStyle w:val="BodyText"/>
        <w:numPr>
          <w:ilvl w:val="0"/>
          <w:numId w:val="42"/>
        </w:numPr>
        <w:rPr>
          <w:lang w:val="en-US"/>
        </w:rPr>
      </w:pPr>
      <w:r w:rsidRPr="00D94B83">
        <w:rPr>
          <w:lang w:val="en-US"/>
        </w:rPr>
        <w:t>Statement of Cash Flows</w:t>
      </w:r>
    </w:p>
    <w:p w14:paraId="42284006" w14:textId="2A33B6CD" w:rsidR="00980B73" w:rsidRPr="00D94B83" w:rsidRDefault="00980B73" w:rsidP="00D94B83">
      <w:pPr>
        <w:pStyle w:val="BodyText"/>
        <w:numPr>
          <w:ilvl w:val="0"/>
          <w:numId w:val="42"/>
        </w:numPr>
        <w:rPr>
          <w:lang w:val="en-US"/>
        </w:rPr>
      </w:pPr>
      <w:r w:rsidRPr="00D94B83">
        <w:rPr>
          <w:lang w:val="en-US"/>
        </w:rPr>
        <w:t>Notes to the Financial Statements 2023–24</w:t>
      </w:r>
    </w:p>
    <w:p w14:paraId="1D2D1081" w14:textId="1CF8AB98" w:rsidR="00980B73" w:rsidRPr="00D94B83" w:rsidRDefault="00980B73" w:rsidP="00D94B83">
      <w:pPr>
        <w:pStyle w:val="BodyText"/>
        <w:numPr>
          <w:ilvl w:val="0"/>
          <w:numId w:val="42"/>
        </w:numPr>
        <w:rPr>
          <w:lang w:val="en-US"/>
        </w:rPr>
      </w:pPr>
      <w:r w:rsidRPr="00D94B83">
        <w:rPr>
          <w:lang w:val="en-US"/>
        </w:rPr>
        <w:t>Management Certificate</w:t>
      </w:r>
    </w:p>
    <w:p w14:paraId="64DEF509" w14:textId="0ADBA6E3" w:rsidR="00980B73" w:rsidRPr="00D94B83" w:rsidRDefault="00980B73" w:rsidP="00D94B83">
      <w:pPr>
        <w:pStyle w:val="BodyText"/>
        <w:numPr>
          <w:ilvl w:val="0"/>
          <w:numId w:val="42"/>
        </w:numPr>
        <w:rPr>
          <w:lang w:val="en-US"/>
        </w:rPr>
      </w:pPr>
      <w:r w:rsidRPr="00D94B83">
        <w:rPr>
          <w:lang w:val="en-US"/>
        </w:rPr>
        <w:t>Independent Auditor’s Report.</w:t>
      </w:r>
    </w:p>
    <w:p w14:paraId="586B41BF" w14:textId="77777777" w:rsidR="00980B73" w:rsidRDefault="00980B73" w:rsidP="00980B73">
      <w:pPr>
        <w:spacing w:before="0" w:after="160" w:line="259" w:lineRule="auto"/>
      </w:pPr>
      <w:r>
        <w:t xml:space="preserve"> </w:t>
      </w:r>
    </w:p>
    <w:p w14:paraId="25C6104F" w14:textId="77777777" w:rsidR="00980B73" w:rsidRPr="00980B73" w:rsidRDefault="00980B73" w:rsidP="00D94B83">
      <w:pPr>
        <w:pStyle w:val="DECHeading4"/>
        <w:rPr>
          <w:lang w:val="en-US"/>
        </w:rPr>
      </w:pPr>
      <w:bookmarkStart w:id="884" w:name="_Toc176424896"/>
      <w:bookmarkStart w:id="885" w:name="_Toc176425057"/>
      <w:r w:rsidRPr="00980B73">
        <w:rPr>
          <w:lang w:val="en-US"/>
        </w:rPr>
        <w:t>General Information</w:t>
      </w:r>
      <w:bookmarkEnd w:id="884"/>
      <w:bookmarkEnd w:id="885"/>
    </w:p>
    <w:p w14:paraId="3A6C6AF6" w14:textId="77777777" w:rsidR="00980B73" w:rsidRPr="00980B73" w:rsidRDefault="00980B73" w:rsidP="00980B73">
      <w:pPr>
        <w:pStyle w:val="BodyText"/>
        <w:rPr>
          <w:lang w:val="en-US"/>
        </w:rPr>
      </w:pPr>
      <w:r w:rsidRPr="00980B73">
        <w:rPr>
          <w:lang w:val="en-US"/>
        </w:rPr>
        <w:t>These financial statements cover the Department of Energy and Climate.</w:t>
      </w:r>
    </w:p>
    <w:p w14:paraId="6C50250C" w14:textId="77777777" w:rsidR="00980B73" w:rsidRPr="00980B73" w:rsidRDefault="00980B73" w:rsidP="00980B73">
      <w:pPr>
        <w:pStyle w:val="BodyText"/>
        <w:rPr>
          <w:lang w:val="en-US"/>
        </w:rPr>
      </w:pPr>
      <w:r w:rsidRPr="00980B73">
        <w:rPr>
          <w:lang w:val="en-US"/>
        </w:rPr>
        <w:t>The department is controlled by the State of Queensland which is the ultimate parent.</w:t>
      </w:r>
    </w:p>
    <w:p w14:paraId="59AA3AB7" w14:textId="77777777" w:rsidR="00980B73" w:rsidRPr="00980B73" w:rsidRDefault="00980B73" w:rsidP="00980B73">
      <w:pPr>
        <w:pStyle w:val="BodyText"/>
        <w:rPr>
          <w:lang w:val="en-US"/>
        </w:rPr>
      </w:pPr>
      <w:r w:rsidRPr="00980B73">
        <w:rPr>
          <w:lang w:val="en-US"/>
        </w:rPr>
        <w:t>The head office and principal place of business of the department is:</w:t>
      </w:r>
    </w:p>
    <w:p w14:paraId="729B53F9" w14:textId="77777777" w:rsidR="00980B73" w:rsidRPr="00980B73" w:rsidRDefault="00980B73" w:rsidP="00980B73">
      <w:pPr>
        <w:pStyle w:val="BodyText"/>
        <w:rPr>
          <w:lang w:val="en-US"/>
        </w:rPr>
      </w:pPr>
      <w:r w:rsidRPr="00980B73">
        <w:rPr>
          <w:lang w:val="en-US"/>
        </w:rPr>
        <w:t>1 William St</w:t>
      </w:r>
    </w:p>
    <w:p w14:paraId="4BF15AF6" w14:textId="77777777" w:rsidR="00980B73" w:rsidRPr="00980B73" w:rsidRDefault="00980B73" w:rsidP="00980B73">
      <w:pPr>
        <w:pStyle w:val="BodyText"/>
        <w:rPr>
          <w:lang w:val="en-US"/>
        </w:rPr>
      </w:pPr>
      <w:r w:rsidRPr="00980B73">
        <w:rPr>
          <w:lang w:val="en-US"/>
        </w:rPr>
        <w:t>BRISBANE QLD 4000</w:t>
      </w:r>
    </w:p>
    <w:p w14:paraId="053B719A" w14:textId="77777777" w:rsidR="00980B73" w:rsidRPr="00980B73" w:rsidRDefault="00980B73" w:rsidP="00980B73">
      <w:pPr>
        <w:pStyle w:val="BodyText"/>
        <w:rPr>
          <w:lang w:val="en-US"/>
        </w:rPr>
      </w:pPr>
      <w:r w:rsidRPr="00980B73">
        <w:rPr>
          <w:lang w:val="en-US"/>
        </w:rPr>
        <w:t>A description of the nature of the department’s operations and its principal activities is included in the notes to the financial statements.</w:t>
      </w:r>
    </w:p>
    <w:p w14:paraId="360AF39E" w14:textId="7B68E684" w:rsidR="00150DF8" w:rsidRPr="00980B73" w:rsidRDefault="00980B73" w:rsidP="00980B73">
      <w:pPr>
        <w:pStyle w:val="BodyText"/>
        <w:rPr>
          <w:lang w:val="en-US"/>
        </w:rPr>
      </w:pPr>
      <w:r w:rsidRPr="00980B73">
        <w:rPr>
          <w:lang w:val="en-US"/>
        </w:rPr>
        <w:t xml:space="preserve">For information in relation to the department’s financial statements, please call 13QGOV (13 74 68) or visit the departmental website </w:t>
      </w:r>
      <w:proofErr w:type="gramStart"/>
      <w:r w:rsidRPr="00980B73">
        <w:rPr>
          <w:lang w:val="en-US"/>
        </w:rPr>
        <w:t>https://www.energyandclimate.qld.gov.au</w:t>
      </w:r>
      <w:proofErr w:type="gramEnd"/>
    </w:p>
    <w:sectPr w:rsidR="00150DF8" w:rsidRPr="00980B73" w:rsidSect="008E61FB">
      <w:headerReference w:type="default" r:id="rId69"/>
      <w:footerReference w:type="even" r:id="rId70"/>
      <w:pgSz w:w="11906" w:h="16838"/>
      <w:pgMar w:top="2098" w:right="1191" w:bottom="1701" w:left="1191" w:header="708" w:footer="708" w:gutter="0"/>
      <w:cols w:space="3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517A" w14:textId="77777777" w:rsidR="0078336C" w:rsidRDefault="0078336C" w:rsidP="0029535E">
      <w:r>
        <w:separator/>
      </w:r>
    </w:p>
  </w:endnote>
  <w:endnote w:type="continuationSeparator" w:id="0">
    <w:p w14:paraId="2FE828AE" w14:textId="77777777" w:rsidR="0078336C" w:rsidRDefault="0078336C" w:rsidP="0029535E">
      <w:r>
        <w:continuationSeparator/>
      </w:r>
    </w:p>
  </w:endnote>
  <w:endnote w:type="continuationNotice" w:id="1">
    <w:p w14:paraId="16CC2C74" w14:textId="77777777" w:rsidR="0078336C" w:rsidRDefault="0078336C" w:rsidP="00295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default"/>
    <w:sig w:usb0="00000003" w:usb1="00000000" w:usb2="00000000" w:usb3="00000000" w:csb0="00000001" w:csb1="00000000"/>
  </w:font>
  <w:font w:name="MetaBoldLF-Roman">
    <w:altName w:val="Segoe UI Semibold"/>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54C" w14:textId="77777777" w:rsidR="00B30430" w:rsidRPr="00876B46" w:rsidRDefault="00000000" w:rsidP="00256E51">
    <w:pPr>
      <w:pStyle w:val="Footer"/>
      <w:framePr w:w="466" w:h="376" w:hRule="exact" w:wrap="none" w:vAnchor="text" w:hAnchor="page" w:x="10876" w:y="-117"/>
      <w:rPr>
        <w:rStyle w:val="PageNumber"/>
        <w:sz w:val="18"/>
        <w:szCs w:val="18"/>
      </w:rPr>
    </w:pPr>
    <w:sdt>
      <w:sdtPr>
        <w:rPr>
          <w:rStyle w:val="PageNumber"/>
        </w:rPr>
        <w:id w:val="1868096421"/>
        <w:docPartObj>
          <w:docPartGallery w:val="Page Numbers (Bottom of Page)"/>
          <w:docPartUnique/>
        </w:docPartObj>
      </w:sdtPr>
      <w:sdtEndPr>
        <w:rPr>
          <w:rStyle w:val="PageNumber"/>
          <w:sz w:val="18"/>
          <w:szCs w:val="18"/>
        </w:rPr>
      </w:sdtEndPr>
      <w:sdtContent>
        <w:r w:rsidR="00B30430" w:rsidRPr="00876B46">
          <w:rPr>
            <w:sz w:val="18"/>
            <w:szCs w:val="18"/>
          </w:rPr>
          <w:fldChar w:fldCharType="begin"/>
        </w:r>
        <w:r w:rsidR="00B30430" w:rsidRPr="00876B46">
          <w:rPr>
            <w:sz w:val="18"/>
            <w:szCs w:val="18"/>
          </w:rPr>
          <w:instrText xml:space="preserve"> PAGE </w:instrText>
        </w:r>
        <w:r w:rsidR="00B30430" w:rsidRPr="00876B46">
          <w:rPr>
            <w:sz w:val="18"/>
            <w:szCs w:val="18"/>
          </w:rPr>
          <w:fldChar w:fldCharType="separate"/>
        </w:r>
        <w:r w:rsidR="00B30430">
          <w:rPr>
            <w:sz w:val="18"/>
            <w:szCs w:val="18"/>
          </w:rPr>
          <w:t>2</w:t>
        </w:r>
        <w:r w:rsidR="00B30430" w:rsidRPr="00876B46">
          <w:rPr>
            <w:sz w:val="18"/>
            <w:szCs w:val="18"/>
          </w:rPr>
          <w:fldChar w:fldCharType="end"/>
        </w:r>
      </w:sdtContent>
    </w:sdt>
  </w:p>
  <w:p w14:paraId="68F81881" w14:textId="18EEE358" w:rsidR="00A36E1B" w:rsidRPr="00876B46" w:rsidRDefault="00A36E1B" w:rsidP="00A42FB6">
    <w:pPr>
      <w:ind w:firstLine="720"/>
      <w:rPr>
        <w:sz w:val="18"/>
        <w:szCs w:val="18"/>
      </w:rPr>
    </w:pPr>
    <w:r w:rsidRPr="00876B46">
      <w:rPr>
        <w:sz w:val="18"/>
        <w:szCs w:val="18"/>
      </w:rPr>
      <w:t xml:space="preserve">Department of Energy and </w:t>
    </w:r>
    <w:r>
      <w:rPr>
        <w:sz w:val="18"/>
        <w:szCs w:val="18"/>
      </w:rPr>
      <w:t>Climate</w:t>
    </w:r>
    <w:r w:rsidRPr="00876B46">
      <w:rPr>
        <w:sz w:val="18"/>
        <w:szCs w:val="18"/>
      </w:rPr>
      <w:t xml:space="preserve"> Annual Report 202</w:t>
    </w:r>
    <w:r>
      <w:rPr>
        <w:sz w:val="18"/>
        <w:szCs w:val="18"/>
      </w:rPr>
      <w:t>3</w:t>
    </w:r>
    <w:r w:rsidR="00A62803">
      <w:rPr>
        <w:sz w:val="18"/>
        <w:szCs w:val="18"/>
      </w:rPr>
      <w:t>–</w:t>
    </w:r>
    <w:r w:rsidRPr="00876B46">
      <w:rPr>
        <w:sz w:val="18"/>
        <w:szCs w:val="18"/>
      </w:rPr>
      <w:t>2</w:t>
    </w:r>
    <w:r>
      <w:rPr>
        <w:sz w:val="18"/>
        <w:szCs w:val="18"/>
      </w:rPr>
      <w:t>4</w:t>
    </w:r>
  </w:p>
  <w:p w14:paraId="6E51EBA0" w14:textId="5B748E0A" w:rsidR="009D2D3D" w:rsidRDefault="00C62112" w:rsidP="00F26FC4">
    <w:pPr>
      <w:pStyle w:val="Footer"/>
      <w:tabs>
        <w:tab w:val="clear" w:pos="9026"/>
        <w:tab w:val="right" w:pos="9923"/>
      </w:tabs>
    </w:pPr>
    <w:r>
      <w:rPr>
        <w:noProof/>
      </w:rPr>
      <w:drawing>
        <wp:anchor distT="0" distB="0" distL="114300" distR="114300" simplePos="0" relativeHeight="251658248" behindDoc="1" locked="1" layoutInCell="1" allowOverlap="1" wp14:anchorId="7C5C50BA" wp14:editId="49312D0E">
          <wp:simplePos x="0" y="0"/>
          <wp:positionH relativeFrom="page">
            <wp:align>right</wp:align>
          </wp:positionH>
          <wp:positionV relativeFrom="page">
            <wp:posOffset>9425940</wp:posOffset>
          </wp:positionV>
          <wp:extent cx="7585075" cy="1083310"/>
          <wp:effectExtent l="0" t="0" r="0" b="254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075" cy="1083310"/>
                  </a:xfrm>
                  <a:prstGeom prst="rect">
                    <a:avLst/>
                  </a:prstGeom>
                </pic:spPr>
              </pic:pic>
            </a:graphicData>
          </a:graphic>
          <wp14:sizeRelH relativeFrom="margin">
            <wp14:pctWidth>0</wp14:pctWidth>
          </wp14:sizeRelH>
          <wp14:sizeRelV relativeFrom="margin">
            <wp14:pctHeight>0</wp14:pctHeight>
          </wp14:sizeRelV>
        </wp:anchor>
      </w:drawing>
    </w:r>
    <w:r w:rsidR="00CF3E80">
      <w:rPr>
        <w:noProof/>
      </w:rPr>
      <mc:AlternateContent>
        <mc:Choice Requires="wps">
          <w:drawing>
            <wp:anchor distT="0" distB="0" distL="114300" distR="114300" simplePos="0" relativeHeight="251658240" behindDoc="0" locked="0" layoutInCell="1" allowOverlap="1" wp14:anchorId="1789E059" wp14:editId="5176F3D2">
              <wp:simplePos x="0" y="0"/>
              <wp:positionH relativeFrom="column">
                <wp:posOffset>1298575</wp:posOffset>
              </wp:positionH>
              <wp:positionV relativeFrom="paragraph">
                <wp:posOffset>9819005</wp:posOffset>
              </wp:positionV>
              <wp:extent cx="3792220" cy="3359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220" cy="335915"/>
                      </a:xfrm>
                      <a:prstGeom prst="rect">
                        <a:avLst/>
                      </a:prstGeom>
                      <a:noFill/>
                      <a:ln w="6350">
                        <a:noFill/>
                      </a:ln>
                    </wps:spPr>
                    <wps:txbx>
                      <w:txbxContent>
                        <w:p w14:paraId="76CD4CAD" w14:textId="77777777" w:rsidR="00851950" w:rsidRPr="00876B46" w:rsidRDefault="00851950" w:rsidP="00851950">
                          <w:pPr>
                            <w:rPr>
                              <w:sz w:val="18"/>
                              <w:szCs w:val="18"/>
                            </w:rPr>
                          </w:pPr>
                          <w:r w:rsidRPr="00876B46">
                            <w:rPr>
                              <w:sz w:val="18"/>
                              <w:szCs w:val="18"/>
                            </w:rPr>
                            <w:t xml:space="preserve">Department of Energy and </w:t>
                          </w:r>
                          <w:r>
                            <w:rPr>
                              <w:sz w:val="18"/>
                              <w:szCs w:val="18"/>
                            </w:rPr>
                            <w:t>Climate</w:t>
                          </w:r>
                          <w:r w:rsidRPr="00876B46">
                            <w:rPr>
                              <w:sz w:val="18"/>
                              <w:szCs w:val="18"/>
                            </w:rPr>
                            <w:t xml:space="preserve"> Annual Report 202</w:t>
                          </w:r>
                          <w:r>
                            <w:rPr>
                              <w:sz w:val="18"/>
                              <w:szCs w:val="18"/>
                            </w:rPr>
                            <w:t>3</w:t>
                          </w:r>
                          <w:r w:rsidRPr="00876B46">
                            <w:rPr>
                              <w:sz w:val="18"/>
                              <w:szCs w:val="18"/>
                            </w:rPr>
                            <w:t>-2</w:t>
                          </w: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9E059" id="_x0000_t202" coordsize="21600,21600" o:spt="202" path="m,l,21600r21600,l21600,xe">
              <v:stroke joinstyle="miter"/>
              <v:path gradientshapeok="t" o:connecttype="rect"/>
            </v:shapetype>
            <v:shape id="Text Box 25" o:spid="_x0000_s1031" type="#_x0000_t202" style="position:absolute;margin-left:102.25pt;margin-top:773.15pt;width:298.6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" filled="f" stroked="f" strokeweight=".5pt">
              <v:textbox>
                <w:txbxContent>
                  <w:p w14:paraId="76CD4CAD" w14:textId="77777777" w:rsidR="00851950" w:rsidRPr="00876B46" w:rsidRDefault="00851950" w:rsidP="00851950">
                    <w:pPr>
                      <w:rPr>
                        <w:sz w:val="18"/>
                        <w:szCs w:val="18"/>
                      </w:rPr>
                    </w:pPr>
                    <w:r w:rsidRPr="00876B46">
                      <w:rPr>
                        <w:sz w:val="18"/>
                        <w:szCs w:val="18"/>
                      </w:rPr>
                      <w:t xml:space="preserve">Department of Energy and </w:t>
                    </w:r>
                    <w:r>
                      <w:rPr>
                        <w:sz w:val="18"/>
                        <w:szCs w:val="18"/>
                      </w:rPr>
                      <w:t>Climate</w:t>
                    </w:r>
                    <w:r w:rsidRPr="00876B46">
                      <w:rPr>
                        <w:sz w:val="18"/>
                        <w:szCs w:val="18"/>
                      </w:rPr>
                      <w:t xml:space="preserve"> Annual Report 202</w:t>
                    </w:r>
                    <w:r>
                      <w:rPr>
                        <w:sz w:val="18"/>
                        <w:szCs w:val="18"/>
                      </w:rPr>
                      <w:t>3</w:t>
                    </w:r>
                    <w:r w:rsidRPr="00876B46">
                      <w:rPr>
                        <w:sz w:val="18"/>
                        <w:szCs w:val="18"/>
                      </w:rPr>
                      <w:t>-2</w:t>
                    </w:r>
                    <w:r>
                      <w:rPr>
                        <w:sz w:val="18"/>
                        <w:szCs w:val="18"/>
                      </w:rPr>
                      <w:t>4</w:t>
                    </w:r>
                  </w:p>
                </w:txbxContent>
              </v:textbox>
            </v:shape>
          </w:pict>
        </mc:Fallback>
      </mc:AlternateContent>
    </w:r>
    <w:r w:rsidR="00F26FC4">
      <w:tab/>
    </w:r>
    <w:r w:rsidR="00F26FC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A50F" w14:textId="700CF787" w:rsidR="000E2CC2" w:rsidRDefault="000E2CC2">
    <w:pPr>
      <w:pStyle w:val="Footer"/>
    </w:pPr>
  </w:p>
  <w:p w14:paraId="79C9CB9F" w14:textId="77777777" w:rsidR="00F3615C" w:rsidRDefault="00F36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5CAF" w14:textId="2730B06A" w:rsidR="00F10E58" w:rsidRDefault="00F10E5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5F1B" w14:textId="3B1FCA27" w:rsidR="0070096C" w:rsidRDefault="00E95E57" w:rsidP="00561121">
    <w:pPr>
      <w:pStyle w:val="Footer"/>
      <w:tabs>
        <w:tab w:val="clear" w:pos="9026"/>
        <w:tab w:val="right" w:pos="9639"/>
      </w:tabs>
    </w:pPr>
    <w:r>
      <w:t>Department of Energy and Public Works Annual Report 2022-23</w:t>
    </w:r>
    <w:r w:rsidR="00561121">
      <w:tab/>
    </w:r>
    <w:r w:rsidR="00561121">
      <w:tab/>
    </w:r>
    <w:r w:rsidR="00D16D02">
      <w:fldChar w:fldCharType="begin"/>
    </w:r>
    <w:r w:rsidR="00D16D02">
      <w:instrText xml:space="preserve"> PAGE   \* MERGEFORMAT </w:instrText>
    </w:r>
    <w:r w:rsidR="00D16D02">
      <w:fldChar w:fldCharType="separate"/>
    </w:r>
    <w:r w:rsidR="00D16D02">
      <w:rPr>
        <w:noProof/>
      </w:rPr>
      <w:t>1</w:t>
    </w:r>
    <w:r w:rsidR="00D16D0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56CD" w14:textId="77777777" w:rsidR="00D34326" w:rsidRDefault="00D34326" w:rsidP="0029535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4668404"/>
      <w:docPartObj>
        <w:docPartGallery w:val="Page Numbers (Bottom of Page)"/>
        <w:docPartUnique/>
      </w:docPartObj>
    </w:sdtPr>
    <w:sdtEndPr>
      <w:rPr>
        <w:rStyle w:val="PageNumber"/>
        <w:sz w:val="18"/>
        <w:szCs w:val="18"/>
      </w:rPr>
    </w:sdtEndPr>
    <w:sdtContent>
      <w:p w14:paraId="64C338B4" w14:textId="77777777" w:rsidR="00456EE9" w:rsidRPr="00876B46" w:rsidRDefault="00456EE9" w:rsidP="00E51EC9">
        <w:pPr>
          <w:pStyle w:val="Footer"/>
          <w:framePr w:w="466" w:h="376" w:hRule="exact" w:wrap="none" w:vAnchor="text" w:hAnchor="page" w:x="10784" w:y="-110"/>
          <w:rPr>
            <w:rStyle w:val="PageNumber"/>
            <w:sz w:val="18"/>
            <w:szCs w:val="18"/>
          </w:rPr>
        </w:pPr>
        <w:r w:rsidRPr="00876B46">
          <w:rPr>
            <w:sz w:val="18"/>
            <w:szCs w:val="18"/>
          </w:rPr>
          <w:fldChar w:fldCharType="begin"/>
        </w:r>
        <w:r w:rsidRPr="00876B46">
          <w:rPr>
            <w:sz w:val="18"/>
            <w:szCs w:val="18"/>
          </w:rPr>
          <w:instrText xml:space="preserve"> PAGE </w:instrText>
        </w:r>
        <w:r w:rsidRPr="00876B46">
          <w:rPr>
            <w:sz w:val="18"/>
            <w:szCs w:val="18"/>
          </w:rPr>
          <w:fldChar w:fldCharType="separate"/>
        </w:r>
        <w:r>
          <w:rPr>
            <w:sz w:val="18"/>
            <w:szCs w:val="18"/>
          </w:rPr>
          <w:t>53</w:t>
        </w:r>
        <w:r w:rsidRPr="00876B46">
          <w:rPr>
            <w:sz w:val="18"/>
            <w:szCs w:val="18"/>
          </w:rPr>
          <w:fldChar w:fldCharType="end"/>
        </w:r>
      </w:p>
    </w:sdtContent>
  </w:sdt>
  <w:p w14:paraId="669105F5" w14:textId="1655C6DD" w:rsidR="00A42FB6" w:rsidRPr="00876B46" w:rsidRDefault="00A42FB6" w:rsidP="00E51EC9">
    <w:pPr>
      <w:tabs>
        <w:tab w:val="right" w:pos="9524"/>
      </w:tabs>
      <w:ind w:firstLine="720"/>
      <w:rPr>
        <w:sz w:val="18"/>
        <w:szCs w:val="18"/>
      </w:rPr>
    </w:pPr>
    <w:r w:rsidRPr="00876B46">
      <w:rPr>
        <w:sz w:val="18"/>
        <w:szCs w:val="18"/>
      </w:rPr>
      <w:t xml:space="preserve">Department of Energy and </w:t>
    </w:r>
    <w:r>
      <w:rPr>
        <w:sz w:val="18"/>
        <w:szCs w:val="18"/>
      </w:rPr>
      <w:t>Climate</w:t>
    </w:r>
    <w:r w:rsidRPr="00876B46">
      <w:rPr>
        <w:sz w:val="18"/>
        <w:szCs w:val="18"/>
      </w:rPr>
      <w:t xml:space="preserve"> Annual Report 202</w:t>
    </w:r>
    <w:r>
      <w:rPr>
        <w:sz w:val="18"/>
        <w:szCs w:val="18"/>
      </w:rPr>
      <w:t>3</w:t>
    </w:r>
    <w:r w:rsidRPr="00876B46">
      <w:rPr>
        <w:sz w:val="18"/>
        <w:szCs w:val="18"/>
      </w:rPr>
      <w:t>-2</w:t>
    </w:r>
    <w:r>
      <w:rPr>
        <w:sz w:val="18"/>
        <w:szCs w:val="18"/>
      </w:rPr>
      <w:t>4</w:t>
    </w:r>
    <w:r w:rsidR="00984BC5">
      <w:rPr>
        <w:sz w:val="18"/>
        <w:szCs w:val="18"/>
      </w:rPr>
      <w:tab/>
    </w:r>
  </w:p>
  <w:p w14:paraId="2AF3CB9F" w14:textId="18B5070B" w:rsidR="00D34326" w:rsidRDefault="00A42FB6" w:rsidP="00815734">
    <w:pPr>
      <w:pStyle w:val="Footer"/>
    </w:pPr>
    <w:r>
      <w:rPr>
        <w:noProof/>
      </w:rPr>
      <w:drawing>
        <wp:anchor distT="0" distB="0" distL="114300" distR="114300" simplePos="0" relativeHeight="251658242" behindDoc="1" locked="1" layoutInCell="1" allowOverlap="1" wp14:anchorId="73DBF03C" wp14:editId="5BBB85A2">
          <wp:simplePos x="0" y="0"/>
          <wp:positionH relativeFrom="page">
            <wp:posOffset>-34290</wp:posOffset>
          </wp:positionH>
          <wp:positionV relativeFrom="bottomMargin">
            <wp:posOffset>-152400</wp:posOffset>
          </wp:positionV>
          <wp:extent cx="7585075" cy="1083310"/>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85075" cy="108331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8590130"/>
      <w:docPartObj>
        <w:docPartGallery w:val="Page Numbers (Bottom of Page)"/>
        <w:docPartUnique/>
      </w:docPartObj>
    </w:sdtPr>
    <w:sdtEndPr>
      <w:rPr>
        <w:rStyle w:val="PageNumber"/>
        <w:sz w:val="18"/>
        <w:szCs w:val="18"/>
      </w:rPr>
    </w:sdtEndPr>
    <w:sdtContent>
      <w:p w14:paraId="7C1C3BBD" w14:textId="77777777" w:rsidR="0050535C" w:rsidRPr="00876B46" w:rsidRDefault="0050535C" w:rsidP="00256E51">
        <w:pPr>
          <w:pStyle w:val="Footer"/>
          <w:framePr w:w="466" w:h="376" w:hRule="exact" w:wrap="none" w:vAnchor="text" w:hAnchor="page" w:x="10876" w:y="-117"/>
          <w:rPr>
            <w:rStyle w:val="PageNumber"/>
            <w:sz w:val="18"/>
            <w:szCs w:val="18"/>
          </w:rPr>
        </w:pPr>
        <w:r w:rsidRPr="00876B46">
          <w:rPr>
            <w:sz w:val="18"/>
            <w:szCs w:val="18"/>
          </w:rPr>
          <w:fldChar w:fldCharType="begin"/>
        </w:r>
        <w:r w:rsidRPr="00876B46">
          <w:rPr>
            <w:sz w:val="18"/>
            <w:szCs w:val="18"/>
          </w:rPr>
          <w:instrText xml:space="preserve"> PAGE </w:instrText>
        </w:r>
        <w:r w:rsidRPr="00876B46">
          <w:rPr>
            <w:sz w:val="18"/>
            <w:szCs w:val="18"/>
          </w:rPr>
          <w:fldChar w:fldCharType="separate"/>
        </w:r>
        <w:r>
          <w:rPr>
            <w:sz w:val="18"/>
            <w:szCs w:val="18"/>
          </w:rPr>
          <w:t>2</w:t>
        </w:r>
        <w:r w:rsidRPr="00876B46">
          <w:rPr>
            <w:sz w:val="18"/>
            <w:szCs w:val="18"/>
          </w:rPr>
          <w:fldChar w:fldCharType="end"/>
        </w:r>
      </w:p>
    </w:sdtContent>
  </w:sdt>
  <w:p w14:paraId="622CCF1F" w14:textId="77777777" w:rsidR="0050535C" w:rsidRPr="00876B46" w:rsidRDefault="0050535C" w:rsidP="00A42FB6">
    <w:pPr>
      <w:ind w:firstLine="720"/>
      <w:rPr>
        <w:sz w:val="18"/>
        <w:szCs w:val="18"/>
      </w:rPr>
    </w:pPr>
    <w:r w:rsidRPr="00876B46">
      <w:rPr>
        <w:sz w:val="18"/>
        <w:szCs w:val="18"/>
      </w:rPr>
      <w:t xml:space="preserve">Department of Energy and </w:t>
    </w:r>
    <w:r>
      <w:rPr>
        <w:sz w:val="18"/>
        <w:szCs w:val="18"/>
      </w:rPr>
      <w:t>Climate</w:t>
    </w:r>
    <w:r w:rsidRPr="00876B46">
      <w:rPr>
        <w:sz w:val="18"/>
        <w:szCs w:val="18"/>
      </w:rPr>
      <w:t xml:space="preserve"> Annual Report 202</w:t>
    </w:r>
    <w:r>
      <w:rPr>
        <w:sz w:val="18"/>
        <w:szCs w:val="18"/>
      </w:rPr>
      <w:t>3–</w:t>
    </w:r>
    <w:r w:rsidRPr="00876B46">
      <w:rPr>
        <w:sz w:val="18"/>
        <w:szCs w:val="18"/>
      </w:rPr>
      <w:t>2</w:t>
    </w:r>
    <w:r>
      <w:rPr>
        <w:sz w:val="18"/>
        <w:szCs w:val="18"/>
      </w:rPr>
      <w:t>4</w:t>
    </w:r>
  </w:p>
  <w:p w14:paraId="219C3325" w14:textId="77777777" w:rsidR="000E2CC2" w:rsidRDefault="0050535C" w:rsidP="00F26FC4">
    <w:pPr>
      <w:pStyle w:val="Footer"/>
      <w:tabs>
        <w:tab w:val="clear" w:pos="9026"/>
        <w:tab w:val="right" w:pos="9923"/>
      </w:tabs>
    </w:pPr>
    <w:r>
      <w:rPr>
        <w:noProof/>
      </w:rPr>
      <w:drawing>
        <wp:anchor distT="0" distB="0" distL="114300" distR="114300" simplePos="0" relativeHeight="251658247" behindDoc="1" locked="1" layoutInCell="1" allowOverlap="1" wp14:anchorId="29AB230B" wp14:editId="256C20F5">
          <wp:simplePos x="0" y="0"/>
          <wp:positionH relativeFrom="page">
            <wp:align>right</wp:align>
          </wp:positionH>
          <wp:positionV relativeFrom="page">
            <wp:posOffset>9435465</wp:posOffset>
          </wp:positionV>
          <wp:extent cx="7585075" cy="1083310"/>
          <wp:effectExtent l="0" t="0" r="0" b="2540"/>
          <wp:wrapNone/>
          <wp:docPr id="1989685736" name="Picture 19896857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5075" cy="10833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0" layoutInCell="1" allowOverlap="1" wp14:anchorId="4039272D" wp14:editId="6BA0D0D2">
              <wp:simplePos x="0" y="0"/>
              <wp:positionH relativeFrom="column">
                <wp:posOffset>1298575</wp:posOffset>
              </wp:positionH>
              <wp:positionV relativeFrom="paragraph">
                <wp:posOffset>9819005</wp:posOffset>
              </wp:positionV>
              <wp:extent cx="3792220" cy="335915"/>
              <wp:effectExtent l="0" t="0" r="0" b="0"/>
              <wp:wrapNone/>
              <wp:docPr id="1365790020" name="Text Box 136579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2220" cy="335915"/>
                      </a:xfrm>
                      <a:prstGeom prst="rect">
                        <a:avLst/>
                      </a:prstGeom>
                      <a:noFill/>
                      <a:ln w="6350">
                        <a:noFill/>
                      </a:ln>
                    </wps:spPr>
                    <wps:txbx>
                      <w:txbxContent>
                        <w:p w14:paraId="22BDC445" w14:textId="77777777" w:rsidR="0050535C" w:rsidRPr="00876B46" w:rsidRDefault="0050535C" w:rsidP="00851950">
                          <w:pPr>
                            <w:rPr>
                              <w:sz w:val="18"/>
                              <w:szCs w:val="18"/>
                            </w:rPr>
                          </w:pPr>
                          <w:r w:rsidRPr="00876B46">
                            <w:rPr>
                              <w:sz w:val="18"/>
                              <w:szCs w:val="18"/>
                            </w:rPr>
                            <w:t xml:space="preserve">Department of Energy and </w:t>
                          </w:r>
                          <w:r>
                            <w:rPr>
                              <w:sz w:val="18"/>
                              <w:szCs w:val="18"/>
                            </w:rPr>
                            <w:t>Climate</w:t>
                          </w:r>
                          <w:r w:rsidRPr="00876B46">
                            <w:rPr>
                              <w:sz w:val="18"/>
                              <w:szCs w:val="18"/>
                            </w:rPr>
                            <w:t xml:space="preserve"> Annual Report 202</w:t>
                          </w:r>
                          <w:r>
                            <w:rPr>
                              <w:sz w:val="18"/>
                              <w:szCs w:val="18"/>
                            </w:rPr>
                            <w:t>3</w:t>
                          </w:r>
                          <w:r w:rsidRPr="00876B46">
                            <w:rPr>
                              <w:sz w:val="18"/>
                              <w:szCs w:val="18"/>
                            </w:rPr>
                            <w:t>-2</w:t>
                          </w: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9272D" id="_x0000_t202" coordsize="21600,21600" o:spt="202" path="m,l,21600r21600,l21600,xe">
              <v:stroke joinstyle="miter"/>
              <v:path gradientshapeok="t" o:connecttype="rect"/>
            </v:shapetype>
            <v:shape id="Text Box 1365790020" o:spid="_x0000_s1032" type="#_x0000_t202" style="position:absolute;margin-left:102.25pt;margin-top:773.15pt;width:298.6pt;height:26.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" filled="f" stroked="f" strokeweight=".5pt">
              <v:textbox>
                <w:txbxContent>
                  <w:p w14:paraId="22BDC445" w14:textId="77777777" w:rsidR="0050535C" w:rsidRPr="00876B46" w:rsidRDefault="0050535C" w:rsidP="00851950">
                    <w:pPr>
                      <w:rPr>
                        <w:sz w:val="18"/>
                        <w:szCs w:val="18"/>
                      </w:rPr>
                    </w:pPr>
                    <w:r w:rsidRPr="00876B46">
                      <w:rPr>
                        <w:sz w:val="18"/>
                        <w:szCs w:val="18"/>
                      </w:rPr>
                      <w:t xml:space="preserve">Department of Energy and </w:t>
                    </w:r>
                    <w:r>
                      <w:rPr>
                        <w:sz w:val="18"/>
                        <w:szCs w:val="18"/>
                      </w:rPr>
                      <w:t>Climate</w:t>
                    </w:r>
                    <w:r w:rsidRPr="00876B46">
                      <w:rPr>
                        <w:sz w:val="18"/>
                        <w:szCs w:val="18"/>
                      </w:rPr>
                      <w:t xml:space="preserve"> Annual Report 202</w:t>
                    </w:r>
                    <w:r>
                      <w:rPr>
                        <w:sz w:val="18"/>
                        <w:szCs w:val="18"/>
                      </w:rPr>
                      <w:t>3</w:t>
                    </w:r>
                    <w:r w:rsidRPr="00876B46">
                      <w:rPr>
                        <w:sz w:val="18"/>
                        <w:szCs w:val="18"/>
                      </w:rPr>
                      <w:t>-2</w:t>
                    </w:r>
                    <w:r>
                      <w:rPr>
                        <w:sz w:val="18"/>
                        <w:szCs w:val="18"/>
                      </w:rPr>
                      <w:t>4</w:t>
                    </w:r>
                  </w:p>
                </w:txbxContent>
              </v:textbox>
            </v:shape>
          </w:pict>
        </mc:Fallback>
      </mc:AlternateContent>
    </w: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03CE" w14:textId="79D41CA5" w:rsidR="00D1405F" w:rsidRDefault="00D1405F">
    <w:pPr>
      <w:spacing w:line="14" w:lineRule="auto"/>
      <w:rPr>
        <w:szCs w:val="20"/>
      </w:rPr>
    </w:pPr>
    <w:r>
      <w:rPr>
        <w:noProof/>
        <w:lang w:eastAsia="en-AU"/>
      </w:rPr>
      <mc:AlternateContent>
        <mc:Choice Requires="wps">
          <w:drawing>
            <wp:anchor distT="0" distB="0" distL="114300" distR="114300" simplePos="0" relativeHeight="251658243" behindDoc="1" locked="0" layoutInCell="1" allowOverlap="1" wp14:anchorId="656D943C" wp14:editId="37DCA501">
              <wp:simplePos x="0" y="0"/>
              <wp:positionH relativeFrom="page">
                <wp:posOffset>527050</wp:posOffset>
              </wp:positionH>
              <wp:positionV relativeFrom="page">
                <wp:posOffset>10181590</wp:posOffset>
              </wp:positionV>
              <wp:extent cx="3098165" cy="127000"/>
              <wp:effectExtent l="3175" t="0" r="3810" b="0"/>
              <wp:wrapNone/>
              <wp:docPr id="906172512" name="Text Box 906172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7452D" w14:textId="77777777" w:rsidR="00D1405F" w:rsidRDefault="00D1405F">
                          <w:pPr>
                            <w:spacing w:line="184" w:lineRule="exact"/>
                            <w:ind w:left="20"/>
                            <w:rPr>
                              <w:rFonts w:ascii="Arial" w:eastAsia="Arial" w:hAnsi="Arial" w:cs="Arial"/>
                              <w:color w:val="B80B4D"/>
                              <w:sz w:val="16"/>
                              <w:szCs w:val="16"/>
                            </w:rPr>
                          </w:pPr>
                          <w:r>
                            <w:rPr>
                              <w:rFonts w:ascii="Arial" w:eastAsia="Arial" w:hAnsi="Arial" w:cs="Arial"/>
                              <w:color w:val="FFFFFF"/>
                              <w:spacing w:val="13"/>
                              <w:w w:val="80"/>
                              <w:sz w:val="16"/>
                              <w:szCs w:val="16"/>
                              <w:shd w:val="clear" w:color="auto" w:fill="B80B4D"/>
                            </w:rPr>
                            <w:t xml:space="preserve"> </w:t>
                          </w:r>
                          <w:r>
                            <w:fldChar w:fldCharType="begin"/>
                          </w:r>
                          <w:r>
                            <w:rPr>
                              <w:rFonts w:ascii="Arial" w:eastAsia="Arial" w:hAnsi="Arial" w:cs="Arial"/>
                              <w:color w:val="FFFFFF"/>
                              <w:sz w:val="16"/>
                              <w:szCs w:val="16"/>
                              <w:shd w:val="clear" w:color="auto" w:fill="B80B4D"/>
                            </w:rPr>
                            <w:instrText xml:space="preserve"> PAGE </w:instrText>
                          </w:r>
                          <w:r>
                            <w:fldChar w:fldCharType="separate"/>
                          </w:r>
                          <w:r>
                            <w:rPr>
                              <w:rFonts w:ascii="Arial" w:eastAsia="Arial" w:hAnsi="Arial" w:cs="Arial"/>
                              <w:noProof/>
                              <w:color w:val="FFFFFF"/>
                              <w:sz w:val="16"/>
                              <w:szCs w:val="16"/>
                              <w:shd w:val="clear" w:color="auto" w:fill="B80B4D"/>
                            </w:rPr>
                            <w:t>4</w:t>
                          </w:r>
                          <w:r>
                            <w:fldChar w:fldCharType="end"/>
                          </w:r>
                          <w:r>
                            <w:rPr>
                              <w:rFonts w:ascii="Arial" w:eastAsia="Arial" w:hAnsi="Arial" w:cs="Arial"/>
                              <w:color w:val="FFFFFF"/>
                              <w:w w:val="80"/>
                              <w:sz w:val="16"/>
                              <w:szCs w:val="16"/>
                              <w:shd w:val="clear" w:color="auto" w:fill="B80B4D"/>
                            </w:rPr>
                            <w:t xml:space="preserve"> </w:t>
                          </w:r>
                          <w:r>
                            <w:rPr>
                              <w:rFonts w:ascii="Arial" w:eastAsia="Arial" w:hAnsi="Arial" w:cs="Arial"/>
                              <w:color w:val="FFFFFF"/>
                              <w:sz w:val="16"/>
                              <w:szCs w:val="16"/>
                            </w:rPr>
                            <w:t xml:space="preserve">  </w:t>
                          </w:r>
                          <w:r>
                            <w:rPr>
                              <w:rFonts w:ascii="Arial" w:eastAsia="Arial" w:hAnsi="Arial" w:cs="Arial"/>
                              <w:color w:val="FFFFFF"/>
                              <w:spacing w:val="-4"/>
                              <w:sz w:val="16"/>
                              <w:szCs w:val="16"/>
                            </w:rPr>
                            <w:t xml:space="preserve"> </w:t>
                          </w:r>
                          <w:r>
                            <w:rPr>
                              <w:rFonts w:ascii="Arial" w:eastAsia="Arial" w:hAnsi="Arial" w:cs="Arial"/>
                              <w:color w:val="B80B4D"/>
                              <w:spacing w:val="-1"/>
                              <w:w w:val="92"/>
                              <w:sz w:val="16"/>
                              <w:szCs w:val="16"/>
                            </w:rPr>
                            <w:t>Depa</w:t>
                          </w:r>
                          <w:r>
                            <w:rPr>
                              <w:rFonts w:ascii="Arial" w:eastAsia="Arial" w:hAnsi="Arial" w:cs="Arial"/>
                              <w:color w:val="B80B4D"/>
                              <w:spacing w:val="6"/>
                              <w:w w:val="92"/>
                              <w:sz w:val="16"/>
                              <w:szCs w:val="16"/>
                            </w:rPr>
                            <w:t>r</w:t>
                          </w:r>
                          <w:r>
                            <w:rPr>
                              <w:rFonts w:ascii="Arial" w:eastAsia="Arial" w:hAnsi="Arial" w:cs="Arial"/>
                              <w:color w:val="B80B4D"/>
                              <w:spacing w:val="3"/>
                              <w:sz w:val="16"/>
                              <w:szCs w:val="16"/>
                            </w:rPr>
                            <w:t>t</w:t>
                          </w:r>
                          <w:r>
                            <w:rPr>
                              <w:rFonts w:ascii="Arial" w:eastAsia="Arial" w:hAnsi="Arial" w:cs="Arial"/>
                              <w:color w:val="B80B4D"/>
                              <w:spacing w:val="-1"/>
                              <w:w w:val="94"/>
                              <w:sz w:val="16"/>
                              <w:szCs w:val="16"/>
                            </w:rPr>
                            <w:t>me</w:t>
                          </w:r>
                          <w:r>
                            <w:rPr>
                              <w:rFonts w:ascii="Arial" w:eastAsia="Arial" w:hAnsi="Arial" w:cs="Arial"/>
                              <w:color w:val="B80B4D"/>
                              <w:spacing w:val="3"/>
                              <w:w w:val="94"/>
                              <w:sz w:val="16"/>
                              <w:szCs w:val="16"/>
                            </w:rPr>
                            <w:t>n</w:t>
                          </w:r>
                          <w:r>
                            <w:rPr>
                              <w:rFonts w:ascii="Arial" w:eastAsia="Arial" w:hAnsi="Arial" w:cs="Arial"/>
                              <w:color w:val="B80B4D"/>
                              <w:sz w:val="16"/>
                              <w:szCs w:val="16"/>
                            </w:rPr>
                            <w:t>t</w:t>
                          </w:r>
                          <w:r>
                            <w:rPr>
                              <w:rFonts w:ascii="Arial" w:eastAsia="Arial" w:hAnsi="Arial" w:cs="Arial"/>
                              <w:color w:val="B80B4D"/>
                              <w:spacing w:val="-7"/>
                              <w:sz w:val="16"/>
                              <w:szCs w:val="16"/>
                            </w:rPr>
                            <w:t xml:space="preserve"> </w:t>
                          </w:r>
                          <w:r>
                            <w:rPr>
                              <w:rFonts w:ascii="Arial" w:eastAsia="Arial" w:hAnsi="Arial" w:cs="Arial"/>
                              <w:color w:val="B80B4D"/>
                              <w:spacing w:val="1"/>
                              <w:w w:val="96"/>
                              <w:sz w:val="16"/>
                              <w:szCs w:val="16"/>
                            </w:rPr>
                            <w:t>o</w:t>
                          </w:r>
                          <w:r>
                            <w:rPr>
                              <w:rFonts w:ascii="Arial" w:eastAsia="Arial" w:hAnsi="Arial" w:cs="Arial"/>
                              <w:color w:val="B80B4D"/>
                              <w:sz w:val="16"/>
                              <w:szCs w:val="16"/>
                            </w:rPr>
                            <w:t>f</w:t>
                          </w:r>
                          <w:r>
                            <w:rPr>
                              <w:rFonts w:ascii="Arial" w:eastAsia="Arial" w:hAnsi="Arial" w:cs="Arial"/>
                              <w:color w:val="B80B4D"/>
                              <w:spacing w:val="-9"/>
                              <w:sz w:val="16"/>
                              <w:szCs w:val="16"/>
                            </w:rPr>
                            <w:t xml:space="preserve"> </w:t>
                          </w:r>
                          <w:r>
                            <w:rPr>
                              <w:rFonts w:ascii="Arial" w:eastAsia="Arial" w:hAnsi="Arial" w:cs="Arial"/>
                              <w:color w:val="B80B4D"/>
                              <w:spacing w:val="-1"/>
                              <w:w w:val="93"/>
                              <w:sz w:val="16"/>
                              <w:szCs w:val="16"/>
                            </w:rPr>
                            <w:t>Energy</w:t>
                          </w:r>
                          <w:r>
                            <w:rPr>
                              <w:rFonts w:ascii="Arial" w:eastAsia="Arial" w:hAnsi="Arial" w:cs="Arial"/>
                              <w:color w:val="B80B4D"/>
                              <w:spacing w:val="-9"/>
                              <w:sz w:val="16"/>
                              <w:szCs w:val="16"/>
                            </w:rPr>
                            <w:t xml:space="preserve"> </w:t>
                          </w:r>
                          <w:r>
                            <w:rPr>
                              <w:rFonts w:ascii="Arial" w:eastAsia="Arial" w:hAnsi="Arial" w:cs="Arial"/>
                              <w:color w:val="B80B4D"/>
                              <w:spacing w:val="-1"/>
                              <w:w w:val="96"/>
                              <w:sz w:val="16"/>
                              <w:szCs w:val="16"/>
                            </w:rPr>
                            <w:t>an</w:t>
                          </w:r>
                          <w:r>
                            <w:rPr>
                              <w:rFonts w:ascii="Arial" w:eastAsia="Arial" w:hAnsi="Arial" w:cs="Arial"/>
                              <w:color w:val="B80B4D"/>
                              <w:w w:val="96"/>
                              <w:sz w:val="16"/>
                              <w:szCs w:val="16"/>
                            </w:rPr>
                            <w:t>d</w:t>
                          </w:r>
                          <w:r>
                            <w:rPr>
                              <w:rFonts w:ascii="Arial" w:eastAsia="Arial" w:hAnsi="Arial" w:cs="Arial"/>
                              <w:color w:val="B80B4D"/>
                              <w:spacing w:val="-9"/>
                              <w:sz w:val="16"/>
                              <w:szCs w:val="16"/>
                            </w:rPr>
                            <w:t xml:space="preserve"> </w:t>
                          </w:r>
                          <w:r>
                            <w:rPr>
                              <w:rFonts w:ascii="Arial" w:eastAsia="Arial" w:hAnsi="Arial" w:cs="Arial"/>
                              <w:color w:val="B80B4D"/>
                              <w:spacing w:val="-2"/>
                              <w:w w:val="81"/>
                              <w:sz w:val="16"/>
                              <w:szCs w:val="16"/>
                            </w:rPr>
                            <w:t>P</w:t>
                          </w:r>
                          <w:r>
                            <w:rPr>
                              <w:rFonts w:ascii="Arial" w:eastAsia="Arial" w:hAnsi="Arial" w:cs="Arial"/>
                              <w:color w:val="B80B4D"/>
                              <w:w w:val="97"/>
                              <w:sz w:val="16"/>
                              <w:szCs w:val="16"/>
                            </w:rPr>
                            <w:t>u</w:t>
                          </w:r>
                          <w:r>
                            <w:rPr>
                              <w:rFonts w:ascii="Arial" w:eastAsia="Arial" w:hAnsi="Arial" w:cs="Arial"/>
                              <w:color w:val="B80B4D"/>
                              <w:spacing w:val="1"/>
                              <w:sz w:val="16"/>
                              <w:szCs w:val="16"/>
                            </w:rPr>
                            <w:t>b</w:t>
                          </w:r>
                          <w:r>
                            <w:rPr>
                              <w:rFonts w:ascii="Arial" w:eastAsia="Arial" w:hAnsi="Arial" w:cs="Arial"/>
                              <w:color w:val="B80B4D"/>
                              <w:spacing w:val="3"/>
                              <w:sz w:val="16"/>
                              <w:szCs w:val="16"/>
                            </w:rPr>
                            <w:t>l</w:t>
                          </w:r>
                          <w:r>
                            <w:rPr>
                              <w:rFonts w:ascii="Arial" w:eastAsia="Arial" w:hAnsi="Arial" w:cs="Arial"/>
                              <w:color w:val="B80B4D"/>
                              <w:spacing w:val="6"/>
                              <w:sz w:val="16"/>
                              <w:szCs w:val="16"/>
                            </w:rPr>
                            <w:t>i</w:t>
                          </w:r>
                          <w:r>
                            <w:rPr>
                              <w:rFonts w:ascii="Arial" w:eastAsia="Arial" w:hAnsi="Arial" w:cs="Arial"/>
                              <w:color w:val="B80B4D"/>
                              <w:w w:val="90"/>
                              <w:sz w:val="16"/>
                              <w:szCs w:val="16"/>
                            </w:rPr>
                            <w:t>c</w:t>
                          </w:r>
                          <w:r>
                            <w:rPr>
                              <w:rFonts w:ascii="Arial" w:eastAsia="Arial" w:hAnsi="Arial" w:cs="Arial"/>
                              <w:color w:val="B80B4D"/>
                              <w:spacing w:val="-12"/>
                              <w:sz w:val="16"/>
                              <w:szCs w:val="16"/>
                            </w:rPr>
                            <w:t xml:space="preserve"> </w:t>
                          </w:r>
                          <w:r>
                            <w:rPr>
                              <w:rFonts w:ascii="Arial" w:eastAsia="Arial" w:hAnsi="Arial" w:cs="Arial"/>
                              <w:color w:val="B80B4D"/>
                              <w:spacing w:val="-5"/>
                              <w:w w:val="85"/>
                              <w:sz w:val="16"/>
                              <w:szCs w:val="16"/>
                            </w:rPr>
                            <w:t>W</w:t>
                          </w:r>
                          <w:r>
                            <w:rPr>
                              <w:rFonts w:ascii="Arial" w:eastAsia="Arial" w:hAnsi="Arial" w:cs="Arial"/>
                              <w:color w:val="B80B4D"/>
                              <w:spacing w:val="-1"/>
                              <w:w w:val="98"/>
                              <w:sz w:val="16"/>
                              <w:szCs w:val="16"/>
                            </w:rPr>
                            <w:t>or</w:t>
                          </w:r>
                          <w:r>
                            <w:rPr>
                              <w:rFonts w:ascii="Arial" w:eastAsia="Arial" w:hAnsi="Arial" w:cs="Arial"/>
                              <w:color w:val="B80B4D"/>
                              <w:w w:val="98"/>
                              <w:sz w:val="16"/>
                              <w:szCs w:val="16"/>
                            </w:rPr>
                            <w:t>k</w:t>
                          </w:r>
                          <w:r>
                            <w:rPr>
                              <w:rFonts w:ascii="Arial" w:eastAsia="Arial" w:hAnsi="Arial" w:cs="Arial"/>
                              <w:color w:val="B80B4D"/>
                              <w:w w:val="94"/>
                              <w:sz w:val="16"/>
                              <w:szCs w:val="16"/>
                            </w:rPr>
                            <w:t>s</w:t>
                          </w:r>
                          <w:r>
                            <w:rPr>
                              <w:rFonts w:ascii="Arial" w:eastAsia="Arial" w:hAnsi="Arial" w:cs="Arial"/>
                              <w:color w:val="B80B4D"/>
                              <w:spacing w:val="-11"/>
                              <w:sz w:val="16"/>
                              <w:szCs w:val="16"/>
                            </w:rPr>
                            <w:t xml:space="preserve"> </w:t>
                          </w:r>
                          <w:r>
                            <w:rPr>
                              <w:rFonts w:ascii="Arial" w:eastAsia="Arial" w:hAnsi="Arial" w:cs="Arial"/>
                              <w:color w:val="B80B4D"/>
                              <w:spacing w:val="-1"/>
                              <w:w w:val="93"/>
                              <w:sz w:val="16"/>
                              <w:szCs w:val="16"/>
                            </w:rPr>
                            <w:t>Annu</w:t>
                          </w:r>
                          <w:r>
                            <w:rPr>
                              <w:rFonts w:ascii="Arial" w:eastAsia="Arial" w:hAnsi="Arial" w:cs="Arial"/>
                              <w:color w:val="B80B4D"/>
                              <w:spacing w:val="3"/>
                              <w:w w:val="93"/>
                              <w:sz w:val="16"/>
                              <w:szCs w:val="16"/>
                            </w:rPr>
                            <w:t>a</w:t>
                          </w:r>
                          <w:r>
                            <w:rPr>
                              <w:rFonts w:ascii="Arial" w:eastAsia="Arial" w:hAnsi="Arial" w:cs="Arial"/>
                              <w:color w:val="B80B4D"/>
                              <w:sz w:val="16"/>
                              <w:szCs w:val="16"/>
                            </w:rPr>
                            <w:t>l</w:t>
                          </w:r>
                          <w:r>
                            <w:rPr>
                              <w:rFonts w:ascii="Arial" w:eastAsia="Arial" w:hAnsi="Arial" w:cs="Arial"/>
                              <w:color w:val="B80B4D"/>
                              <w:spacing w:val="-7"/>
                              <w:sz w:val="16"/>
                              <w:szCs w:val="16"/>
                            </w:rPr>
                            <w:t xml:space="preserve"> </w:t>
                          </w:r>
                          <w:r>
                            <w:rPr>
                              <w:rFonts w:ascii="Arial" w:eastAsia="Arial" w:hAnsi="Arial" w:cs="Arial"/>
                              <w:color w:val="B80B4D"/>
                              <w:spacing w:val="-2"/>
                              <w:w w:val="77"/>
                              <w:sz w:val="16"/>
                              <w:szCs w:val="16"/>
                            </w:rPr>
                            <w:t>R</w:t>
                          </w:r>
                          <w:r>
                            <w:rPr>
                              <w:rFonts w:ascii="Arial" w:eastAsia="Arial" w:hAnsi="Arial" w:cs="Arial"/>
                              <w:color w:val="B80B4D"/>
                              <w:spacing w:val="-1"/>
                              <w:w w:val="96"/>
                              <w:sz w:val="16"/>
                              <w:szCs w:val="16"/>
                            </w:rPr>
                            <w:t>epo</w:t>
                          </w:r>
                          <w:r>
                            <w:rPr>
                              <w:rFonts w:ascii="Arial" w:eastAsia="Arial" w:hAnsi="Arial" w:cs="Arial"/>
                              <w:color w:val="B80B4D"/>
                              <w:spacing w:val="6"/>
                              <w:w w:val="96"/>
                              <w:sz w:val="16"/>
                              <w:szCs w:val="16"/>
                            </w:rPr>
                            <w:t>r</w:t>
                          </w:r>
                          <w:r>
                            <w:rPr>
                              <w:rFonts w:ascii="Arial" w:eastAsia="Arial" w:hAnsi="Arial" w:cs="Arial"/>
                              <w:color w:val="B80B4D"/>
                              <w:sz w:val="16"/>
                              <w:szCs w:val="16"/>
                            </w:rPr>
                            <w:t>t</w:t>
                          </w:r>
                          <w:r>
                            <w:rPr>
                              <w:rFonts w:ascii="Arial" w:eastAsia="Arial" w:hAnsi="Arial" w:cs="Arial"/>
                              <w:color w:val="B80B4D"/>
                              <w:spacing w:val="-7"/>
                              <w:sz w:val="16"/>
                              <w:szCs w:val="16"/>
                            </w:rPr>
                            <w:t xml:space="preserve"> </w:t>
                          </w:r>
                          <w:r>
                            <w:rPr>
                              <w:rFonts w:ascii="Arial" w:eastAsia="Arial" w:hAnsi="Arial" w:cs="Arial"/>
                              <w:color w:val="B80B4D"/>
                              <w:sz w:val="16"/>
                              <w:szCs w:val="16"/>
                            </w:rPr>
                            <w:t>2022-23</w:t>
                          </w:r>
                        </w:p>
                        <w:p w14:paraId="2B159555" w14:textId="77777777" w:rsidR="00D1405F" w:rsidRDefault="00D1405F">
                          <w:pPr>
                            <w:spacing w:line="184" w:lineRule="exact"/>
                            <w:ind w:left="20"/>
                            <w:rPr>
                              <w:rFonts w:ascii="Arial" w:eastAsia="Arial" w:hAnsi="Arial" w:cs="Arial"/>
                              <w:sz w:val="16"/>
                              <w:szCs w:val="16"/>
                            </w:rPr>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D943C" id="_x0000_t202" coordsize="21600,21600" o:spt="202" path="m,l,21600r21600,l21600,xe">
              <v:stroke joinstyle="miter"/>
              <v:path gradientshapeok="t" o:connecttype="rect"/>
            </v:shapetype>
            <v:shape id="Text Box 906172512" o:spid="_x0000_s1033" type="#_x0000_t202" style="position:absolute;margin-left:41.5pt;margin-top:801.7pt;width:243.95pt;height:10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" filled="f" stroked="f">
              <v:textbox inset="0,0,0,0">
                <w:txbxContent>
                  <w:p w14:paraId="0BA7452D" w14:textId="77777777" w:rsidR="00D1405F" w:rsidRDefault="00D1405F">
                    <w:pPr>
                      <w:spacing w:line="184" w:lineRule="exact"/>
                      <w:ind w:left="20"/>
                      <w:rPr>
                        <w:rFonts w:ascii="Arial" w:eastAsia="Arial" w:hAnsi="Arial" w:cs="Arial"/>
                        <w:color w:val="B80B4D"/>
                        <w:sz w:val="16"/>
                        <w:szCs w:val="16"/>
                      </w:rPr>
                    </w:pPr>
                    <w:r>
                      <w:rPr>
                        <w:rFonts w:ascii="Arial" w:eastAsia="Arial" w:hAnsi="Arial" w:cs="Arial"/>
                        <w:color w:val="FFFFFF"/>
                        <w:spacing w:val="13"/>
                        <w:w w:val="80"/>
                        <w:sz w:val="16"/>
                        <w:szCs w:val="16"/>
                        <w:shd w:val="clear" w:color="auto" w:fill="B80B4D"/>
                      </w:rPr>
                      <w:t xml:space="preserve"> </w:t>
                    </w:r>
                    <w:r>
                      <w:fldChar w:fldCharType="begin"/>
                    </w:r>
                    <w:r>
                      <w:rPr>
                        <w:rFonts w:ascii="Arial" w:eastAsia="Arial" w:hAnsi="Arial" w:cs="Arial"/>
                        <w:color w:val="FFFFFF"/>
                        <w:sz w:val="16"/>
                        <w:szCs w:val="16"/>
                        <w:shd w:val="clear" w:color="auto" w:fill="B80B4D"/>
                      </w:rPr>
                      <w:instrText xml:space="preserve"> PAGE </w:instrText>
                    </w:r>
                    <w:r>
                      <w:fldChar w:fldCharType="separate"/>
                    </w:r>
                    <w:r>
                      <w:rPr>
                        <w:rFonts w:ascii="Arial" w:eastAsia="Arial" w:hAnsi="Arial" w:cs="Arial"/>
                        <w:noProof/>
                        <w:color w:val="FFFFFF"/>
                        <w:sz w:val="16"/>
                        <w:szCs w:val="16"/>
                        <w:shd w:val="clear" w:color="auto" w:fill="B80B4D"/>
                      </w:rPr>
                      <w:t>4</w:t>
                    </w:r>
                    <w:r>
                      <w:fldChar w:fldCharType="end"/>
                    </w:r>
                    <w:r>
                      <w:rPr>
                        <w:rFonts w:ascii="Arial" w:eastAsia="Arial" w:hAnsi="Arial" w:cs="Arial"/>
                        <w:color w:val="FFFFFF"/>
                        <w:w w:val="80"/>
                        <w:sz w:val="16"/>
                        <w:szCs w:val="16"/>
                        <w:shd w:val="clear" w:color="auto" w:fill="B80B4D"/>
                      </w:rPr>
                      <w:t xml:space="preserve"> </w:t>
                    </w:r>
                    <w:r>
                      <w:rPr>
                        <w:rFonts w:ascii="Arial" w:eastAsia="Arial" w:hAnsi="Arial" w:cs="Arial"/>
                        <w:color w:val="FFFFFF"/>
                        <w:sz w:val="16"/>
                        <w:szCs w:val="16"/>
                      </w:rPr>
                      <w:t xml:space="preserve">  </w:t>
                    </w:r>
                    <w:r>
                      <w:rPr>
                        <w:rFonts w:ascii="Arial" w:eastAsia="Arial" w:hAnsi="Arial" w:cs="Arial"/>
                        <w:color w:val="FFFFFF"/>
                        <w:spacing w:val="-4"/>
                        <w:sz w:val="16"/>
                        <w:szCs w:val="16"/>
                      </w:rPr>
                      <w:t xml:space="preserve"> </w:t>
                    </w:r>
                    <w:r>
                      <w:rPr>
                        <w:rFonts w:ascii="Arial" w:eastAsia="Arial" w:hAnsi="Arial" w:cs="Arial"/>
                        <w:color w:val="B80B4D"/>
                        <w:spacing w:val="-1"/>
                        <w:w w:val="92"/>
                        <w:sz w:val="16"/>
                        <w:szCs w:val="16"/>
                      </w:rPr>
                      <w:t>Depa</w:t>
                    </w:r>
                    <w:r>
                      <w:rPr>
                        <w:rFonts w:ascii="Arial" w:eastAsia="Arial" w:hAnsi="Arial" w:cs="Arial"/>
                        <w:color w:val="B80B4D"/>
                        <w:spacing w:val="6"/>
                        <w:w w:val="92"/>
                        <w:sz w:val="16"/>
                        <w:szCs w:val="16"/>
                      </w:rPr>
                      <w:t>r</w:t>
                    </w:r>
                    <w:r>
                      <w:rPr>
                        <w:rFonts w:ascii="Arial" w:eastAsia="Arial" w:hAnsi="Arial" w:cs="Arial"/>
                        <w:color w:val="B80B4D"/>
                        <w:spacing w:val="3"/>
                        <w:sz w:val="16"/>
                        <w:szCs w:val="16"/>
                      </w:rPr>
                      <w:t>t</w:t>
                    </w:r>
                    <w:r>
                      <w:rPr>
                        <w:rFonts w:ascii="Arial" w:eastAsia="Arial" w:hAnsi="Arial" w:cs="Arial"/>
                        <w:color w:val="B80B4D"/>
                        <w:spacing w:val="-1"/>
                        <w:w w:val="94"/>
                        <w:sz w:val="16"/>
                        <w:szCs w:val="16"/>
                      </w:rPr>
                      <w:t>me</w:t>
                    </w:r>
                    <w:r>
                      <w:rPr>
                        <w:rFonts w:ascii="Arial" w:eastAsia="Arial" w:hAnsi="Arial" w:cs="Arial"/>
                        <w:color w:val="B80B4D"/>
                        <w:spacing w:val="3"/>
                        <w:w w:val="94"/>
                        <w:sz w:val="16"/>
                        <w:szCs w:val="16"/>
                      </w:rPr>
                      <w:t>n</w:t>
                    </w:r>
                    <w:r>
                      <w:rPr>
                        <w:rFonts w:ascii="Arial" w:eastAsia="Arial" w:hAnsi="Arial" w:cs="Arial"/>
                        <w:color w:val="B80B4D"/>
                        <w:sz w:val="16"/>
                        <w:szCs w:val="16"/>
                      </w:rPr>
                      <w:t>t</w:t>
                    </w:r>
                    <w:r>
                      <w:rPr>
                        <w:rFonts w:ascii="Arial" w:eastAsia="Arial" w:hAnsi="Arial" w:cs="Arial"/>
                        <w:color w:val="B80B4D"/>
                        <w:spacing w:val="-7"/>
                        <w:sz w:val="16"/>
                        <w:szCs w:val="16"/>
                      </w:rPr>
                      <w:t xml:space="preserve"> </w:t>
                    </w:r>
                    <w:r>
                      <w:rPr>
                        <w:rFonts w:ascii="Arial" w:eastAsia="Arial" w:hAnsi="Arial" w:cs="Arial"/>
                        <w:color w:val="B80B4D"/>
                        <w:spacing w:val="1"/>
                        <w:w w:val="96"/>
                        <w:sz w:val="16"/>
                        <w:szCs w:val="16"/>
                      </w:rPr>
                      <w:t>o</w:t>
                    </w:r>
                    <w:r>
                      <w:rPr>
                        <w:rFonts w:ascii="Arial" w:eastAsia="Arial" w:hAnsi="Arial" w:cs="Arial"/>
                        <w:color w:val="B80B4D"/>
                        <w:sz w:val="16"/>
                        <w:szCs w:val="16"/>
                      </w:rPr>
                      <w:t>f</w:t>
                    </w:r>
                    <w:r>
                      <w:rPr>
                        <w:rFonts w:ascii="Arial" w:eastAsia="Arial" w:hAnsi="Arial" w:cs="Arial"/>
                        <w:color w:val="B80B4D"/>
                        <w:spacing w:val="-9"/>
                        <w:sz w:val="16"/>
                        <w:szCs w:val="16"/>
                      </w:rPr>
                      <w:t xml:space="preserve"> </w:t>
                    </w:r>
                    <w:r>
                      <w:rPr>
                        <w:rFonts w:ascii="Arial" w:eastAsia="Arial" w:hAnsi="Arial" w:cs="Arial"/>
                        <w:color w:val="B80B4D"/>
                        <w:spacing w:val="-1"/>
                        <w:w w:val="93"/>
                        <w:sz w:val="16"/>
                        <w:szCs w:val="16"/>
                      </w:rPr>
                      <w:t>Energy</w:t>
                    </w:r>
                    <w:r>
                      <w:rPr>
                        <w:rFonts w:ascii="Arial" w:eastAsia="Arial" w:hAnsi="Arial" w:cs="Arial"/>
                        <w:color w:val="B80B4D"/>
                        <w:spacing w:val="-9"/>
                        <w:sz w:val="16"/>
                        <w:szCs w:val="16"/>
                      </w:rPr>
                      <w:t xml:space="preserve"> </w:t>
                    </w:r>
                    <w:r>
                      <w:rPr>
                        <w:rFonts w:ascii="Arial" w:eastAsia="Arial" w:hAnsi="Arial" w:cs="Arial"/>
                        <w:color w:val="B80B4D"/>
                        <w:spacing w:val="-1"/>
                        <w:w w:val="96"/>
                        <w:sz w:val="16"/>
                        <w:szCs w:val="16"/>
                      </w:rPr>
                      <w:t>an</w:t>
                    </w:r>
                    <w:r>
                      <w:rPr>
                        <w:rFonts w:ascii="Arial" w:eastAsia="Arial" w:hAnsi="Arial" w:cs="Arial"/>
                        <w:color w:val="B80B4D"/>
                        <w:w w:val="96"/>
                        <w:sz w:val="16"/>
                        <w:szCs w:val="16"/>
                      </w:rPr>
                      <w:t>d</w:t>
                    </w:r>
                    <w:r>
                      <w:rPr>
                        <w:rFonts w:ascii="Arial" w:eastAsia="Arial" w:hAnsi="Arial" w:cs="Arial"/>
                        <w:color w:val="B80B4D"/>
                        <w:spacing w:val="-9"/>
                        <w:sz w:val="16"/>
                        <w:szCs w:val="16"/>
                      </w:rPr>
                      <w:t xml:space="preserve"> </w:t>
                    </w:r>
                    <w:r>
                      <w:rPr>
                        <w:rFonts w:ascii="Arial" w:eastAsia="Arial" w:hAnsi="Arial" w:cs="Arial"/>
                        <w:color w:val="B80B4D"/>
                        <w:spacing w:val="-2"/>
                        <w:w w:val="81"/>
                        <w:sz w:val="16"/>
                        <w:szCs w:val="16"/>
                      </w:rPr>
                      <w:t>P</w:t>
                    </w:r>
                    <w:r>
                      <w:rPr>
                        <w:rFonts w:ascii="Arial" w:eastAsia="Arial" w:hAnsi="Arial" w:cs="Arial"/>
                        <w:color w:val="B80B4D"/>
                        <w:w w:val="97"/>
                        <w:sz w:val="16"/>
                        <w:szCs w:val="16"/>
                      </w:rPr>
                      <w:t>u</w:t>
                    </w:r>
                    <w:r>
                      <w:rPr>
                        <w:rFonts w:ascii="Arial" w:eastAsia="Arial" w:hAnsi="Arial" w:cs="Arial"/>
                        <w:color w:val="B80B4D"/>
                        <w:spacing w:val="1"/>
                        <w:sz w:val="16"/>
                        <w:szCs w:val="16"/>
                      </w:rPr>
                      <w:t>b</w:t>
                    </w:r>
                    <w:r>
                      <w:rPr>
                        <w:rFonts w:ascii="Arial" w:eastAsia="Arial" w:hAnsi="Arial" w:cs="Arial"/>
                        <w:color w:val="B80B4D"/>
                        <w:spacing w:val="3"/>
                        <w:sz w:val="16"/>
                        <w:szCs w:val="16"/>
                      </w:rPr>
                      <w:t>l</w:t>
                    </w:r>
                    <w:r>
                      <w:rPr>
                        <w:rFonts w:ascii="Arial" w:eastAsia="Arial" w:hAnsi="Arial" w:cs="Arial"/>
                        <w:color w:val="B80B4D"/>
                        <w:spacing w:val="6"/>
                        <w:sz w:val="16"/>
                        <w:szCs w:val="16"/>
                      </w:rPr>
                      <w:t>i</w:t>
                    </w:r>
                    <w:r>
                      <w:rPr>
                        <w:rFonts w:ascii="Arial" w:eastAsia="Arial" w:hAnsi="Arial" w:cs="Arial"/>
                        <w:color w:val="B80B4D"/>
                        <w:w w:val="90"/>
                        <w:sz w:val="16"/>
                        <w:szCs w:val="16"/>
                      </w:rPr>
                      <w:t>c</w:t>
                    </w:r>
                    <w:r>
                      <w:rPr>
                        <w:rFonts w:ascii="Arial" w:eastAsia="Arial" w:hAnsi="Arial" w:cs="Arial"/>
                        <w:color w:val="B80B4D"/>
                        <w:spacing w:val="-12"/>
                        <w:sz w:val="16"/>
                        <w:szCs w:val="16"/>
                      </w:rPr>
                      <w:t xml:space="preserve"> </w:t>
                    </w:r>
                    <w:r>
                      <w:rPr>
                        <w:rFonts w:ascii="Arial" w:eastAsia="Arial" w:hAnsi="Arial" w:cs="Arial"/>
                        <w:color w:val="B80B4D"/>
                        <w:spacing w:val="-5"/>
                        <w:w w:val="85"/>
                        <w:sz w:val="16"/>
                        <w:szCs w:val="16"/>
                      </w:rPr>
                      <w:t>W</w:t>
                    </w:r>
                    <w:r>
                      <w:rPr>
                        <w:rFonts w:ascii="Arial" w:eastAsia="Arial" w:hAnsi="Arial" w:cs="Arial"/>
                        <w:color w:val="B80B4D"/>
                        <w:spacing w:val="-1"/>
                        <w:w w:val="98"/>
                        <w:sz w:val="16"/>
                        <w:szCs w:val="16"/>
                      </w:rPr>
                      <w:t>or</w:t>
                    </w:r>
                    <w:r>
                      <w:rPr>
                        <w:rFonts w:ascii="Arial" w:eastAsia="Arial" w:hAnsi="Arial" w:cs="Arial"/>
                        <w:color w:val="B80B4D"/>
                        <w:w w:val="98"/>
                        <w:sz w:val="16"/>
                        <w:szCs w:val="16"/>
                      </w:rPr>
                      <w:t>k</w:t>
                    </w:r>
                    <w:r>
                      <w:rPr>
                        <w:rFonts w:ascii="Arial" w:eastAsia="Arial" w:hAnsi="Arial" w:cs="Arial"/>
                        <w:color w:val="B80B4D"/>
                        <w:w w:val="94"/>
                        <w:sz w:val="16"/>
                        <w:szCs w:val="16"/>
                      </w:rPr>
                      <w:t>s</w:t>
                    </w:r>
                    <w:r>
                      <w:rPr>
                        <w:rFonts w:ascii="Arial" w:eastAsia="Arial" w:hAnsi="Arial" w:cs="Arial"/>
                        <w:color w:val="B80B4D"/>
                        <w:spacing w:val="-11"/>
                        <w:sz w:val="16"/>
                        <w:szCs w:val="16"/>
                      </w:rPr>
                      <w:t xml:space="preserve"> </w:t>
                    </w:r>
                    <w:r>
                      <w:rPr>
                        <w:rFonts w:ascii="Arial" w:eastAsia="Arial" w:hAnsi="Arial" w:cs="Arial"/>
                        <w:color w:val="B80B4D"/>
                        <w:spacing w:val="-1"/>
                        <w:w w:val="93"/>
                        <w:sz w:val="16"/>
                        <w:szCs w:val="16"/>
                      </w:rPr>
                      <w:t>Annu</w:t>
                    </w:r>
                    <w:r>
                      <w:rPr>
                        <w:rFonts w:ascii="Arial" w:eastAsia="Arial" w:hAnsi="Arial" w:cs="Arial"/>
                        <w:color w:val="B80B4D"/>
                        <w:spacing w:val="3"/>
                        <w:w w:val="93"/>
                        <w:sz w:val="16"/>
                        <w:szCs w:val="16"/>
                      </w:rPr>
                      <w:t>a</w:t>
                    </w:r>
                    <w:r>
                      <w:rPr>
                        <w:rFonts w:ascii="Arial" w:eastAsia="Arial" w:hAnsi="Arial" w:cs="Arial"/>
                        <w:color w:val="B80B4D"/>
                        <w:sz w:val="16"/>
                        <w:szCs w:val="16"/>
                      </w:rPr>
                      <w:t>l</w:t>
                    </w:r>
                    <w:r>
                      <w:rPr>
                        <w:rFonts w:ascii="Arial" w:eastAsia="Arial" w:hAnsi="Arial" w:cs="Arial"/>
                        <w:color w:val="B80B4D"/>
                        <w:spacing w:val="-7"/>
                        <w:sz w:val="16"/>
                        <w:szCs w:val="16"/>
                      </w:rPr>
                      <w:t xml:space="preserve"> </w:t>
                    </w:r>
                    <w:r>
                      <w:rPr>
                        <w:rFonts w:ascii="Arial" w:eastAsia="Arial" w:hAnsi="Arial" w:cs="Arial"/>
                        <w:color w:val="B80B4D"/>
                        <w:spacing w:val="-2"/>
                        <w:w w:val="77"/>
                        <w:sz w:val="16"/>
                        <w:szCs w:val="16"/>
                      </w:rPr>
                      <w:t>R</w:t>
                    </w:r>
                    <w:r>
                      <w:rPr>
                        <w:rFonts w:ascii="Arial" w:eastAsia="Arial" w:hAnsi="Arial" w:cs="Arial"/>
                        <w:color w:val="B80B4D"/>
                        <w:spacing w:val="-1"/>
                        <w:w w:val="96"/>
                        <w:sz w:val="16"/>
                        <w:szCs w:val="16"/>
                      </w:rPr>
                      <w:t>epo</w:t>
                    </w:r>
                    <w:r>
                      <w:rPr>
                        <w:rFonts w:ascii="Arial" w:eastAsia="Arial" w:hAnsi="Arial" w:cs="Arial"/>
                        <w:color w:val="B80B4D"/>
                        <w:spacing w:val="6"/>
                        <w:w w:val="96"/>
                        <w:sz w:val="16"/>
                        <w:szCs w:val="16"/>
                      </w:rPr>
                      <w:t>r</w:t>
                    </w:r>
                    <w:r>
                      <w:rPr>
                        <w:rFonts w:ascii="Arial" w:eastAsia="Arial" w:hAnsi="Arial" w:cs="Arial"/>
                        <w:color w:val="B80B4D"/>
                        <w:sz w:val="16"/>
                        <w:szCs w:val="16"/>
                      </w:rPr>
                      <w:t>t</w:t>
                    </w:r>
                    <w:r>
                      <w:rPr>
                        <w:rFonts w:ascii="Arial" w:eastAsia="Arial" w:hAnsi="Arial" w:cs="Arial"/>
                        <w:color w:val="B80B4D"/>
                        <w:spacing w:val="-7"/>
                        <w:sz w:val="16"/>
                        <w:szCs w:val="16"/>
                      </w:rPr>
                      <w:t xml:space="preserve"> </w:t>
                    </w:r>
                    <w:r>
                      <w:rPr>
                        <w:rFonts w:ascii="Arial" w:eastAsia="Arial" w:hAnsi="Arial" w:cs="Arial"/>
                        <w:color w:val="B80B4D"/>
                        <w:sz w:val="16"/>
                        <w:szCs w:val="16"/>
                      </w:rPr>
                      <w:t>2022-23</w:t>
                    </w:r>
                  </w:p>
                  <w:p w14:paraId="2B159555" w14:textId="77777777" w:rsidR="00D1405F" w:rsidRDefault="00D1405F">
                    <w:pPr>
                      <w:spacing w:line="184" w:lineRule="exact"/>
                      <w:ind w:left="20"/>
                      <w:rPr>
                        <w:rFonts w:ascii="Arial" w:eastAsia="Arial" w:hAnsi="Arial" w:cs="Arial"/>
                        <w:sz w:val="16"/>
                        <w:szCs w:val="16"/>
                      </w:rPr>
                    </w:pP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C327" w14:textId="77777777" w:rsidR="0078336C" w:rsidRDefault="0078336C" w:rsidP="0029535E">
      <w:r>
        <w:separator/>
      </w:r>
    </w:p>
  </w:footnote>
  <w:footnote w:type="continuationSeparator" w:id="0">
    <w:p w14:paraId="70CC77C2" w14:textId="77777777" w:rsidR="0078336C" w:rsidRDefault="0078336C" w:rsidP="0029535E">
      <w:r>
        <w:continuationSeparator/>
      </w:r>
    </w:p>
  </w:footnote>
  <w:footnote w:type="continuationNotice" w:id="1">
    <w:p w14:paraId="04B3C712" w14:textId="77777777" w:rsidR="0078336C" w:rsidRDefault="0078336C" w:rsidP="00295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4A9D6F6" w14:paraId="0AC4435A" w14:textId="77777777" w:rsidTr="003D59F3">
      <w:trPr>
        <w:trHeight w:val="300"/>
      </w:trPr>
      <w:tc>
        <w:tcPr>
          <w:tcW w:w="3400" w:type="dxa"/>
        </w:tcPr>
        <w:p w14:paraId="65612FCF" w14:textId="61656C1D" w:rsidR="34A9D6F6" w:rsidRDefault="34A9D6F6" w:rsidP="003D59F3">
          <w:pPr>
            <w:pStyle w:val="Header"/>
            <w:ind w:left="-115"/>
          </w:pPr>
        </w:p>
      </w:tc>
      <w:tc>
        <w:tcPr>
          <w:tcW w:w="3400" w:type="dxa"/>
        </w:tcPr>
        <w:p w14:paraId="4B531D69" w14:textId="36EA2BC7" w:rsidR="34A9D6F6" w:rsidRDefault="34A9D6F6" w:rsidP="003D59F3">
          <w:pPr>
            <w:pStyle w:val="Header"/>
            <w:jc w:val="center"/>
          </w:pPr>
        </w:p>
      </w:tc>
      <w:tc>
        <w:tcPr>
          <w:tcW w:w="3400" w:type="dxa"/>
        </w:tcPr>
        <w:p w14:paraId="7E60E831" w14:textId="0B9BA94C" w:rsidR="34A9D6F6" w:rsidRDefault="34A9D6F6" w:rsidP="003D59F3">
          <w:pPr>
            <w:pStyle w:val="Header"/>
            <w:ind w:right="-115"/>
            <w:jc w:val="right"/>
          </w:pPr>
        </w:p>
      </w:tc>
    </w:tr>
  </w:tbl>
  <w:p w14:paraId="22B912B8" w14:textId="3D19B0D5" w:rsidR="00D90DD8" w:rsidRDefault="00D90D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CD36" w14:textId="1387A678" w:rsidR="00474BCD" w:rsidRPr="00474BCD" w:rsidRDefault="00474BCD" w:rsidP="00474BCD">
    <w:pPr>
      <w:pStyle w:val="Header"/>
      <w:rPr>
        <w:color w:val="BFBFBF" w:themeColor="background1" w:themeShade="BF"/>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4309" w14:textId="7473FB79" w:rsidR="00A6501E" w:rsidRPr="00A6501E" w:rsidRDefault="00A6501E" w:rsidP="00A6501E">
    <w:pPr>
      <w:pStyle w:val="Header"/>
      <w:rPr>
        <w:color w:val="BFBFBF" w:themeColor="background1" w:themeShade="BF"/>
        <w:sz w:val="28"/>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7930" w14:textId="14709C3D" w:rsidR="00541D8A" w:rsidRDefault="00541D8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D4DB" w14:textId="3F268D60" w:rsidR="004B2B34" w:rsidRDefault="004B2B3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A61" w14:textId="595BEC70" w:rsidR="00D1405F" w:rsidRPr="00D1405F" w:rsidRDefault="00D1405F" w:rsidP="00D14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6C35" w14:textId="334CB01E" w:rsidR="00714B6F" w:rsidRDefault="00714B6F">
    <w:pPr>
      <w:pStyle w:val="Header"/>
    </w:pPr>
    <w:r>
      <w:rPr>
        <w:noProof/>
        <w:szCs w:val="20"/>
      </w:rPr>
      <w:drawing>
        <wp:anchor distT="0" distB="0" distL="114300" distR="114300" simplePos="0" relativeHeight="251658241" behindDoc="1" locked="0" layoutInCell="1" allowOverlap="1" wp14:anchorId="200D3A81" wp14:editId="5173CAFA">
          <wp:simplePos x="0" y="0"/>
          <wp:positionH relativeFrom="page">
            <wp:align>right</wp:align>
          </wp:positionH>
          <wp:positionV relativeFrom="page">
            <wp:align>bottom</wp:align>
          </wp:positionV>
          <wp:extent cx="7547076" cy="1067546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076" cy="106754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D744" w14:textId="42BA6DC5" w:rsidR="00C66E08" w:rsidRDefault="00C66E08">
    <w:pPr>
      <w:pStyle w:val="Header"/>
    </w:pPr>
  </w:p>
  <w:p w14:paraId="3249469E" w14:textId="77777777" w:rsidR="00F10E58" w:rsidRDefault="00F10E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2A90" w14:textId="11EC9100" w:rsidR="00F10E58" w:rsidRDefault="00F10E5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979F" w14:textId="3558DB28" w:rsidR="00F10E58" w:rsidRDefault="00F10E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8581" w14:textId="6F54C734" w:rsidR="00D34326" w:rsidRDefault="00D34326" w:rsidP="0029535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98FF" w14:textId="5E590F16" w:rsidR="00D34326" w:rsidRPr="008E1575" w:rsidRDefault="00D34326" w:rsidP="008E15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F0C7" w14:textId="77777777" w:rsidR="00D34326" w:rsidRPr="004B2B34" w:rsidRDefault="00D34326" w:rsidP="004B2B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071B" w14:textId="77777777" w:rsidR="004B2B34" w:rsidRDefault="004B2B34" w:rsidP="0029535E">
    <w:r>
      <w:rPr>
        <w:rFonts w:ascii="Arial Nova" w:hAnsi="Arial Nova"/>
        <w:color w:val="BFBFBF" w:themeColor="background1" w:themeShade="BF"/>
        <w:sz w:val="28"/>
        <w:szCs w:val="28"/>
      </w:rPr>
      <w:t>Message from the Director-General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C0CF0C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862C3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714FF8"/>
    <w:multiLevelType w:val="hybridMultilevel"/>
    <w:tmpl w:val="4000B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1A063A"/>
    <w:multiLevelType w:val="hybridMultilevel"/>
    <w:tmpl w:val="DC96288A"/>
    <w:lvl w:ilvl="0" w:tplc="9684CBD2">
      <w:start w:val="1"/>
      <w:numFmt w:val="decimal"/>
      <w:lvlText w:val="%1."/>
      <w:lvlJc w:val="left"/>
      <w:pPr>
        <w:ind w:left="720" w:hanging="360"/>
      </w:pPr>
      <w:rPr>
        <w:rFonts w:eastAsiaTheme="minorHAnsi" w:cstheme="minorBid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906AC1"/>
    <w:multiLevelType w:val="hybridMultilevel"/>
    <w:tmpl w:val="195062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6A00E4"/>
    <w:multiLevelType w:val="hybridMultilevel"/>
    <w:tmpl w:val="894C9B0E"/>
    <w:lvl w:ilvl="0" w:tplc="02446508">
      <w:start w:val="1"/>
      <w:numFmt w:val="bullet"/>
      <w:lvlText w:val=""/>
      <w:lvlJc w:val="left"/>
      <w:pPr>
        <w:ind w:left="360" w:hanging="360"/>
      </w:pPr>
      <w:rPr>
        <w:rFonts w:ascii="Wingdings" w:hAnsi="Wingdings" w:hint="default"/>
      </w:rPr>
    </w:lvl>
    <w:lvl w:ilvl="1" w:tplc="B0F88E9C">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2D7B08"/>
    <w:multiLevelType w:val="hybridMultilevel"/>
    <w:tmpl w:val="CB96D59A"/>
    <w:lvl w:ilvl="0" w:tplc="0C090001">
      <w:start w:val="1"/>
      <w:numFmt w:val="bullet"/>
      <w:lvlText w:val=""/>
      <w:lvlJc w:val="left"/>
      <w:pPr>
        <w:ind w:left="720" w:hanging="360"/>
      </w:pPr>
      <w:rPr>
        <w:rFonts w:ascii="Symbol" w:hAnsi="Symbol" w:hint="default"/>
        <w:color w:val="000000" w:themeColor="tex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C82F63"/>
    <w:multiLevelType w:val="hybridMultilevel"/>
    <w:tmpl w:val="61880AEC"/>
    <w:lvl w:ilvl="0" w:tplc="404C3564">
      <w:start w:val="1"/>
      <w:numFmt w:val="bullet"/>
      <w:lvlText w:val="•"/>
      <w:lvlJc w:val="left"/>
      <w:pPr>
        <w:ind w:left="353" w:hanging="212"/>
      </w:pPr>
      <w:rPr>
        <w:rFonts w:ascii="Arial" w:eastAsia="Arial" w:hAnsi="Arial" w:hint="default"/>
        <w:color w:val="414042"/>
        <w:w w:val="100"/>
        <w:sz w:val="19"/>
        <w:szCs w:val="19"/>
      </w:rPr>
    </w:lvl>
    <w:lvl w:ilvl="1" w:tplc="BBBE1580">
      <w:start w:val="1"/>
      <w:numFmt w:val="bullet"/>
      <w:lvlText w:val="•"/>
      <w:lvlJc w:val="left"/>
      <w:pPr>
        <w:ind w:left="445" w:hanging="215"/>
      </w:pPr>
      <w:rPr>
        <w:rFonts w:ascii="Arial" w:eastAsia="Arial" w:hAnsi="Arial" w:hint="default"/>
        <w:color w:val="414042"/>
        <w:w w:val="100"/>
        <w:sz w:val="19"/>
        <w:szCs w:val="19"/>
      </w:rPr>
    </w:lvl>
    <w:lvl w:ilvl="2" w:tplc="2196DF72">
      <w:start w:val="1"/>
      <w:numFmt w:val="bullet"/>
      <w:lvlText w:val="•"/>
      <w:lvlJc w:val="left"/>
      <w:pPr>
        <w:ind w:left="758" w:hanging="215"/>
      </w:pPr>
      <w:rPr>
        <w:rFonts w:hint="default"/>
      </w:rPr>
    </w:lvl>
    <w:lvl w:ilvl="3" w:tplc="99665F1E">
      <w:start w:val="1"/>
      <w:numFmt w:val="bullet"/>
      <w:lvlText w:val="•"/>
      <w:lvlJc w:val="left"/>
      <w:pPr>
        <w:ind w:left="1077" w:hanging="215"/>
      </w:pPr>
      <w:rPr>
        <w:rFonts w:hint="default"/>
      </w:rPr>
    </w:lvl>
    <w:lvl w:ilvl="4" w:tplc="859C4336">
      <w:start w:val="1"/>
      <w:numFmt w:val="bullet"/>
      <w:lvlText w:val="•"/>
      <w:lvlJc w:val="left"/>
      <w:pPr>
        <w:ind w:left="1395" w:hanging="215"/>
      </w:pPr>
      <w:rPr>
        <w:rFonts w:hint="default"/>
      </w:rPr>
    </w:lvl>
    <w:lvl w:ilvl="5" w:tplc="C2E66B86">
      <w:start w:val="1"/>
      <w:numFmt w:val="bullet"/>
      <w:lvlText w:val="•"/>
      <w:lvlJc w:val="left"/>
      <w:pPr>
        <w:ind w:left="1714" w:hanging="215"/>
      </w:pPr>
      <w:rPr>
        <w:rFonts w:hint="default"/>
      </w:rPr>
    </w:lvl>
    <w:lvl w:ilvl="6" w:tplc="852AFF4C">
      <w:start w:val="1"/>
      <w:numFmt w:val="bullet"/>
      <w:lvlText w:val="•"/>
      <w:lvlJc w:val="left"/>
      <w:pPr>
        <w:ind w:left="2032" w:hanging="215"/>
      </w:pPr>
      <w:rPr>
        <w:rFonts w:hint="default"/>
      </w:rPr>
    </w:lvl>
    <w:lvl w:ilvl="7" w:tplc="8A2A123E">
      <w:start w:val="1"/>
      <w:numFmt w:val="bullet"/>
      <w:lvlText w:val="•"/>
      <w:lvlJc w:val="left"/>
      <w:pPr>
        <w:ind w:left="2351" w:hanging="215"/>
      </w:pPr>
      <w:rPr>
        <w:rFonts w:hint="default"/>
      </w:rPr>
    </w:lvl>
    <w:lvl w:ilvl="8" w:tplc="425C111E">
      <w:start w:val="1"/>
      <w:numFmt w:val="bullet"/>
      <w:lvlText w:val="•"/>
      <w:lvlJc w:val="left"/>
      <w:pPr>
        <w:ind w:left="2669" w:hanging="215"/>
      </w:pPr>
      <w:rPr>
        <w:rFonts w:hint="default"/>
      </w:rPr>
    </w:lvl>
  </w:abstractNum>
  <w:abstractNum w:abstractNumId="8" w15:restartNumberingAfterBreak="0">
    <w:nsid w:val="11A175B4"/>
    <w:multiLevelType w:val="hybridMultilevel"/>
    <w:tmpl w:val="4D9E0D8E"/>
    <w:lvl w:ilvl="0" w:tplc="B0F88E9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3625905"/>
    <w:multiLevelType w:val="hybridMultilevel"/>
    <w:tmpl w:val="DB560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82562"/>
    <w:multiLevelType w:val="hybridMultilevel"/>
    <w:tmpl w:val="D3809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164B53"/>
    <w:multiLevelType w:val="hybridMultilevel"/>
    <w:tmpl w:val="EAF4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F5CFD"/>
    <w:multiLevelType w:val="hybridMultilevel"/>
    <w:tmpl w:val="2EEED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353E5B"/>
    <w:multiLevelType w:val="hybridMultilevel"/>
    <w:tmpl w:val="AF8E5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700C83"/>
    <w:multiLevelType w:val="multilevel"/>
    <w:tmpl w:val="24C039E4"/>
    <w:lvl w:ilvl="0">
      <w:start w:val="1"/>
      <w:numFmt w:val="bullet"/>
      <w:lvlText w:val=""/>
      <w:lvlJc w:val="left"/>
      <w:pPr>
        <w:ind w:left="1815" w:hanging="397"/>
      </w:pPr>
      <w:rPr>
        <w:rFonts w:ascii="Symbol" w:hAnsi="Symbol" w:hint="default"/>
      </w:rPr>
    </w:lvl>
    <w:lvl w:ilvl="1">
      <w:start w:val="1"/>
      <w:numFmt w:val="bullet"/>
      <w:lvlText w:val="-"/>
      <w:lvlJc w:val="left"/>
      <w:pPr>
        <w:ind w:left="1815" w:hanging="397"/>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AC44E16"/>
    <w:multiLevelType w:val="hybridMultilevel"/>
    <w:tmpl w:val="811A58A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CD92B75"/>
    <w:multiLevelType w:val="hybridMultilevel"/>
    <w:tmpl w:val="0C8EFF10"/>
    <w:lvl w:ilvl="0" w:tplc="0C09000B">
      <w:start w:val="1"/>
      <w:numFmt w:val="bullet"/>
      <w:lvlText w:val=""/>
      <w:lvlJc w:val="left"/>
      <w:pPr>
        <w:ind w:left="360" w:hanging="360"/>
      </w:pPr>
      <w:rPr>
        <w:rFonts w:ascii="Wingdings" w:hAnsi="Wingdings" w:hint="default"/>
      </w:rPr>
    </w:lvl>
    <w:lvl w:ilvl="1" w:tplc="0C090001">
      <w:start w:val="1"/>
      <w:numFmt w:val="bullet"/>
      <w:lvlText w:val=""/>
      <w:lvlJc w:val="left"/>
      <w:pPr>
        <w:ind w:left="786"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767F35"/>
    <w:multiLevelType w:val="hybridMultilevel"/>
    <w:tmpl w:val="52341A1C"/>
    <w:lvl w:ilvl="0" w:tplc="B0F88E9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07126A2"/>
    <w:multiLevelType w:val="hybridMultilevel"/>
    <w:tmpl w:val="8F542EA2"/>
    <w:lvl w:ilvl="0" w:tplc="B0F88E9C">
      <w:numFmt w:val="bullet"/>
      <w:lvlText w:val="-"/>
      <w:lvlJc w:val="left"/>
      <w:pPr>
        <w:ind w:left="2520" w:hanging="360"/>
      </w:pPr>
      <w:rPr>
        <w:rFonts w:ascii="Calibri" w:eastAsiaTheme="minorHAnsi" w:hAnsi="Calibri" w:cs="Calibri" w:hint="default"/>
        <w:color w:val="000000" w:themeColor="text1"/>
        <w:sz w:val="22"/>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7A0A57"/>
    <w:multiLevelType w:val="hybridMultilevel"/>
    <w:tmpl w:val="9BC2CEE0"/>
    <w:lvl w:ilvl="0" w:tplc="EFC27EB0">
      <w:start w:val="1"/>
      <w:numFmt w:val="bullet"/>
      <w:pStyle w:val="ListParagraph"/>
      <w:lvlText w:val=""/>
      <w:lvlJc w:val="left"/>
      <w:pPr>
        <w:ind w:left="360"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8A310DE"/>
    <w:multiLevelType w:val="hybridMultilevel"/>
    <w:tmpl w:val="6C60171E"/>
    <w:lvl w:ilvl="0" w:tplc="8FB493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01182F"/>
    <w:multiLevelType w:val="hybridMultilevel"/>
    <w:tmpl w:val="EE889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87554C"/>
    <w:multiLevelType w:val="hybridMultilevel"/>
    <w:tmpl w:val="5F386974"/>
    <w:lvl w:ilvl="0" w:tplc="DEBEBFE2">
      <w:start w:val="1"/>
      <w:numFmt w:val="bullet"/>
      <w:lvlText w:val=""/>
      <w:lvlJc w:val="left"/>
      <w:pPr>
        <w:ind w:left="720" w:hanging="360"/>
      </w:pPr>
      <w:rPr>
        <w:rFonts w:ascii="Symbol" w:hAnsi="Symbol" w:hint="default"/>
      </w:rPr>
    </w:lvl>
    <w:lvl w:ilvl="1" w:tplc="DCF6646A">
      <w:start w:val="1"/>
      <w:numFmt w:val="bullet"/>
      <w:pStyle w:val="Sub-bulletpoints"/>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C77B8F"/>
    <w:multiLevelType w:val="hybridMultilevel"/>
    <w:tmpl w:val="E548A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757744"/>
    <w:multiLevelType w:val="hybridMultilevel"/>
    <w:tmpl w:val="857412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DC5C48"/>
    <w:multiLevelType w:val="multilevel"/>
    <w:tmpl w:val="994EBD40"/>
    <w:lvl w:ilvl="0">
      <w:start w:val="11"/>
      <w:numFmt w:val="decimal"/>
      <w:lvlText w:val="%1"/>
      <w:lvlJc w:val="left"/>
      <w:pPr>
        <w:ind w:left="618" w:hanging="509"/>
      </w:pPr>
      <w:rPr>
        <w:rFonts w:hint="default"/>
      </w:rPr>
    </w:lvl>
    <w:lvl w:ilvl="1">
      <w:start w:val="13"/>
      <w:numFmt w:val="decimal"/>
      <w:lvlText w:val="%1-%2"/>
      <w:lvlJc w:val="left"/>
      <w:pPr>
        <w:ind w:left="618" w:hanging="509"/>
      </w:pPr>
      <w:rPr>
        <w:rFonts w:ascii="Arial" w:eastAsia="Arial" w:hAnsi="Arial" w:hint="default"/>
        <w:color w:val="414042"/>
        <w:spacing w:val="-2"/>
        <w:w w:val="98"/>
        <w:sz w:val="19"/>
        <w:szCs w:val="19"/>
      </w:rPr>
    </w:lvl>
    <w:lvl w:ilvl="2">
      <w:start w:val="1"/>
      <w:numFmt w:val="bullet"/>
      <w:lvlText w:val="•"/>
      <w:lvlJc w:val="left"/>
      <w:pPr>
        <w:ind w:left="1077" w:hanging="212"/>
      </w:pPr>
      <w:rPr>
        <w:rFonts w:ascii="Arial" w:eastAsia="Arial" w:hAnsi="Arial" w:hint="default"/>
        <w:color w:val="414042"/>
        <w:w w:val="100"/>
        <w:sz w:val="19"/>
        <w:szCs w:val="19"/>
      </w:rPr>
    </w:lvl>
    <w:lvl w:ilvl="3">
      <w:start w:val="1"/>
      <w:numFmt w:val="bullet"/>
      <w:lvlText w:val="•"/>
      <w:lvlJc w:val="left"/>
      <w:pPr>
        <w:ind w:left="1552" w:hanging="212"/>
      </w:pPr>
      <w:rPr>
        <w:rFonts w:hint="default"/>
      </w:rPr>
    </w:lvl>
    <w:lvl w:ilvl="4">
      <w:start w:val="1"/>
      <w:numFmt w:val="bullet"/>
      <w:lvlText w:val="•"/>
      <w:lvlJc w:val="left"/>
      <w:pPr>
        <w:ind w:left="1788" w:hanging="212"/>
      </w:pPr>
      <w:rPr>
        <w:rFonts w:hint="default"/>
      </w:rPr>
    </w:lvl>
    <w:lvl w:ilvl="5">
      <w:start w:val="1"/>
      <w:numFmt w:val="bullet"/>
      <w:lvlText w:val="•"/>
      <w:lvlJc w:val="left"/>
      <w:pPr>
        <w:ind w:left="2024" w:hanging="212"/>
      </w:pPr>
      <w:rPr>
        <w:rFonts w:hint="default"/>
      </w:rPr>
    </w:lvl>
    <w:lvl w:ilvl="6">
      <w:start w:val="1"/>
      <w:numFmt w:val="bullet"/>
      <w:lvlText w:val="•"/>
      <w:lvlJc w:val="left"/>
      <w:pPr>
        <w:ind w:left="2260" w:hanging="212"/>
      </w:pPr>
      <w:rPr>
        <w:rFonts w:hint="default"/>
      </w:rPr>
    </w:lvl>
    <w:lvl w:ilvl="7">
      <w:start w:val="1"/>
      <w:numFmt w:val="bullet"/>
      <w:lvlText w:val="•"/>
      <w:lvlJc w:val="left"/>
      <w:pPr>
        <w:ind w:left="2497" w:hanging="212"/>
      </w:pPr>
      <w:rPr>
        <w:rFonts w:hint="default"/>
      </w:rPr>
    </w:lvl>
    <w:lvl w:ilvl="8">
      <w:start w:val="1"/>
      <w:numFmt w:val="bullet"/>
      <w:lvlText w:val="•"/>
      <w:lvlJc w:val="left"/>
      <w:pPr>
        <w:ind w:left="2733" w:hanging="212"/>
      </w:pPr>
      <w:rPr>
        <w:rFonts w:hint="default"/>
      </w:rPr>
    </w:lvl>
  </w:abstractNum>
  <w:abstractNum w:abstractNumId="27" w15:restartNumberingAfterBreak="0">
    <w:nsid w:val="477B7584"/>
    <w:multiLevelType w:val="hybridMultilevel"/>
    <w:tmpl w:val="EE061D0A"/>
    <w:lvl w:ilvl="0" w:tplc="B0F88E9C">
      <w:numFmt w:val="bullet"/>
      <w:lvlText w:val="-"/>
      <w:lvlJc w:val="left"/>
      <w:pPr>
        <w:ind w:left="720" w:hanging="360"/>
      </w:pPr>
      <w:rPr>
        <w:rFonts w:ascii="Calibri" w:eastAsiaTheme="minorHAnsi" w:hAnsi="Calibri" w:cs="Calibri" w:hint="default"/>
        <w:color w:val="000000" w:themeColor="text1"/>
        <w:sz w:val="22"/>
      </w:rPr>
    </w:lvl>
    <w:lvl w:ilvl="1" w:tplc="FFFFFFFF">
      <w:start w:val="1"/>
      <w:numFmt w:val="bullet"/>
      <w:lvlText w:val="o"/>
      <w:lvlJc w:val="left"/>
      <w:pPr>
        <w:ind w:left="1440" w:hanging="360"/>
      </w:pPr>
      <w:rPr>
        <w:rFonts w:ascii="Courier New" w:hAnsi="Courier New" w:cs="Courier New" w:hint="default"/>
      </w:rPr>
    </w:lvl>
    <w:lvl w:ilvl="2" w:tplc="8BB41FF0">
      <w:numFmt w:val="bullet"/>
      <w:lvlText w:val="•"/>
      <w:lvlJc w:val="left"/>
      <w:pPr>
        <w:ind w:left="2520" w:hanging="720"/>
      </w:pPr>
      <w:rPr>
        <w:rFonts w:ascii="Arial Nova Light" w:eastAsiaTheme="minorHAnsi" w:hAnsi="Arial Nova Light"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E90BC5"/>
    <w:multiLevelType w:val="hybridMultilevel"/>
    <w:tmpl w:val="860C00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B9552A7"/>
    <w:multiLevelType w:val="hybridMultilevel"/>
    <w:tmpl w:val="A28EC2FA"/>
    <w:name w:val="Bullets22"/>
    <w:lvl w:ilvl="0" w:tplc="AC8C1F78">
      <w:start w:val="1"/>
      <w:numFmt w:val="bullet"/>
      <w:lvlText w:val=""/>
      <w:lvlJc w:val="left"/>
      <w:pPr>
        <w:tabs>
          <w:tab w:val="num" w:pos="340"/>
        </w:tabs>
        <w:ind w:left="340" w:hanging="340"/>
      </w:pPr>
      <w:rPr>
        <w:rFonts w:ascii="Symbol" w:hAnsi="Symbol" w:hint="default"/>
        <w:color w:val="auto"/>
      </w:rPr>
    </w:lvl>
    <w:lvl w:ilvl="1" w:tplc="96547B90">
      <w:start w:val="1"/>
      <w:numFmt w:val="bullet"/>
      <w:lvlText w:val="–"/>
      <w:lvlJc w:val="left"/>
      <w:pPr>
        <w:tabs>
          <w:tab w:val="num" w:pos="680"/>
        </w:tabs>
        <w:ind w:left="680" w:hanging="340"/>
      </w:pPr>
      <w:rPr>
        <w:rFonts w:ascii="Arial" w:hAnsi="Arial" w:hint="default"/>
      </w:rPr>
    </w:lvl>
    <w:lvl w:ilvl="2" w:tplc="407C3D1E">
      <w:start w:val="1"/>
      <w:numFmt w:val="bullet"/>
      <w:lvlText w:val="◦"/>
      <w:lvlJc w:val="left"/>
      <w:pPr>
        <w:tabs>
          <w:tab w:val="num" w:pos="1021"/>
        </w:tabs>
        <w:ind w:left="1021" w:hanging="341"/>
      </w:pPr>
      <w:rPr>
        <w:rFonts w:ascii="Arial" w:hAnsi="Arial" w:hint="default"/>
      </w:rPr>
    </w:lvl>
    <w:lvl w:ilvl="3" w:tplc="03B2370C">
      <w:start w:val="1"/>
      <w:numFmt w:val="bullet"/>
      <w:lvlText w:val="▪"/>
      <w:lvlJc w:val="left"/>
      <w:pPr>
        <w:tabs>
          <w:tab w:val="num" w:pos="1361"/>
        </w:tabs>
        <w:ind w:left="1361" w:hanging="340"/>
      </w:pPr>
      <w:rPr>
        <w:rFonts w:ascii="Arial" w:hAnsi="Arial" w:hint="default"/>
      </w:rPr>
    </w:lvl>
    <w:lvl w:ilvl="4" w:tplc="1E9802CA">
      <w:start w:val="1"/>
      <w:numFmt w:val="bullet"/>
      <w:lvlText w:val="–"/>
      <w:lvlJc w:val="left"/>
      <w:pPr>
        <w:tabs>
          <w:tab w:val="num" w:pos="1701"/>
        </w:tabs>
        <w:ind w:left="1701" w:hanging="340"/>
      </w:pPr>
      <w:rPr>
        <w:rFonts w:ascii="Arial" w:hAnsi="Arial" w:hint="default"/>
      </w:rPr>
    </w:lvl>
    <w:lvl w:ilvl="5" w:tplc="7C568BBE">
      <w:start w:val="1"/>
      <w:numFmt w:val="none"/>
      <w:lvlText w:val=""/>
      <w:lvlJc w:val="left"/>
      <w:pPr>
        <w:tabs>
          <w:tab w:val="num" w:pos="2160"/>
        </w:tabs>
        <w:ind w:left="2160" w:hanging="360"/>
      </w:pPr>
      <w:rPr>
        <w:rFonts w:hint="default"/>
      </w:rPr>
    </w:lvl>
    <w:lvl w:ilvl="6" w:tplc="7B70E166">
      <w:start w:val="1"/>
      <w:numFmt w:val="none"/>
      <w:lvlText w:val=""/>
      <w:lvlJc w:val="left"/>
      <w:pPr>
        <w:tabs>
          <w:tab w:val="num" w:pos="2520"/>
        </w:tabs>
        <w:ind w:left="2520" w:hanging="360"/>
      </w:pPr>
      <w:rPr>
        <w:rFonts w:hint="default"/>
      </w:rPr>
    </w:lvl>
    <w:lvl w:ilvl="7" w:tplc="A5CE442A">
      <w:start w:val="1"/>
      <w:numFmt w:val="none"/>
      <w:lvlText w:val=""/>
      <w:lvlJc w:val="left"/>
      <w:pPr>
        <w:tabs>
          <w:tab w:val="num" w:pos="2880"/>
        </w:tabs>
        <w:ind w:left="2880" w:hanging="360"/>
      </w:pPr>
      <w:rPr>
        <w:rFonts w:hint="default"/>
      </w:rPr>
    </w:lvl>
    <w:lvl w:ilvl="8" w:tplc="6B5C1F60">
      <w:start w:val="1"/>
      <w:numFmt w:val="none"/>
      <w:lvlText w:val=""/>
      <w:lvlJc w:val="left"/>
      <w:pPr>
        <w:tabs>
          <w:tab w:val="num" w:pos="3240"/>
        </w:tabs>
        <w:ind w:left="3240" w:hanging="360"/>
      </w:pPr>
      <w:rPr>
        <w:rFonts w:hint="default"/>
      </w:rPr>
    </w:lvl>
  </w:abstractNum>
  <w:abstractNum w:abstractNumId="30" w15:restartNumberingAfterBreak="0">
    <w:nsid w:val="50EE6EA8"/>
    <w:multiLevelType w:val="hybridMultilevel"/>
    <w:tmpl w:val="F740EBC6"/>
    <w:lvl w:ilvl="0" w:tplc="DEBEBFE2">
      <w:start w:val="1"/>
      <w:numFmt w:val="bullet"/>
      <w:pStyle w:val="Bulletsround"/>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A79A27FE">
      <w:numFmt w:val="bullet"/>
      <w:lvlText w:val="•"/>
      <w:lvlJc w:val="left"/>
      <w:pPr>
        <w:ind w:left="2520" w:hanging="360"/>
      </w:pPr>
      <w:rPr>
        <w:rFonts w:ascii="Arial" w:eastAsiaTheme="minorHAnsi" w:hAnsi="Arial" w:cs="Aria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E619B2"/>
    <w:multiLevelType w:val="hybridMultilevel"/>
    <w:tmpl w:val="401CD438"/>
    <w:lvl w:ilvl="0" w:tplc="B0F88E9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D875D3"/>
    <w:multiLevelType w:val="hybridMultilevel"/>
    <w:tmpl w:val="C36A57C4"/>
    <w:lvl w:ilvl="0" w:tplc="B0F88E9C">
      <w:numFmt w:val="bullet"/>
      <w:lvlText w:val="-"/>
      <w:lvlJc w:val="left"/>
      <w:pPr>
        <w:ind w:left="720" w:hanging="360"/>
      </w:pPr>
      <w:rPr>
        <w:rFonts w:ascii="Calibri" w:eastAsiaTheme="minorHAnsi" w:hAnsi="Calibri" w:cs="Calibri"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0C7652"/>
    <w:multiLevelType w:val="hybridMultilevel"/>
    <w:tmpl w:val="8522EE12"/>
    <w:styleLink w:val="Current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D57371"/>
    <w:multiLevelType w:val="hybridMultilevel"/>
    <w:tmpl w:val="0304EC56"/>
    <w:lvl w:ilvl="0" w:tplc="3A72B20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454FD6"/>
    <w:multiLevelType w:val="hybridMultilevel"/>
    <w:tmpl w:val="A54A9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761B8A"/>
    <w:multiLevelType w:val="hybridMultilevel"/>
    <w:tmpl w:val="65A01930"/>
    <w:lvl w:ilvl="0" w:tplc="0C090001">
      <w:start w:val="1"/>
      <w:numFmt w:val="bullet"/>
      <w:lvlText w:val=""/>
      <w:lvlJc w:val="left"/>
      <w:pPr>
        <w:ind w:left="360" w:hanging="360"/>
      </w:pPr>
      <w:rPr>
        <w:rFonts w:ascii="Symbol" w:hAnsi="Symbol" w:hint="default"/>
      </w:rPr>
    </w:lvl>
    <w:lvl w:ilvl="1" w:tplc="B0F88E9C">
      <w:numFmt w:val="bullet"/>
      <w:lvlText w:val="-"/>
      <w:lvlJc w:val="left"/>
      <w:pPr>
        <w:ind w:left="72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12F2227"/>
    <w:multiLevelType w:val="hybridMultilevel"/>
    <w:tmpl w:val="BF02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604DF3"/>
    <w:multiLevelType w:val="hybridMultilevel"/>
    <w:tmpl w:val="658044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2C43A03"/>
    <w:multiLevelType w:val="hybridMultilevel"/>
    <w:tmpl w:val="87368C3A"/>
    <w:lvl w:ilvl="0" w:tplc="2E0266A8">
      <w:start w:val="1"/>
      <w:numFmt w:val="bullet"/>
      <w:lvlText w:val=""/>
      <w:lvlJc w:val="left"/>
      <w:pPr>
        <w:ind w:left="1080" w:hanging="360"/>
      </w:pPr>
      <w:rPr>
        <w:rFonts w:ascii="Symbol" w:hAnsi="Symbol"/>
      </w:rPr>
    </w:lvl>
    <w:lvl w:ilvl="1" w:tplc="9ED86F40">
      <w:start w:val="1"/>
      <w:numFmt w:val="bullet"/>
      <w:lvlText w:val=""/>
      <w:lvlJc w:val="left"/>
      <w:pPr>
        <w:ind w:left="1080" w:hanging="360"/>
      </w:pPr>
      <w:rPr>
        <w:rFonts w:ascii="Symbol" w:hAnsi="Symbol"/>
      </w:rPr>
    </w:lvl>
    <w:lvl w:ilvl="2" w:tplc="686C5D66">
      <w:start w:val="1"/>
      <w:numFmt w:val="bullet"/>
      <w:lvlText w:val=""/>
      <w:lvlJc w:val="left"/>
      <w:pPr>
        <w:ind w:left="1080" w:hanging="360"/>
      </w:pPr>
      <w:rPr>
        <w:rFonts w:ascii="Symbol" w:hAnsi="Symbol"/>
      </w:rPr>
    </w:lvl>
    <w:lvl w:ilvl="3" w:tplc="7FC2C4DC">
      <w:start w:val="1"/>
      <w:numFmt w:val="bullet"/>
      <w:lvlText w:val=""/>
      <w:lvlJc w:val="left"/>
      <w:pPr>
        <w:ind w:left="1080" w:hanging="360"/>
      </w:pPr>
      <w:rPr>
        <w:rFonts w:ascii="Symbol" w:hAnsi="Symbol"/>
      </w:rPr>
    </w:lvl>
    <w:lvl w:ilvl="4" w:tplc="AA9233C4">
      <w:start w:val="1"/>
      <w:numFmt w:val="bullet"/>
      <w:lvlText w:val=""/>
      <w:lvlJc w:val="left"/>
      <w:pPr>
        <w:ind w:left="1080" w:hanging="360"/>
      </w:pPr>
      <w:rPr>
        <w:rFonts w:ascii="Symbol" w:hAnsi="Symbol"/>
      </w:rPr>
    </w:lvl>
    <w:lvl w:ilvl="5" w:tplc="679C4E58">
      <w:start w:val="1"/>
      <w:numFmt w:val="bullet"/>
      <w:lvlText w:val=""/>
      <w:lvlJc w:val="left"/>
      <w:pPr>
        <w:ind w:left="1080" w:hanging="360"/>
      </w:pPr>
      <w:rPr>
        <w:rFonts w:ascii="Symbol" w:hAnsi="Symbol"/>
      </w:rPr>
    </w:lvl>
    <w:lvl w:ilvl="6" w:tplc="F740E298">
      <w:start w:val="1"/>
      <w:numFmt w:val="bullet"/>
      <w:lvlText w:val=""/>
      <w:lvlJc w:val="left"/>
      <w:pPr>
        <w:ind w:left="1080" w:hanging="360"/>
      </w:pPr>
      <w:rPr>
        <w:rFonts w:ascii="Symbol" w:hAnsi="Symbol"/>
      </w:rPr>
    </w:lvl>
    <w:lvl w:ilvl="7" w:tplc="974CB8CC">
      <w:start w:val="1"/>
      <w:numFmt w:val="bullet"/>
      <w:lvlText w:val=""/>
      <w:lvlJc w:val="left"/>
      <w:pPr>
        <w:ind w:left="1080" w:hanging="360"/>
      </w:pPr>
      <w:rPr>
        <w:rFonts w:ascii="Symbol" w:hAnsi="Symbol"/>
      </w:rPr>
    </w:lvl>
    <w:lvl w:ilvl="8" w:tplc="174AC582">
      <w:start w:val="1"/>
      <w:numFmt w:val="bullet"/>
      <w:lvlText w:val=""/>
      <w:lvlJc w:val="left"/>
      <w:pPr>
        <w:ind w:left="1080" w:hanging="360"/>
      </w:pPr>
      <w:rPr>
        <w:rFonts w:ascii="Symbol" w:hAnsi="Symbol"/>
      </w:rPr>
    </w:lvl>
  </w:abstractNum>
  <w:abstractNum w:abstractNumId="40" w15:restartNumberingAfterBreak="0">
    <w:nsid w:val="64DA388F"/>
    <w:multiLevelType w:val="hybridMultilevel"/>
    <w:tmpl w:val="9794A494"/>
    <w:lvl w:ilvl="0" w:tplc="4AB225EE">
      <w:start w:val="1"/>
      <w:numFmt w:val="bullet"/>
      <w:pStyle w:val="TableListBullet2"/>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66FC0E07"/>
    <w:multiLevelType w:val="hybridMultilevel"/>
    <w:tmpl w:val="5D3C21F6"/>
    <w:lvl w:ilvl="0" w:tplc="1AB8621A">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42" w15:restartNumberingAfterBreak="0">
    <w:nsid w:val="67E2106F"/>
    <w:multiLevelType w:val="hybridMultilevel"/>
    <w:tmpl w:val="36B6586C"/>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720" w:hanging="360"/>
      </w:pPr>
      <w:rPr>
        <w:rFonts w:ascii="Symbol" w:hAnsi="Symbol" w:hint="default"/>
      </w:rPr>
    </w:lvl>
    <w:lvl w:ilvl="2" w:tplc="32B26364">
      <w:start w:val="1"/>
      <w:numFmt w:val="bullet"/>
      <w:lvlText w:val="-"/>
      <w:lvlJc w:val="left"/>
      <w:pPr>
        <w:ind w:left="1800" w:hanging="360"/>
      </w:pPr>
      <w:rPr>
        <w:rFonts w:ascii="Calibri" w:hAnsi="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F6F4659"/>
    <w:multiLevelType w:val="hybridMultilevel"/>
    <w:tmpl w:val="EB026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F6F4C08"/>
    <w:multiLevelType w:val="hybridMultilevel"/>
    <w:tmpl w:val="551A59A2"/>
    <w:lvl w:ilvl="0" w:tplc="8FB493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A22E33"/>
    <w:multiLevelType w:val="hybridMultilevel"/>
    <w:tmpl w:val="6AEC5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6D8213E"/>
    <w:multiLevelType w:val="hybridMultilevel"/>
    <w:tmpl w:val="0116266E"/>
    <w:lvl w:ilvl="0" w:tplc="B0F88E9C">
      <w:numFmt w:val="bullet"/>
      <w:lvlText w:val="-"/>
      <w:lvlJc w:val="left"/>
      <w:pPr>
        <w:ind w:left="2520" w:hanging="360"/>
      </w:pPr>
      <w:rPr>
        <w:rFonts w:ascii="Calibri" w:eastAsiaTheme="minorHAnsi" w:hAnsi="Calibri" w:cs="Calibri" w:hint="default"/>
        <w:color w:val="000000" w:themeColor="text1"/>
        <w:sz w:val="22"/>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16cid:durableId="1871458278">
    <w:abstractNumId w:val="30"/>
  </w:num>
  <w:num w:numId="2" w16cid:durableId="1357386559">
    <w:abstractNumId w:val="1"/>
  </w:num>
  <w:num w:numId="3" w16cid:durableId="451096025">
    <w:abstractNumId w:val="19"/>
  </w:num>
  <w:num w:numId="4" w16cid:durableId="1656033032">
    <w:abstractNumId w:val="0"/>
  </w:num>
  <w:num w:numId="5" w16cid:durableId="1100837396">
    <w:abstractNumId w:val="23"/>
  </w:num>
  <w:num w:numId="6" w16cid:durableId="1613515402">
    <w:abstractNumId w:val="40"/>
  </w:num>
  <w:num w:numId="7" w16cid:durableId="1725568774">
    <w:abstractNumId w:val="5"/>
  </w:num>
  <w:num w:numId="8" w16cid:durableId="1470397679">
    <w:abstractNumId w:val="41"/>
  </w:num>
  <w:num w:numId="9" w16cid:durableId="337467119">
    <w:abstractNumId w:val="2"/>
  </w:num>
  <w:num w:numId="10" w16cid:durableId="1052656745">
    <w:abstractNumId w:val="28"/>
  </w:num>
  <w:num w:numId="11" w16cid:durableId="1015229970">
    <w:abstractNumId w:val="45"/>
  </w:num>
  <w:num w:numId="12" w16cid:durableId="1124932514">
    <w:abstractNumId w:val="20"/>
  </w:num>
  <w:num w:numId="13" w16cid:durableId="2041778401">
    <w:abstractNumId w:val="15"/>
  </w:num>
  <w:num w:numId="14" w16cid:durableId="1535194523">
    <w:abstractNumId w:val="34"/>
  </w:num>
  <w:num w:numId="15" w16cid:durableId="1193497501">
    <w:abstractNumId w:val="25"/>
  </w:num>
  <w:num w:numId="16" w16cid:durableId="1832285189">
    <w:abstractNumId w:val="13"/>
  </w:num>
  <w:num w:numId="17" w16cid:durableId="1658072737">
    <w:abstractNumId w:val="33"/>
  </w:num>
  <w:num w:numId="18" w16cid:durableId="765806028">
    <w:abstractNumId w:val="35"/>
  </w:num>
  <w:num w:numId="19" w16cid:durableId="931284905">
    <w:abstractNumId w:val="37"/>
  </w:num>
  <w:num w:numId="20" w16cid:durableId="2087146962">
    <w:abstractNumId w:val="8"/>
  </w:num>
  <w:num w:numId="21" w16cid:durableId="325668213">
    <w:abstractNumId w:val="36"/>
  </w:num>
  <w:num w:numId="22" w16cid:durableId="1032147125">
    <w:abstractNumId w:val="31"/>
  </w:num>
  <w:num w:numId="23" w16cid:durableId="1784839433">
    <w:abstractNumId w:val="17"/>
  </w:num>
  <w:num w:numId="24" w16cid:durableId="699087765">
    <w:abstractNumId w:val="10"/>
  </w:num>
  <w:num w:numId="25" w16cid:durableId="686832782">
    <w:abstractNumId w:val="24"/>
  </w:num>
  <w:num w:numId="26" w16cid:durableId="418792681">
    <w:abstractNumId w:val="16"/>
  </w:num>
  <w:num w:numId="27" w16cid:durableId="1912499556">
    <w:abstractNumId w:val="42"/>
  </w:num>
  <w:num w:numId="28" w16cid:durableId="1571504075">
    <w:abstractNumId w:val="14"/>
  </w:num>
  <w:num w:numId="29" w16cid:durableId="669332538">
    <w:abstractNumId w:val="27"/>
  </w:num>
  <w:num w:numId="30" w16cid:durableId="2137332122">
    <w:abstractNumId w:val="38"/>
  </w:num>
  <w:num w:numId="31" w16cid:durableId="1194609281">
    <w:abstractNumId w:val="20"/>
  </w:num>
  <w:num w:numId="32" w16cid:durableId="1491479045">
    <w:abstractNumId w:val="39"/>
  </w:num>
  <w:num w:numId="33" w16cid:durableId="2112554790">
    <w:abstractNumId w:val="43"/>
  </w:num>
  <w:num w:numId="34" w16cid:durableId="83690337">
    <w:abstractNumId w:val="3"/>
  </w:num>
  <w:num w:numId="35" w16cid:durableId="2042854418">
    <w:abstractNumId w:val="26"/>
  </w:num>
  <w:num w:numId="36" w16cid:durableId="2092502605">
    <w:abstractNumId w:val="7"/>
  </w:num>
  <w:num w:numId="37" w16cid:durableId="254242500">
    <w:abstractNumId w:val="11"/>
  </w:num>
  <w:num w:numId="38" w16cid:durableId="916287592">
    <w:abstractNumId w:val="9"/>
  </w:num>
  <w:num w:numId="39" w16cid:durableId="679627463">
    <w:abstractNumId w:val="46"/>
  </w:num>
  <w:num w:numId="40" w16cid:durableId="488523764">
    <w:abstractNumId w:val="18"/>
  </w:num>
  <w:num w:numId="41" w16cid:durableId="399523285">
    <w:abstractNumId w:val="32"/>
  </w:num>
  <w:num w:numId="42" w16cid:durableId="1203129644">
    <w:abstractNumId w:val="6"/>
  </w:num>
  <w:num w:numId="43" w16cid:durableId="428282668">
    <w:abstractNumId w:val="12"/>
  </w:num>
  <w:num w:numId="44" w16cid:durableId="1694183510">
    <w:abstractNumId w:val="4"/>
  </w:num>
  <w:num w:numId="45" w16cid:durableId="1742023448">
    <w:abstractNumId w:val="44"/>
  </w:num>
  <w:num w:numId="46" w16cid:durableId="1653412916">
    <w:abstractNumId w:val="22"/>
  </w:num>
  <w:num w:numId="47" w16cid:durableId="52883629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00ED"/>
    <w:rsid w:val="00000103"/>
    <w:rsid w:val="000001C8"/>
    <w:rsid w:val="000001EE"/>
    <w:rsid w:val="000004E6"/>
    <w:rsid w:val="0000059F"/>
    <w:rsid w:val="00000639"/>
    <w:rsid w:val="00000773"/>
    <w:rsid w:val="000009EF"/>
    <w:rsid w:val="00000A26"/>
    <w:rsid w:val="00000AF4"/>
    <w:rsid w:val="00000C1E"/>
    <w:rsid w:val="00000D7C"/>
    <w:rsid w:val="00000DF2"/>
    <w:rsid w:val="00000F72"/>
    <w:rsid w:val="00000FD9"/>
    <w:rsid w:val="0000113B"/>
    <w:rsid w:val="000011CA"/>
    <w:rsid w:val="000012CC"/>
    <w:rsid w:val="00001401"/>
    <w:rsid w:val="00001858"/>
    <w:rsid w:val="0000188B"/>
    <w:rsid w:val="00001956"/>
    <w:rsid w:val="00001A09"/>
    <w:rsid w:val="00001A90"/>
    <w:rsid w:val="00001D68"/>
    <w:rsid w:val="00001DB5"/>
    <w:rsid w:val="00001EC8"/>
    <w:rsid w:val="00002391"/>
    <w:rsid w:val="000026ED"/>
    <w:rsid w:val="000027BE"/>
    <w:rsid w:val="00002866"/>
    <w:rsid w:val="0000298D"/>
    <w:rsid w:val="00002A38"/>
    <w:rsid w:val="00002BEE"/>
    <w:rsid w:val="00002D05"/>
    <w:rsid w:val="00002F82"/>
    <w:rsid w:val="000030C7"/>
    <w:rsid w:val="00003324"/>
    <w:rsid w:val="00003464"/>
    <w:rsid w:val="000036A2"/>
    <w:rsid w:val="0000373A"/>
    <w:rsid w:val="00003923"/>
    <w:rsid w:val="00003A32"/>
    <w:rsid w:val="00003BD0"/>
    <w:rsid w:val="00003DB7"/>
    <w:rsid w:val="000040B9"/>
    <w:rsid w:val="000040F8"/>
    <w:rsid w:val="0000413E"/>
    <w:rsid w:val="0000437B"/>
    <w:rsid w:val="000044DF"/>
    <w:rsid w:val="000045D9"/>
    <w:rsid w:val="00004832"/>
    <w:rsid w:val="00004835"/>
    <w:rsid w:val="00004B78"/>
    <w:rsid w:val="00004B89"/>
    <w:rsid w:val="00004BFC"/>
    <w:rsid w:val="00004C5F"/>
    <w:rsid w:val="00004CD0"/>
    <w:rsid w:val="00004F65"/>
    <w:rsid w:val="00005161"/>
    <w:rsid w:val="00005413"/>
    <w:rsid w:val="000054E8"/>
    <w:rsid w:val="000055A7"/>
    <w:rsid w:val="0000560F"/>
    <w:rsid w:val="00005840"/>
    <w:rsid w:val="0000585A"/>
    <w:rsid w:val="00005925"/>
    <w:rsid w:val="00005951"/>
    <w:rsid w:val="00005A66"/>
    <w:rsid w:val="00005B66"/>
    <w:rsid w:val="00005CDE"/>
    <w:rsid w:val="00005DB4"/>
    <w:rsid w:val="00005E08"/>
    <w:rsid w:val="000062AE"/>
    <w:rsid w:val="000063FE"/>
    <w:rsid w:val="00006434"/>
    <w:rsid w:val="0000682E"/>
    <w:rsid w:val="0000694B"/>
    <w:rsid w:val="00006A59"/>
    <w:rsid w:val="00006CCA"/>
    <w:rsid w:val="00006F7A"/>
    <w:rsid w:val="0000708E"/>
    <w:rsid w:val="000077A6"/>
    <w:rsid w:val="000077B8"/>
    <w:rsid w:val="000078B8"/>
    <w:rsid w:val="000079BC"/>
    <w:rsid w:val="00007A98"/>
    <w:rsid w:val="00007AED"/>
    <w:rsid w:val="00007BCD"/>
    <w:rsid w:val="00007EB6"/>
    <w:rsid w:val="00007EC7"/>
    <w:rsid w:val="00010172"/>
    <w:rsid w:val="0001027B"/>
    <w:rsid w:val="0001046B"/>
    <w:rsid w:val="0001087E"/>
    <w:rsid w:val="000108FB"/>
    <w:rsid w:val="00010A28"/>
    <w:rsid w:val="00010A60"/>
    <w:rsid w:val="00010C5E"/>
    <w:rsid w:val="00010CE3"/>
    <w:rsid w:val="00010DA8"/>
    <w:rsid w:val="00011276"/>
    <w:rsid w:val="0001140D"/>
    <w:rsid w:val="0001146D"/>
    <w:rsid w:val="000117D2"/>
    <w:rsid w:val="000117E0"/>
    <w:rsid w:val="000117F2"/>
    <w:rsid w:val="0001186E"/>
    <w:rsid w:val="000118CB"/>
    <w:rsid w:val="0001196A"/>
    <w:rsid w:val="00011998"/>
    <w:rsid w:val="00011B3C"/>
    <w:rsid w:val="00011B62"/>
    <w:rsid w:val="00011F1A"/>
    <w:rsid w:val="000120A9"/>
    <w:rsid w:val="0001217F"/>
    <w:rsid w:val="00012182"/>
    <w:rsid w:val="00012304"/>
    <w:rsid w:val="0001231B"/>
    <w:rsid w:val="00012555"/>
    <w:rsid w:val="000127E8"/>
    <w:rsid w:val="00012945"/>
    <w:rsid w:val="00012976"/>
    <w:rsid w:val="000129CF"/>
    <w:rsid w:val="000129F0"/>
    <w:rsid w:val="00012AEF"/>
    <w:rsid w:val="00012C8D"/>
    <w:rsid w:val="00012E4E"/>
    <w:rsid w:val="00012E66"/>
    <w:rsid w:val="00013241"/>
    <w:rsid w:val="00013637"/>
    <w:rsid w:val="0001368F"/>
    <w:rsid w:val="000136B6"/>
    <w:rsid w:val="000136F5"/>
    <w:rsid w:val="00013A8B"/>
    <w:rsid w:val="00013A93"/>
    <w:rsid w:val="00013B34"/>
    <w:rsid w:val="000140EA"/>
    <w:rsid w:val="000140F8"/>
    <w:rsid w:val="00014425"/>
    <w:rsid w:val="000148A1"/>
    <w:rsid w:val="000148C1"/>
    <w:rsid w:val="000148FC"/>
    <w:rsid w:val="00014949"/>
    <w:rsid w:val="00014B19"/>
    <w:rsid w:val="00014F35"/>
    <w:rsid w:val="00014F5F"/>
    <w:rsid w:val="0001505F"/>
    <w:rsid w:val="00015084"/>
    <w:rsid w:val="000150F2"/>
    <w:rsid w:val="000153B6"/>
    <w:rsid w:val="000154F9"/>
    <w:rsid w:val="00015990"/>
    <w:rsid w:val="000159DB"/>
    <w:rsid w:val="00015ACF"/>
    <w:rsid w:val="00015B57"/>
    <w:rsid w:val="00015CF3"/>
    <w:rsid w:val="00015DBD"/>
    <w:rsid w:val="00015EB0"/>
    <w:rsid w:val="00015FC5"/>
    <w:rsid w:val="00016061"/>
    <w:rsid w:val="0001608E"/>
    <w:rsid w:val="00016577"/>
    <w:rsid w:val="00016621"/>
    <w:rsid w:val="00016670"/>
    <w:rsid w:val="000166E0"/>
    <w:rsid w:val="000166F9"/>
    <w:rsid w:val="000169A7"/>
    <w:rsid w:val="00016AE4"/>
    <w:rsid w:val="00016DCF"/>
    <w:rsid w:val="00016EFC"/>
    <w:rsid w:val="00016FA6"/>
    <w:rsid w:val="00017195"/>
    <w:rsid w:val="0001719A"/>
    <w:rsid w:val="00017471"/>
    <w:rsid w:val="000174A4"/>
    <w:rsid w:val="00017520"/>
    <w:rsid w:val="000178E1"/>
    <w:rsid w:val="00017A3D"/>
    <w:rsid w:val="00017AB0"/>
    <w:rsid w:val="00017AF7"/>
    <w:rsid w:val="00017B9C"/>
    <w:rsid w:val="00017D45"/>
    <w:rsid w:val="00017DA1"/>
    <w:rsid w:val="0001B8D2"/>
    <w:rsid w:val="00020108"/>
    <w:rsid w:val="00020115"/>
    <w:rsid w:val="000201A4"/>
    <w:rsid w:val="0002026D"/>
    <w:rsid w:val="0002054C"/>
    <w:rsid w:val="000205A1"/>
    <w:rsid w:val="0002062F"/>
    <w:rsid w:val="0002067C"/>
    <w:rsid w:val="0002068E"/>
    <w:rsid w:val="00020711"/>
    <w:rsid w:val="00020A52"/>
    <w:rsid w:val="00020AE3"/>
    <w:rsid w:val="00020C2E"/>
    <w:rsid w:val="00020C9A"/>
    <w:rsid w:val="00020E75"/>
    <w:rsid w:val="00020F04"/>
    <w:rsid w:val="00021007"/>
    <w:rsid w:val="00021073"/>
    <w:rsid w:val="00021195"/>
    <w:rsid w:val="0002134D"/>
    <w:rsid w:val="000217A0"/>
    <w:rsid w:val="000217BC"/>
    <w:rsid w:val="000219ED"/>
    <w:rsid w:val="00021B8E"/>
    <w:rsid w:val="00021D4E"/>
    <w:rsid w:val="00021DFB"/>
    <w:rsid w:val="00021E41"/>
    <w:rsid w:val="00021FA7"/>
    <w:rsid w:val="0002202D"/>
    <w:rsid w:val="000220E6"/>
    <w:rsid w:val="000222E4"/>
    <w:rsid w:val="00022456"/>
    <w:rsid w:val="0002246A"/>
    <w:rsid w:val="000224C6"/>
    <w:rsid w:val="00022A47"/>
    <w:rsid w:val="00022B87"/>
    <w:rsid w:val="00022D53"/>
    <w:rsid w:val="00022D65"/>
    <w:rsid w:val="00022F47"/>
    <w:rsid w:val="0002358B"/>
    <w:rsid w:val="0002362D"/>
    <w:rsid w:val="000236B0"/>
    <w:rsid w:val="00023A44"/>
    <w:rsid w:val="00023B2C"/>
    <w:rsid w:val="00023DC6"/>
    <w:rsid w:val="00023DE6"/>
    <w:rsid w:val="00023E60"/>
    <w:rsid w:val="00023F6E"/>
    <w:rsid w:val="0002410C"/>
    <w:rsid w:val="0002425F"/>
    <w:rsid w:val="000242A6"/>
    <w:rsid w:val="000242BC"/>
    <w:rsid w:val="00024311"/>
    <w:rsid w:val="00024370"/>
    <w:rsid w:val="00024500"/>
    <w:rsid w:val="0002458D"/>
    <w:rsid w:val="000245DD"/>
    <w:rsid w:val="00024ABC"/>
    <w:rsid w:val="00024B44"/>
    <w:rsid w:val="00024BAB"/>
    <w:rsid w:val="00024C0D"/>
    <w:rsid w:val="00024D3B"/>
    <w:rsid w:val="000250BE"/>
    <w:rsid w:val="000250FE"/>
    <w:rsid w:val="00025319"/>
    <w:rsid w:val="00025526"/>
    <w:rsid w:val="00025669"/>
    <w:rsid w:val="0002566A"/>
    <w:rsid w:val="00025788"/>
    <w:rsid w:val="00025A86"/>
    <w:rsid w:val="00025DB7"/>
    <w:rsid w:val="00025DCE"/>
    <w:rsid w:val="000260A6"/>
    <w:rsid w:val="0002633B"/>
    <w:rsid w:val="0002647F"/>
    <w:rsid w:val="000265BA"/>
    <w:rsid w:val="00026A40"/>
    <w:rsid w:val="000271C1"/>
    <w:rsid w:val="00027355"/>
    <w:rsid w:val="00027572"/>
    <w:rsid w:val="00027739"/>
    <w:rsid w:val="000278F8"/>
    <w:rsid w:val="00027938"/>
    <w:rsid w:val="00027A03"/>
    <w:rsid w:val="00027A09"/>
    <w:rsid w:val="00027F42"/>
    <w:rsid w:val="000300C2"/>
    <w:rsid w:val="00030181"/>
    <w:rsid w:val="0003050F"/>
    <w:rsid w:val="00030610"/>
    <w:rsid w:val="00030796"/>
    <w:rsid w:val="000307FF"/>
    <w:rsid w:val="00030A9A"/>
    <w:rsid w:val="00030AEA"/>
    <w:rsid w:val="00030C5E"/>
    <w:rsid w:val="00030CBF"/>
    <w:rsid w:val="00030E5F"/>
    <w:rsid w:val="00031017"/>
    <w:rsid w:val="000311BB"/>
    <w:rsid w:val="000311F6"/>
    <w:rsid w:val="0003131E"/>
    <w:rsid w:val="000313DD"/>
    <w:rsid w:val="000316C0"/>
    <w:rsid w:val="0003172D"/>
    <w:rsid w:val="00031A55"/>
    <w:rsid w:val="00031AD5"/>
    <w:rsid w:val="00031BF7"/>
    <w:rsid w:val="00031C04"/>
    <w:rsid w:val="00031D22"/>
    <w:rsid w:val="00031E53"/>
    <w:rsid w:val="00031E58"/>
    <w:rsid w:val="00031E8C"/>
    <w:rsid w:val="00031EB0"/>
    <w:rsid w:val="00031F4A"/>
    <w:rsid w:val="00031FA2"/>
    <w:rsid w:val="00031FAD"/>
    <w:rsid w:val="00031FB8"/>
    <w:rsid w:val="0003205B"/>
    <w:rsid w:val="000321BF"/>
    <w:rsid w:val="000321C8"/>
    <w:rsid w:val="000322C0"/>
    <w:rsid w:val="00032318"/>
    <w:rsid w:val="00032430"/>
    <w:rsid w:val="0003253F"/>
    <w:rsid w:val="00032549"/>
    <w:rsid w:val="00032785"/>
    <w:rsid w:val="0003279F"/>
    <w:rsid w:val="000327EB"/>
    <w:rsid w:val="000329A5"/>
    <w:rsid w:val="000329B3"/>
    <w:rsid w:val="000329C4"/>
    <w:rsid w:val="00032F0B"/>
    <w:rsid w:val="00032FD1"/>
    <w:rsid w:val="00032FE4"/>
    <w:rsid w:val="0003340D"/>
    <w:rsid w:val="0003360D"/>
    <w:rsid w:val="0003369D"/>
    <w:rsid w:val="00033779"/>
    <w:rsid w:val="000338D3"/>
    <w:rsid w:val="00033B96"/>
    <w:rsid w:val="00033D66"/>
    <w:rsid w:val="00033F70"/>
    <w:rsid w:val="0003418F"/>
    <w:rsid w:val="00034265"/>
    <w:rsid w:val="000342EB"/>
    <w:rsid w:val="00034488"/>
    <w:rsid w:val="00034AE9"/>
    <w:rsid w:val="00034B39"/>
    <w:rsid w:val="00034C99"/>
    <w:rsid w:val="00034E47"/>
    <w:rsid w:val="00034E63"/>
    <w:rsid w:val="00034F35"/>
    <w:rsid w:val="000350B1"/>
    <w:rsid w:val="000353B7"/>
    <w:rsid w:val="0003597E"/>
    <w:rsid w:val="00035A1B"/>
    <w:rsid w:val="00035C6A"/>
    <w:rsid w:val="00035CD7"/>
    <w:rsid w:val="00035CF3"/>
    <w:rsid w:val="00035DB5"/>
    <w:rsid w:val="00035E4E"/>
    <w:rsid w:val="00035FCB"/>
    <w:rsid w:val="0003617C"/>
    <w:rsid w:val="00036210"/>
    <w:rsid w:val="000362D8"/>
    <w:rsid w:val="00036356"/>
    <w:rsid w:val="000363A3"/>
    <w:rsid w:val="00036544"/>
    <w:rsid w:val="0003676E"/>
    <w:rsid w:val="00036847"/>
    <w:rsid w:val="00036B5F"/>
    <w:rsid w:val="00036C1C"/>
    <w:rsid w:val="00036CCB"/>
    <w:rsid w:val="00036CDA"/>
    <w:rsid w:val="00036D8D"/>
    <w:rsid w:val="00036E70"/>
    <w:rsid w:val="00036FF2"/>
    <w:rsid w:val="000371BF"/>
    <w:rsid w:val="00037364"/>
    <w:rsid w:val="00037529"/>
    <w:rsid w:val="000375BD"/>
    <w:rsid w:val="00037740"/>
    <w:rsid w:val="00037745"/>
    <w:rsid w:val="00037AFB"/>
    <w:rsid w:val="00037D7F"/>
    <w:rsid w:val="00037E6E"/>
    <w:rsid w:val="00037FE5"/>
    <w:rsid w:val="000381A7"/>
    <w:rsid w:val="0003D333"/>
    <w:rsid w:val="00040047"/>
    <w:rsid w:val="0004009E"/>
    <w:rsid w:val="00040129"/>
    <w:rsid w:val="000401B7"/>
    <w:rsid w:val="0004053D"/>
    <w:rsid w:val="00040788"/>
    <w:rsid w:val="0004093C"/>
    <w:rsid w:val="00040952"/>
    <w:rsid w:val="00040FBF"/>
    <w:rsid w:val="00041143"/>
    <w:rsid w:val="000413F3"/>
    <w:rsid w:val="000414C5"/>
    <w:rsid w:val="000414DB"/>
    <w:rsid w:val="0004150E"/>
    <w:rsid w:val="00041516"/>
    <w:rsid w:val="000416CB"/>
    <w:rsid w:val="00041720"/>
    <w:rsid w:val="000418D5"/>
    <w:rsid w:val="00041A49"/>
    <w:rsid w:val="00041A91"/>
    <w:rsid w:val="00041D28"/>
    <w:rsid w:val="00041DB4"/>
    <w:rsid w:val="00041E3F"/>
    <w:rsid w:val="0004209A"/>
    <w:rsid w:val="000421CC"/>
    <w:rsid w:val="000422D3"/>
    <w:rsid w:val="00042371"/>
    <w:rsid w:val="00042540"/>
    <w:rsid w:val="00042672"/>
    <w:rsid w:val="00042976"/>
    <w:rsid w:val="0004298F"/>
    <w:rsid w:val="000429D9"/>
    <w:rsid w:val="00042ADC"/>
    <w:rsid w:val="00042B2E"/>
    <w:rsid w:val="00042B54"/>
    <w:rsid w:val="00042C0E"/>
    <w:rsid w:val="00042FD6"/>
    <w:rsid w:val="00043159"/>
    <w:rsid w:val="0004347A"/>
    <w:rsid w:val="0004356A"/>
    <w:rsid w:val="000435AF"/>
    <w:rsid w:val="000435E1"/>
    <w:rsid w:val="000436DD"/>
    <w:rsid w:val="000437E3"/>
    <w:rsid w:val="00043870"/>
    <w:rsid w:val="00043B26"/>
    <w:rsid w:val="00043B52"/>
    <w:rsid w:val="00043E8D"/>
    <w:rsid w:val="00043FBC"/>
    <w:rsid w:val="0004401A"/>
    <w:rsid w:val="000440AC"/>
    <w:rsid w:val="000440B9"/>
    <w:rsid w:val="00044110"/>
    <w:rsid w:val="0004416E"/>
    <w:rsid w:val="000441C3"/>
    <w:rsid w:val="000441D6"/>
    <w:rsid w:val="0004426C"/>
    <w:rsid w:val="0004430D"/>
    <w:rsid w:val="0004437B"/>
    <w:rsid w:val="0004437F"/>
    <w:rsid w:val="00044496"/>
    <w:rsid w:val="0004487D"/>
    <w:rsid w:val="00044892"/>
    <w:rsid w:val="000448EA"/>
    <w:rsid w:val="00044951"/>
    <w:rsid w:val="00044DF1"/>
    <w:rsid w:val="00044FF4"/>
    <w:rsid w:val="000450B5"/>
    <w:rsid w:val="000450E2"/>
    <w:rsid w:val="00045135"/>
    <w:rsid w:val="0004539A"/>
    <w:rsid w:val="0004544E"/>
    <w:rsid w:val="000454C9"/>
    <w:rsid w:val="00045521"/>
    <w:rsid w:val="000456A7"/>
    <w:rsid w:val="00045B5E"/>
    <w:rsid w:val="00045C14"/>
    <w:rsid w:val="00045CB9"/>
    <w:rsid w:val="00045D31"/>
    <w:rsid w:val="00045D94"/>
    <w:rsid w:val="00045DD0"/>
    <w:rsid w:val="000460B4"/>
    <w:rsid w:val="00046173"/>
    <w:rsid w:val="00046195"/>
    <w:rsid w:val="0004633B"/>
    <w:rsid w:val="000469A2"/>
    <w:rsid w:val="000469AA"/>
    <w:rsid w:val="00046EFD"/>
    <w:rsid w:val="000470EB"/>
    <w:rsid w:val="0004711E"/>
    <w:rsid w:val="00047120"/>
    <w:rsid w:val="000471C9"/>
    <w:rsid w:val="000472A9"/>
    <w:rsid w:val="0004761E"/>
    <w:rsid w:val="00047726"/>
    <w:rsid w:val="000478C0"/>
    <w:rsid w:val="0004791A"/>
    <w:rsid w:val="00047995"/>
    <w:rsid w:val="00047BB3"/>
    <w:rsid w:val="00047C31"/>
    <w:rsid w:val="00050266"/>
    <w:rsid w:val="000503E3"/>
    <w:rsid w:val="0005050B"/>
    <w:rsid w:val="000505CE"/>
    <w:rsid w:val="0005064F"/>
    <w:rsid w:val="00050889"/>
    <w:rsid w:val="000508F1"/>
    <w:rsid w:val="00050B6A"/>
    <w:rsid w:val="00050FAB"/>
    <w:rsid w:val="00050FBF"/>
    <w:rsid w:val="0005103A"/>
    <w:rsid w:val="00051073"/>
    <w:rsid w:val="00051111"/>
    <w:rsid w:val="00051388"/>
    <w:rsid w:val="00051803"/>
    <w:rsid w:val="0005183C"/>
    <w:rsid w:val="00051AA6"/>
    <w:rsid w:val="00051EA2"/>
    <w:rsid w:val="00051ED8"/>
    <w:rsid w:val="00052111"/>
    <w:rsid w:val="00052188"/>
    <w:rsid w:val="000522EC"/>
    <w:rsid w:val="00052330"/>
    <w:rsid w:val="00052474"/>
    <w:rsid w:val="0005267F"/>
    <w:rsid w:val="000527D6"/>
    <w:rsid w:val="00052804"/>
    <w:rsid w:val="00052829"/>
    <w:rsid w:val="00052868"/>
    <w:rsid w:val="0005296E"/>
    <w:rsid w:val="00052D77"/>
    <w:rsid w:val="00052D7D"/>
    <w:rsid w:val="00052E00"/>
    <w:rsid w:val="00052EE8"/>
    <w:rsid w:val="00052F06"/>
    <w:rsid w:val="000530CF"/>
    <w:rsid w:val="0005315C"/>
    <w:rsid w:val="0005323D"/>
    <w:rsid w:val="000532D4"/>
    <w:rsid w:val="00053784"/>
    <w:rsid w:val="0005386C"/>
    <w:rsid w:val="000538B6"/>
    <w:rsid w:val="000538E9"/>
    <w:rsid w:val="000539A4"/>
    <w:rsid w:val="00053BDA"/>
    <w:rsid w:val="00054005"/>
    <w:rsid w:val="0005405C"/>
    <w:rsid w:val="00054199"/>
    <w:rsid w:val="00054368"/>
    <w:rsid w:val="000546AA"/>
    <w:rsid w:val="0005486F"/>
    <w:rsid w:val="00054B09"/>
    <w:rsid w:val="00054B23"/>
    <w:rsid w:val="00054BEB"/>
    <w:rsid w:val="00054D7A"/>
    <w:rsid w:val="00054FC4"/>
    <w:rsid w:val="00055036"/>
    <w:rsid w:val="00055131"/>
    <w:rsid w:val="00055150"/>
    <w:rsid w:val="00055471"/>
    <w:rsid w:val="000554D4"/>
    <w:rsid w:val="00055565"/>
    <w:rsid w:val="0005558E"/>
    <w:rsid w:val="00055683"/>
    <w:rsid w:val="000556CB"/>
    <w:rsid w:val="000558E3"/>
    <w:rsid w:val="00055A0A"/>
    <w:rsid w:val="00055A58"/>
    <w:rsid w:val="00055C38"/>
    <w:rsid w:val="00055F25"/>
    <w:rsid w:val="00056113"/>
    <w:rsid w:val="00056176"/>
    <w:rsid w:val="000561A4"/>
    <w:rsid w:val="0005627D"/>
    <w:rsid w:val="00056325"/>
    <w:rsid w:val="000564C2"/>
    <w:rsid w:val="00056707"/>
    <w:rsid w:val="000567D5"/>
    <w:rsid w:val="0005689D"/>
    <w:rsid w:val="00056936"/>
    <w:rsid w:val="000569D2"/>
    <w:rsid w:val="000569EE"/>
    <w:rsid w:val="00056CC5"/>
    <w:rsid w:val="00056CFC"/>
    <w:rsid w:val="00056DEE"/>
    <w:rsid w:val="00056DF6"/>
    <w:rsid w:val="00056FEB"/>
    <w:rsid w:val="00057095"/>
    <w:rsid w:val="0005709E"/>
    <w:rsid w:val="000570D5"/>
    <w:rsid w:val="00057256"/>
    <w:rsid w:val="000572F4"/>
    <w:rsid w:val="00057399"/>
    <w:rsid w:val="000573C6"/>
    <w:rsid w:val="000574A9"/>
    <w:rsid w:val="00057674"/>
    <w:rsid w:val="000576A1"/>
    <w:rsid w:val="000577F9"/>
    <w:rsid w:val="00057892"/>
    <w:rsid w:val="0005789B"/>
    <w:rsid w:val="00057B3E"/>
    <w:rsid w:val="00057BCA"/>
    <w:rsid w:val="00057CBC"/>
    <w:rsid w:val="00057CF4"/>
    <w:rsid w:val="00057F87"/>
    <w:rsid w:val="00060118"/>
    <w:rsid w:val="00060166"/>
    <w:rsid w:val="000602A6"/>
    <w:rsid w:val="00060795"/>
    <w:rsid w:val="00060818"/>
    <w:rsid w:val="000608CC"/>
    <w:rsid w:val="00060903"/>
    <w:rsid w:val="00060B2B"/>
    <w:rsid w:val="00060B44"/>
    <w:rsid w:val="00060CA5"/>
    <w:rsid w:val="00060F52"/>
    <w:rsid w:val="00061005"/>
    <w:rsid w:val="00061053"/>
    <w:rsid w:val="00061687"/>
    <w:rsid w:val="00061954"/>
    <w:rsid w:val="00061A56"/>
    <w:rsid w:val="00061D07"/>
    <w:rsid w:val="00061E98"/>
    <w:rsid w:val="00061EDE"/>
    <w:rsid w:val="000621F3"/>
    <w:rsid w:val="0006237F"/>
    <w:rsid w:val="0006242F"/>
    <w:rsid w:val="00062496"/>
    <w:rsid w:val="000626DB"/>
    <w:rsid w:val="00062A13"/>
    <w:rsid w:val="00062EB5"/>
    <w:rsid w:val="0006302E"/>
    <w:rsid w:val="00063031"/>
    <w:rsid w:val="0006305B"/>
    <w:rsid w:val="000630CE"/>
    <w:rsid w:val="00063540"/>
    <w:rsid w:val="000635C4"/>
    <w:rsid w:val="0006371A"/>
    <w:rsid w:val="00063748"/>
    <w:rsid w:val="00063850"/>
    <w:rsid w:val="00063D16"/>
    <w:rsid w:val="00063DB6"/>
    <w:rsid w:val="00064058"/>
    <w:rsid w:val="00064076"/>
    <w:rsid w:val="000641DB"/>
    <w:rsid w:val="000643FA"/>
    <w:rsid w:val="000644FE"/>
    <w:rsid w:val="00064A20"/>
    <w:rsid w:val="00064A91"/>
    <w:rsid w:val="00064BD6"/>
    <w:rsid w:val="00064DA5"/>
    <w:rsid w:val="0006505D"/>
    <w:rsid w:val="000650EF"/>
    <w:rsid w:val="00065118"/>
    <w:rsid w:val="000651BC"/>
    <w:rsid w:val="000652E0"/>
    <w:rsid w:val="00065389"/>
    <w:rsid w:val="0006562C"/>
    <w:rsid w:val="000656D4"/>
    <w:rsid w:val="000657E9"/>
    <w:rsid w:val="000657FF"/>
    <w:rsid w:val="000658A8"/>
    <w:rsid w:val="0006590E"/>
    <w:rsid w:val="0006595E"/>
    <w:rsid w:val="00065C87"/>
    <w:rsid w:val="00065D2A"/>
    <w:rsid w:val="00065E74"/>
    <w:rsid w:val="00066148"/>
    <w:rsid w:val="00066318"/>
    <w:rsid w:val="00066450"/>
    <w:rsid w:val="000666B4"/>
    <w:rsid w:val="000668E6"/>
    <w:rsid w:val="00066AFD"/>
    <w:rsid w:val="00066BC6"/>
    <w:rsid w:val="00066F2E"/>
    <w:rsid w:val="00066F65"/>
    <w:rsid w:val="00066F75"/>
    <w:rsid w:val="0006714C"/>
    <w:rsid w:val="0006734A"/>
    <w:rsid w:val="00067419"/>
    <w:rsid w:val="000674AB"/>
    <w:rsid w:val="000677BE"/>
    <w:rsid w:val="000678CF"/>
    <w:rsid w:val="000679E9"/>
    <w:rsid w:val="00067BB7"/>
    <w:rsid w:val="00067BE2"/>
    <w:rsid w:val="00067ED7"/>
    <w:rsid w:val="00070109"/>
    <w:rsid w:val="000702C1"/>
    <w:rsid w:val="0007030A"/>
    <w:rsid w:val="000703E1"/>
    <w:rsid w:val="00070427"/>
    <w:rsid w:val="00070820"/>
    <w:rsid w:val="00070ADF"/>
    <w:rsid w:val="00070BE9"/>
    <w:rsid w:val="00070C97"/>
    <w:rsid w:val="00071233"/>
    <w:rsid w:val="00071234"/>
    <w:rsid w:val="00071300"/>
    <w:rsid w:val="0007136B"/>
    <w:rsid w:val="000713FE"/>
    <w:rsid w:val="000714FA"/>
    <w:rsid w:val="0007170F"/>
    <w:rsid w:val="000717C1"/>
    <w:rsid w:val="0007188E"/>
    <w:rsid w:val="0007196F"/>
    <w:rsid w:val="00071B64"/>
    <w:rsid w:val="00071B98"/>
    <w:rsid w:val="00071CD6"/>
    <w:rsid w:val="00071DD6"/>
    <w:rsid w:val="0007211D"/>
    <w:rsid w:val="00072541"/>
    <w:rsid w:val="00072622"/>
    <w:rsid w:val="00072638"/>
    <w:rsid w:val="00072646"/>
    <w:rsid w:val="00072B0A"/>
    <w:rsid w:val="00072B25"/>
    <w:rsid w:val="00072C0F"/>
    <w:rsid w:val="00072C6A"/>
    <w:rsid w:val="00072C93"/>
    <w:rsid w:val="00072E87"/>
    <w:rsid w:val="00072F46"/>
    <w:rsid w:val="000732C4"/>
    <w:rsid w:val="000733D9"/>
    <w:rsid w:val="0007344A"/>
    <w:rsid w:val="000735F4"/>
    <w:rsid w:val="0007364D"/>
    <w:rsid w:val="000737B7"/>
    <w:rsid w:val="000738FC"/>
    <w:rsid w:val="00073ABB"/>
    <w:rsid w:val="00073D24"/>
    <w:rsid w:val="00073D2B"/>
    <w:rsid w:val="00073F8D"/>
    <w:rsid w:val="00073FFE"/>
    <w:rsid w:val="000742D4"/>
    <w:rsid w:val="00074454"/>
    <w:rsid w:val="000744DD"/>
    <w:rsid w:val="000748FD"/>
    <w:rsid w:val="00074D2B"/>
    <w:rsid w:val="00074DAC"/>
    <w:rsid w:val="00074EE5"/>
    <w:rsid w:val="00074F02"/>
    <w:rsid w:val="00075066"/>
    <w:rsid w:val="00075901"/>
    <w:rsid w:val="00075908"/>
    <w:rsid w:val="0007591F"/>
    <w:rsid w:val="00075AA9"/>
    <w:rsid w:val="00075B77"/>
    <w:rsid w:val="00075D37"/>
    <w:rsid w:val="00075D73"/>
    <w:rsid w:val="00075FFB"/>
    <w:rsid w:val="0007607C"/>
    <w:rsid w:val="000762CB"/>
    <w:rsid w:val="00076500"/>
    <w:rsid w:val="000765A2"/>
    <w:rsid w:val="00076756"/>
    <w:rsid w:val="00076815"/>
    <w:rsid w:val="0007683E"/>
    <w:rsid w:val="00076989"/>
    <w:rsid w:val="00076A42"/>
    <w:rsid w:val="00076AC0"/>
    <w:rsid w:val="00076CF8"/>
    <w:rsid w:val="00076D8C"/>
    <w:rsid w:val="00076E8F"/>
    <w:rsid w:val="0007706E"/>
    <w:rsid w:val="000773AA"/>
    <w:rsid w:val="0007740F"/>
    <w:rsid w:val="00077530"/>
    <w:rsid w:val="00077724"/>
    <w:rsid w:val="00077737"/>
    <w:rsid w:val="000777EA"/>
    <w:rsid w:val="0007783E"/>
    <w:rsid w:val="00077A1D"/>
    <w:rsid w:val="00077A4C"/>
    <w:rsid w:val="00077B7A"/>
    <w:rsid w:val="00077BEF"/>
    <w:rsid w:val="00077F3D"/>
    <w:rsid w:val="00077F59"/>
    <w:rsid w:val="000800C5"/>
    <w:rsid w:val="000802AF"/>
    <w:rsid w:val="00080351"/>
    <w:rsid w:val="00080498"/>
    <w:rsid w:val="00080578"/>
    <w:rsid w:val="0008061A"/>
    <w:rsid w:val="00080757"/>
    <w:rsid w:val="000810F9"/>
    <w:rsid w:val="00081431"/>
    <w:rsid w:val="000817E9"/>
    <w:rsid w:val="000818CF"/>
    <w:rsid w:val="000818E4"/>
    <w:rsid w:val="00081906"/>
    <w:rsid w:val="0008199F"/>
    <w:rsid w:val="00081C33"/>
    <w:rsid w:val="00081C39"/>
    <w:rsid w:val="00081D0F"/>
    <w:rsid w:val="00081D4D"/>
    <w:rsid w:val="00081F0E"/>
    <w:rsid w:val="0008202B"/>
    <w:rsid w:val="00082279"/>
    <w:rsid w:val="00082392"/>
    <w:rsid w:val="0008250E"/>
    <w:rsid w:val="00082746"/>
    <w:rsid w:val="0008275B"/>
    <w:rsid w:val="000828C8"/>
    <w:rsid w:val="00082B3E"/>
    <w:rsid w:val="00082C05"/>
    <w:rsid w:val="00082C40"/>
    <w:rsid w:val="00082CBD"/>
    <w:rsid w:val="00082E42"/>
    <w:rsid w:val="00082F50"/>
    <w:rsid w:val="00082F77"/>
    <w:rsid w:val="00082FE5"/>
    <w:rsid w:val="00083008"/>
    <w:rsid w:val="00083120"/>
    <w:rsid w:val="00083130"/>
    <w:rsid w:val="00083324"/>
    <w:rsid w:val="000833B5"/>
    <w:rsid w:val="00083774"/>
    <w:rsid w:val="00083911"/>
    <w:rsid w:val="00083930"/>
    <w:rsid w:val="000839DE"/>
    <w:rsid w:val="00083ABB"/>
    <w:rsid w:val="00083B9C"/>
    <w:rsid w:val="00083CA4"/>
    <w:rsid w:val="0008420C"/>
    <w:rsid w:val="00084434"/>
    <w:rsid w:val="000845A9"/>
    <w:rsid w:val="00084721"/>
    <w:rsid w:val="0008491F"/>
    <w:rsid w:val="000849BA"/>
    <w:rsid w:val="00084A12"/>
    <w:rsid w:val="00084B09"/>
    <w:rsid w:val="00084BFF"/>
    <w:rsid w:val="00084D15"/>
    <w:rsid w:val="00084D91"/>
    <w:rsid w:val="00084ECF"/>
    <w:rsid w:val="00084F7F"/>
    <w:rsid w:val="00084FDC"/>
    <w:rsid w:val="0008501B"/>
    <w:rsid w:val="000851FC"/>
    <w:rsid w:val="000855E3"/>
    <w:rsid w:val="000856E2"/>
    <w:rsid w:val="0008595D"/>
    <w:rsid w:val="000859D0"/>
    <w:rsid w:val="00085C9F"/>
    <w:rsid w:val="00085E05"/>
    <w:rsid w:val="00085FEE"/>
    <w:rsid w:val="00086236"/>
    <w:rsid w:val="00086328"/>
    <w:rsid w:val="000865E9"/>
    <w:rsid w:val="00086641"/>
    <w:rsid w:val="00086669"/>
    <w:rsid w:val="000868AB"/>
    <w:rsid w:val="000868D7"/>
    <w:rsid w:val="000869DC"/>
    <w:rsid w:val="00086B6B"/>
    <w:rsid w:val="00086BF7"/>
    <w:rsid w:val="00086D11"/>
    <w:rsid w:val="00086D17"/>
    <w:rsid w:val="00086F23"/>
    <w:rsid w:val="000871F1"/>
    <w:rsid w:val="000873A0"/>
    <w:rsid w:val="000873C9"/>
    <w:rsid w:val="000873D8"/>
    <w:rsid w:val="00087475"/>
    <w:rsid w:val="000874A2"/>
    <w:rsid w:val="00087698"/>
    <w:rsid w:val="0008780A"/>
    <w:rsid w:val="00087954"/>
    <w:rsid w:val="0009034C"/>
    <w:rsid w:val="0009040B"/>
    <w:rsid w:val="0009055D"/>
    <w:rsid w:val="0009088C"/>
    <w:rsid w:val="00090929"/>
    <w:rsid w:val="0009095F"/>
    <w:rsid w:val="00090D86"/>
    <w:rsid w:val="00090FB8"/>
    <w:rsid w:val="00091228"/>
    <w:rsid w:val="00091399"/>
    <w:rsid w:val="0009146E"/>
    <w:rsid w:val="0009171D"/>
    <w:rsid w:val="00091D01"/>
    <w:rsid w:val="00091D86"/>
    <w:rsid w:val="00091FD0"/>
    <w:rsid w:val="00091FF7"/>
    <w:rsid w:val="0009211F"/>
    <w:rsid w:val="00092266"/>
    <w:rsid w:val="0009257C"/>
    <w:rsid w:val="00092858"/>
    <w:rsid w:val="000928FE"/>
    <w:rsid w:val="00092996"/>
    <w:rsid w:val="00092A9A"/>
    <w:rsid w:val="00092AD2"/>
    <w:rsid w:val="00092B82"/>
    <w:rsid w:val="00092DAA"/>
    <w:rsid w:val="00092E7D"/>
    <w:rsid w:val="00093116"/>
    <w:rsid w:val="0009349F"/>
    <w:rsid w:val="000934E6"/>
    <w:rsid w:val="0009357C"/>
    <w:rsid w:val="000935EC"/>
    <w:rsid w:val="00093782"/>
    <w:rsid w:val="00093793"/>
    <w:rsid w:val="00093D9B"/>
    <w:rsid w:val="00093E47"/>
    <w:rsid w:val="00094130"/>
    <w:rsid w:val="00094212"/>
    <w:rsid w:val="0009433C"/>
    <w:rsid w:val="0009447A"/>
    <w:rsid w:val="000947DB"/>
    <w:rsid w:val="00094848"/>
    <w:rsid w:val="00094851"/>
    <w:rsid w:val="0009492F"/>
    <w:rsid w:val="00094979"/>
    <w:rsid w:val="00094B55"/>
    <w:rsid w:val="00094BF7"/>
    <w:rsid w:val="00094D44"/>
    <w:rsid w:val="00094E58"/>
    <w:rsid w:val="00094E90"/>
    <w:rsid w:val="00094F8E"/>
    <w:rsid w:val="00095145"/>
    <w:rsid w:val="000952A0"/>
    <w:rsid w:val="0009557A"/>
    <w:rsid w:val="0009574E"/>
    <w:rsid w:val="000958C0"/>
    <w:rsid w:val="0009591F"/>
    <w:rsid w:val="000959FE"/>
    <w:rsid w:val="00095A55"/>
    <w:rsid w:val="00095B64"/>
    <w:rsid w:val="00095DA7"/>
    <w:rsid w:val="00095F20"/>
    <w:rsid w:val="000960D8"/>
    <w:rsid w:val="0009612A"/>
    <w:rsid w:val="00096263"/>
    <w:rsid w:val="0009662B"/>
    <w:rsid w:val="000967D0"/>
    <w:rsid w:val="000967F1"/>
    <w:rsid w:val="00096A2A"/>
    <w:rsid w:val="00096A30"/>
    <w:rsid w:val="00097180"/>
    <w:rsid w:val="00097251"/>
    <w:rsid w:val="00097262"/>
    <w:rsid w:val="00097535"/>
    <w:rsid w:val="0009760D"/>
    <w:rsid w:val="00097654"/>
    <w:rsid w:val="00097664"/>
    <w:rsid w:val="00097714"/>
    <w:rsid w:val="0009791C"/>
    <w:rsid w:val="00097C24"/>
    <w:rsid w:val="00097DF4"/>
    <w:rsid w:val="00097F47"/>
    <w:rsid w:val="000A0317"/>
    <w:rsid w:val="000A03FB"/>
    <w:rsid w:val="000A055E"/>
    <w:rsid w:val="000A08E6"/>
    <w:rsid w:val="000A0917"/>
    <w:rsid w:val="000A0B8C"/>
    <w:rsid w:val="000A0BE1"/>
    <w:rsid w:val="000A0C62"/>
    <w:rsid w:val="000A0ED6"/>
    <w:rsid w:val="000A0FF4"/>
    <w:rsid w:val="000A11A8"/>
    <w:rsid w:val="000A1215"/>
    <w:rsid w:val="000A122D"/>
    <w:rsid w:val="000A1292"/>
    <w:rsid w:val="000A1383"/>
    <w:rsid w:val="000A1420"/>
    <w:rsid w:val="000A14CD"/>
    <w:rsid w:val="000A162C"/>
    <w:rsid w:val="000A1721"/>
    <w:rsid w:val="000A17DA"/>
    <w:rsid w:val="000A17E7"/>
    <w:rsid w:val="000A1807"/>
    <w:rsid w:val="000A1B18"/>
    <w:rsid w:val="000A1CF1"/>
    <w:rsid w:val="000A1EE4"/>
    <w:rsid w:val="000A22C7"/>
    <w:rsid w:val="000A23B0"/>
    <w:rsid w:val="000A2417"/>
    <w:rsid w:val="000A245A"/>
    <w:rsid w:val="000A2650"/>
    <w:rsid w:val="000A2655"/>
    <w:rsid w:val="000A2875"/>
    <w:rsid w:val="000A28FB"/>
    <w:rsid w:val="000A2924"/>
    <w:rsid w:val="000A29FF"/>
    <w:rsid w:val="000A2CBC"/>
    <w:rsid w:val="000A2D66"/>
    <w:rsid w:val="000A2F3D"/>
    <w:rsid w:val="000A3059"/>
    <w:rsid w:val="000A30C5"/>
    <w:rsid w:val="000A30E6"/>
    <w:rsid w:val="000A32C7"/>
    <w:rsid w:val="000A3384"/>
    <w:rsid w:val="000A3452"/>
    <w:rsid w:val="000A34E7"/>
    <w:rsid w:val="000A35EA"/>
    <w:rsid w:val="000A3773"/>
    <w:rsid w:val="000A3806"/>
    <w:rsid w:val="000A3859"/>
    <w:rsid w:val="000A39D7"/>
    <w:rsid w:val="000A3A93"/>
    <w:rsid w:val="000A3DD2"/>
    <w:rsid w:val="000A3FB3"/>
    <w:rsid w:val="000A40CF"/>
    <w:rsid w:val="000A413D"/>
    <w:rsid w:val="000A4306"/>
    <w:rsid w:val="000A442C"/>
    <w:rsid w:val="000A4445"/>
    <w:rsid w:val="000A4472"/>
    <w:rsid w:val="000A49AE"/>
    <w:rsid w:val="000A4A25"/>
    <w:rsid w:val="000A4AE0"/>
    <w:rsid w:val="000A4DFE"/>
    <w:rsid w:val="000A4E8A"/>
    <w:rsid w:val="000A5120"/>
    <w:rsid w:val="000A51B9"/>
    <w:rsid w:val="000A54BA"/>
    <w:rsid w:val="000A54C3"/>
    <w:rsid w:val="000A55F1"/>
    <w:rsid w:val="000A5615"/>
    <w:rsid w:val="000A595B"/>
    <w:rsid w:val="000A5ACE"/>
    <w:rsid w:val="000A5BD4"/>
    <w:rsid w:val="000A5DEC"/>
    <w:rsid w:val="000A5E5C"/>
    <w:rsid w:val="000A5FA6"/>
    <w:rsid w:val="000A6168"/>
    <w:rsid w:val="000A61AB"/>
    <w:rsid w:val="000A6244"/>
    <w:rsid w:val="000A6606"/>
    <w:rsid w:val="000A6A66"/>
    <w:rsid w:val="000A6C99"/>
    <w:rsid w:val="000A6E84"/>
    <w:rsid w:val="000A70C9"/>
    <w:rsid w:val="000A71B5"/>
    <w:rsid w:val="000A71D5"/>
    <w:rsid w:val="000A743F"/>
    <w:rsid w:val="000A7516"/>
    <w:rsid w:val="000A7588"/>
    <w:rsid w:val="000A75F0"/>
    <w:rsid w:val="000A7635"/>
    <w:rsid w:val="000A76F5"/>
    <w:rsid w:val="000A776F"/>
    <w:rsid w:val="000A7A9A"/>
    <w:rsid w:val="000A7CF4"/>
    <w:rsid w:val="000A7DA1"/>
    <w:rsid w:val="000B06E1"/>
    <w:rsid w:val="000B0746"/>
    <w:rsid w:val="000B0D38"/>
    <w:rsid w:val="000B0E7A"/>
    <w:rsid w:val="000B1015"/>
    <w:rsid w:val="000B1138"/>
    <w:rsid w:val="000B11AB"/>
    <w:rsid w:val="000B12EE"/>
    <w:rsid w:val="000B14B1"/>
    <w:rsid w:val="000B1741"/>
    <w:rsid w:val="000B1A78"/>
    <w:rsid w:val="000B1B88"/>
    <w:rsid w:val="000B1D62"/>
    <w:rsid w:val="000B21B7"/>
    <w:rsid w:val="000B235B"/>
    <w:rsid w:val="000B268C"/>
    <w:rsid w:val="000B26F1"/>
    <w:rsid w:val="000B2704"/>
    <w:rsid w:val="000B276F"/>
    <w:rsid w:val="000B2777"/>
    <w:rsid w:val="000B2ABB"/>
    <w:rsid w:val="000B2B75"/>
    <w:rsid w:val="000B2E03"/>
    <w:rsid w:val="000B2E68"/>
    <w:rsid w:val="000B301E"/>
    <w:rsid w:val="000B3104"/>
    <w:rsid w:val="000B3186"/>
    <w:rsid w:val="000B3296"/>
    <w:rsid w:val="000B32C5"/>
    <w:rsid w:val="000B33FD"/>
    <w:rsid w:val="000B3483"/>
    <w:rsid w:val="000B3802"/>
    <w:rsid w:val="000B3A07"/>
    <w:rsid w:val="000B3C46"/>
    <w:rsid w:val="000B3EA1"/>
    <w:rsid w:val="000B402C"/>
    <w:rsid w:val="000B41A3"/>
    <w:rsid w:val="000B41A4"/>
    <w:rsid w:val="000B421F"/>
    <w:rsid w:val="000B4290"/>
    <w:rsid w:val="000B42B2"/>
    <w:rsid w:val="000B4438"/>
    <w:rsid w:val="000B44BE"/>
    <w:rsid w:val="000B4590"/>
    <w:rsid w:val="000B4803"/>
    <w:rsid w:val="000B4991"/>
    <w:rsid w:val="000B4ACC"/>
    <w:rsid w:val="000B4D64"/>
    <w:rsid w:val="000B4DAA"/>
    <w:rsid w:val="000B4E09"/>
    <w:rsid w:val="000B4ECD"/>
    <w:rsid w:val="000B4F9F"/>
    <w:rsid w:val="000B50D1"/>
    <w:rsid w:val="000B5225"/>
    <w:rsid w:val="000B524F"/>
    <w:rsid w:val="000B52AD"/>
    <w:rsid w:val="000B53D1"/>
    <w:rsid w:val="000B53DD"/>
    <w:rsid w:val="000B545E"/>
    <w:rsid w:val="000B555B"/>
    <w:rsid w:val="000B58DC"/>
    <w:rsid w:val="000B5C94"/>
    <w:rsid w:val="000B5DAB"/>
    <w:rsid w:val="000B5E76"/>
    <w:rsid w:val="000B6191"/>
    <w:rsid w:val="000B6242"/>
    <w:rsid w:val="000B63FA"/>
    <w:rsid w:val="000B6557"/>
    <w:rsid w:val="000B6A46"/>
    <w:rsid w:val="000B6C84"/>
    <w:rsid w:val="000B6E17"/>
    <w:rsid w:val="000B6EF8"/>
    <w:rsid w:val="000B72E1"/>
    <w:rsid w:val="000B7459"/>
    <w:rsid w:val="000B759B"/>
    <w:rsid w:val="000B76B2"/>
    <w:rsid w:val="000B7B9D"/>
    <w:rsid w:val="000B7C15"/>
    <w:rsid w:val="000B7DCD"/>
    <w:rsid w:val="000C0054"/>
    <w:rsid w:val="000C023C"/>
    <w:rsid w:val="000C027C"/>
    <w:rsid w:val="000C02BB"/>
    <w:rsid w:val="000C030D"/>
    <w:rsid w:val="000C04F5"/>
    <w:rsid w:val="000C063C"/>
    <w:rsid w:val="000C0641"/>
    <w:rsid w:val="000C0650"/>
    <w:rsid w:val="000C0968"/>
    <w:rsid w:val="000C0ABF"/>
    <w:rsid w:val="000C0C1F"/>
    <w:rsid w:val="000C1267"/>
    <w:rsid w:val="000C127B"/>
    <w:rsid w:val="000C130E"/>
    <w:rsid w:val="000C159C"/>
    <w:rsid w:val="000C1641"/>
    <w:rsid w:val="000C16E2"/>
    <w:rsid w:val="000C1738"/>
    <w:rsid w:val="000C1A2D"/>
    <w:rsid w:val="000C1C23"/>
    <w:rsid w:val="000C1CB8"/>
    <w:rsid w:val="000C1F34"/>
    <w:rsid w:val="000C1FC6"/>
    <w:rsid w:val="000C2462"/>
    <w:rsid w:val="000C256A"/>
    <w:rsid w:val="000C2585"/>
    <w:rsid w:val="000C25FC"/>
    <w:rsid w:val="000C29C4"/>
    <w:rsid w:val="000C2AAC"/>
    <w:rsid w:val="000C2BC4"/>
    <w:rsid w:val="000C2D1A"/>
    <w:rsid w:val="000C308F"/>
    <w:rsid w:val="000C3196"/>
    <w:rsid w:val="000C31AA"/>
    <w:rsid w:val="000C3367"/>
    <w:rsid w:val="000C348E"/>
    <w:rsid w:val="000C368D"/>
    <w:rsid w:val="000C38D3"/>
    <w:rsid w:val="000C3A00"/>
    <w:rsid w:val="000C3A0D"/>
    <w:rsid w:val="000C3A50"/>
    <w:rsid w:val="000C3ACE"/>
    <w:rsid w:val="000C3D69"/>
    <w:rsid w:val="000C3E7A"/>
    <w:rsid w:val="000C3F8D"/>
    <w:rsid w:val="000C4073"/>
    <w:rsid w:val="000C42F7"/>
    <w:rsid w:val="000C4435"/>
    <w:rsid w:val="000C447F"/>
    <w:rsid w:val="000C478E"/>
    <w:rsid w:val="000C47A5"/>
    <w:rsid w:val="000C481F"/>
    <w:rsid w:val="000C4825"/>
    <w:rsid w:val="000C4C26"/>
    <w:rsid w:val="000C4D63"/>
    <w:rsid w:val="000C4E4D"/>
    <w:rsid w:val="000C4EE1"/>
    <w:rsid w:val="000C5120"/>
    <w:rsid w:val="000C52CD"/>
    <w:rsid w:val="000C5378"/>
    <w:rsid w:val="000C5424"/>
    <w:rsid w:val="000C5456"/>
    <w:rsid w:val="000C5471"/>
    <w:rsid w:val="000C56D0"/>
    <w:rsid w:val="000C56F5"/>
    <w:rsid w:val="000C58DF"/>
    <w:rsid w:val="000C6100"/>
    <w:rsid w:val="000C61E3"/>
    <w:rsid w:val="000C6295"/>
    <w:rsid w:val="000C6402"/>
    <w:rsid w:val="000C668F"/>
    <w:rsid w:val="000C670D"/>
    <w:rsid w:val="000C6A14"/>
    <w:rsid w:val="000C6A73"/>
    <w:rsid w:val="000C6AE2"/>
    <w:rsid w:val="000C6C1B"/>
    <w:rsid w:val="000C6C4F"/>
    <w:rsid w:val="000C6EC5"/>
    <w:rsid w:val="000C6FA8"/>
    <w:rsid w:val="000C7046"/>
    <w:rsid w:val="000C7439"/>
    <w:rsid w:val="000C746F"/>
    <w:rsid w:val="000C757D"/>
    <w:rsid w:val="000C76DF"/>
    <w:rsid w:val="000C77E5"/>
    <w:rsid w:val="000C7857"/>
    <w:rsid w:val="000C7922"/>
    <w:rsid w:val="000C7C86"/>
    <w:rsid w:val="000C7E25"/>
    <w:rsid w:val="000C7EF8"/>
    <w:rsid w:val="000D007C"/>
    <w:rsid w:val="000D022D"/>
    <w:rsid w:val="000D034B"/>
    <w:rsid w:val="000D04D2"/>
    <w:rsid w:val="000D067E"/>
    <w:rsid w:val="000D0AB1"/>
    <w:rsid w:val="000D0BA4"/>
    <w:rsid w:val="000D0D31"/>
    <w:rsid w:val="000D13FB"/>
    <w:rsid w:val="000D1815"/>
    <w:rsid w:val="000D1934"/>
    <w:rsid w:val="000D196B"/>
    <w:rsid w:val="000D1D72"/>
    <w:rsid w:val="000D1F80"/>
    <w:rsid w:val="000D215E"/>
    <w:rsid w:val="000D23EA"/>
    <w:rsid w:val="000D2540"/>
    <w:rsid w:val="000D2595"/>
    <w:rsid w:val="000D288B"/>
    <w:rsid w:val="000D2C1F"/>
    <w:rsid w:val="000D2C40"/>
    <w:rsid w:val="000D2CA8"/>
    <w:rsid w:val="000D2CDA"/>
    <w:rsid w:val="000D2DDC"/>
    <w:rsid w:val="000D2FDD"/>
    <w:rsid w:val="000D30B9"/>
    <w:rsid w:val="000D312A"/>
    <w:rsid w:val="000D315B"/>
    <w:rsid w:val="000D325F"/>
    <w:rsid w:val="000D3286"/>
    <w:rsid w:val="000D3652"/>
    <w:rsid w:val="000D37BB"/>
    <w:rsid w:val="000D38E1"/>
    <w:rsid w:val="000D3ECB"/>
    <w:rsid w:val="000D40AA"/>
    <w:rsid w:val="000D44B8"/>
    <w:rsid w:val="000D453E"/>
    <w:rsid w:val="000D457D"/>
    <w:rsid w:val="000D46B9"/>
    <w:rsid w:val="000D47D5"/>
    <w:rsid w:val="000D4BFD"/>
    <w:rsid w:val="000D4CCD"/>
    <w:rsid w:val="000D4DE4"/>
    <w:rsid w:val="000D4F49"/>
    <w:rsid w:val="000D50DA"/>
    <w:rsid w:val="000D5165"/>
    <w:rsid w:val="000D5204"/>
    <w:rsid w:val="000D5530"/>
    <w:rsid w:val="000D5674"/>
    <w:rsid w:val="000D58F7"/>
    <w:rsid w:val="000D5C8D"/>
    <w:rsid w:val="000D5C9A"/>
    <w:rsid w:val="000D5EDD"/>
    <w:rsid w:val="000D5F90"/>
    <w:rsid w:val="000D5FA5"/>
    <w:rsid w:val="000D624D"/>
    <w:rsid w:val="000D6648"/>
    <w:rsid w:val="000D6BB8"/>
    <w:rsid w:val="000D6BFB"/>
    <w:rsid w:val="000D6C1C"/>
    <w:rsid w:val="000D6C1F"/>
    <w:rsid w:val="000D6C93"/>
    <w:rsid w:val="000D6CBF"/>
    <w:rsid w:val="000D6DBE"/>
    <w:rsid w:val="000D6E59"/>
    <w:rsid w:val="000D6E75"/>
    <w:rsid w:val="000D6EE5"/>
    <w:rsid w:val="000D6EEF"/>
    <w:rsid w:val="000D6EF5"/>
    <w:rsid w:val="000D70B0"/>
    <w:rsid w:val="000D70E8"/>
    <w:rsid w:val="000D7114"/>
    <w:rsid w:val="000D71B5"/>
    <w:rsid w:val="000D72F5"/>
    <w:rsid w:val="000D7504"/>
    <w:rsid w:val="000D758B"/>
    <w:rsid w:val="000D75CB"/>
    <w:rsid w:val="000D7668"/>
    <w:rsid w:val="000D767E"/>
    <w:rsid w:val="000D7ABD"/>
    <w:rsid w:val="000D7AF0"/>
    <w:rsid w:val="000D7C5A"/>
    <w:rsid w:val="000D7DD4"/>
    <w:rsid w:val="000E01CD"/>
    <w:rsid w:val="000E01FF"/>
    <w:rsid w:val="000E0414"/>
    <w:rsid w:val="000E056D"/>
    <w:rsid w:val="000E0620"/>
    <w:rsid w:val="000E0B3D"/>
    <w:rsid w:val="000E0BCB"/>
    <w:rsid w:val="000E0BD1"/>
    <w:rsid w:val="000E0D74"/>
    <w:rsid w:val="000E118C"/>
    <w:rsid w:val="000E120D"/>
    <w:rsid w:val="000E121C"/>
    <w:rsid w:val="000E122F"/>
    <w:rsid w:val="000E12F4"/>
    <w:rsid w:val="000E13A6"/>
    <w:rsid w:val="000E1447"/>
    <w:rsid w:val="000E15A4"/>
    <w:rsid w:val="000E172B"/>
    <w:rsid w:val="000E1745"/>
    <w:rsid w:val="000E178C"/>
    <w:rsid w:val="000E17F9"/>
    <w:rsid w:val="000E1827"/>
    <w:rsid w:val="000E18C5"/>
    <w:rsid w:val="000E1A5D"/>
    <w:rsid w:val="000E1AAE"/>
    <w:rsid w:val="000E1C68"/>
    <w:rsid w:val="000E1E4F"/>
    <w:rsid w:val="000E1E8A"/>
    <w:rsid w:val="000E20B5"/>
    <w:rsid w:val="000E22F7"/>
    <w:rsid w:val="000E235A"/>
    <w:rsid w:val="000E23C6"/>
    <w:rsid w:val="000E2637"/>
    <w:rsid w:val="000E263A"/>
    <w:rsid w:val="000E28B2"/>
    <w:rsid w:val="000E28C2"/>
    <w:rsid w:val="000E2908"/>
    <w:rsid w:val="000E2A7C"/>
    <w:rsid w:val="000E2CC2"/>
    <w:rsid w:val="000E2E37"/>
    <w:rsid w:val="000E2ED2"/>
    <w:rsid w:val="000E2F53"/>
    <w:rsid w:val="000E2F8C"/>
    <w:rsid w:val="000E3084"/>
    <w:rsid w:val="000E31E6"/>
    <w:rsid w:val="000E3207"/>
    <w:rsid w:val="000E378A"/>
    <w:rsid w:val="000E3800"/>
    <w:rsid w:val="000E3835"/>
    <w:rsid w:val="000E38B2"/>
    <w:rsid w:val="000E39DA"/>
    <w:rsid w:val="000E3A01"/>
    <w:rsid w:val="000E3BED"/>
    <w:rsid w:val="000E3C5C"/>
    <w:rsid w:val="000E3F9F"/>
    <w:rsid w:val="000E46DC"/>
    <w:rsid w:val="000E4749"/>
    <w:rsid w:val="000E4B19"/>
    <w:rsid w:val="000E4B93"/>
    <w:rsid w:val="000E4EE8"/>
    <w:rsid w:val="000E5176"/>
    <w:rsid w:val="000E5190"/>
    <w:rsid w:val="000E537E"/>
    <w:rsid w:val="000E542E"/>
    <w:rsid w:val="000E57AE"/>
    <w:rsid w:val="000E57D6"/>
    <w:rsid w:val="000E57ED"/>
    <w:rsid w:val="000E58BC"/>
    <w:rsid w:val="000E59E5"/>
    <w:rsid w:val="000E5A26"/>
    <w:rsid w:val="000E5A32"/>
    <w:rsid w:val="000E5C81"/>
    <w:rsid w:val="000E61F6"/>
    <w:rsid w:val="000E6218"/>
    <w:rsid w:val="000E6237"/>
    <w:rsid w:val="000E62EF"/>
    <w:rsid w:val="000E6555"/>
    <w:rsid w:val="000E674B"/>
    <w:rsid w:val="000E6899"/>
    <w:rsid w:val="000E6981"/>
    <w:rsid w:val="000E6BDC"/>
    <w:rsid w:val="000E6CB5"/>
    <w:rsid w:val="000E6DA6"/>
    <w:rsid w:val="000E6EC7"/>
    <w:rsid w:val="000E6F2E"/>
    <w:rsid w:val="000E6F46"/>
    <w:rsid w:val="000E6F6B"/>
    <w:rsid w:val="000E7160"/>
    <w:rsid w:val="000E7210"/>
    <w:rsid w:val="000E728C"/>
    <w:rsid w:val="000E729B"/>
    <w:rsid w:val="000E72DF"/>
    <w:rsid w:val="000E731E"/>
    <w:rsid w:val="000E74B0"/>
    <w:rsid w:val="000E7529"/>
    <w:rsid w:val="000E7571"/>
    <w:rsid w:val="000E7662"/>
    <w:rsid w:val="000E77EF"/>
    <w:rsid w:val="000E7A75"/>
    <w:rsid w:val="000E7B1F"/>
    <w:rsid w:val="000E7C02"/>
    <w:rsid w:val="000E7CCA"/>
    <w:rsid w:val="000E7D7A"/>
    <w:rsid w:val="000E7E93"/>
    <w:rsid w:val="000E7F82"/>
    <w:rsid w:val="000EB741"/>
    <w:rsid w:val="000F014F"/>
    <w:rsid w:val="000F02E1"/>
    <w:rsid w:val="000F04A2"/>
    <w:rsid w:val="000F0557"/>
    <w:rsid w:val="000F06AA"/>
    <w:rsid w:val="000F080F"/>
    <w:rsid w:val="000F0880"/>
    <w:rsid w:val="000F0B95"/>
    <w:rsid w:val="000F0D6F"/>
    <w:rsid w:val="000F0DCD"/>
    <w:rsid w:val="000F0DD1"/>
    <w:rsid w:val="000F0E7D"/>
    <w:rsid w:val="000F0ED7"/>
    <w:rsid w:val="000F0FD4"/>
    <w:rsid w:val="000F10B1"/>
    <w:rsid w:val="000F1117"/>
    <w:rsid w:val="000F1238"/>
    <w:rsid w:val="000F1239"/>
    <w:rsid w:val="000F148D"/>
    <w:rsid w:val="000F199C"/>
    <w:rsid w:val="000F1A71"/>
    <w:rsid w:val="000F1B7A"/>
    <w:rsid w:val="000F1D05"/>
    <w:rsid w:val="000F1D0C"/>
    <w:rsid w:val="000F2075"/>
    <w:rsid w:val="000F219D"/>
    <w:rsid w:val="000F21B9"/>
    <w:rsid w:val="000F21C8"/>
    <w:rsid w:val="000F226F"/>
    <w:rsid w:val="000F22D9"/>
    <w:rsid w:val="000F2302"/>
    <w:rsid w:val="000F2316"/>
    <w:rsid w:val="000F2331"/>
    <w:rsid w:val="000F2367"/>
    <w:rsid w:val="000F25DC"/>
    <w:rsid w:val="000F2881"/>
    <w:rsid w:val="000F28BE"/>
    <w:rsid w:val="000F29F2"/>
    <w:rsid w:val="000F2A11"/>
    <w:rsid w:val="000F2B71"/>
    <w:rsid w:val="000F2C98"/>
    <w:rsid w:val="000F2D33"/>
    <w:rsid w:val="000F2D58"/>
    <w:rsid w:val="000F2DFB"/>
    <w:rsid w:val="000F2E5A"/>
    <w:rsid w:val="000F2EAB"/>
    <w:rsid w:val="000F31C1"/>
    <w:rsid w:val="000F3203"/>
    <w:rsid w:val="000F3390"/>
    <w:rsid w:val="000F33F9"/>
    <w:rsid w:val="000F3464"/>
    <w:rsid w:val="000F34A4"/>
    <w:rsid w:val="000F35A2"/>
    <w:rsid w:val="000F3704"/>
    <w:rsid w:val="000F3741"/>
    <w:rsid w:val="000F3745"/>
    <w:rsid w:val="000F37C3"/>
    <w:rsid w:val="000F3A1E"/>
    <w:rsid w:val="000F3A4C"/>
    <w:rsid w:val="000F3C70"/>
    <w:rsid w:val="000F3D77"/>
    <w:rsid w:val="000F3F80"/>
    <w:rsid w:val="000F3F9F"/>
    <w:rsid w:val="000F4069"/>
    <w:rsid w:val="000F40C1"/>
    <w:rsid w:val="000F43AE"/>
    <w:rsid w:val="000F4550"/>
    <w:rsid w:val="000F457D"/>
    <w:rsid w:val="000F4587"/>
    <w:rsid w:val="000F45CB"/>
    <w:rsid w:val="000F4661"/>
    <w:rsid w:val="000F466C"/>
    <w:rsid w:val="000F4691"/>
    <w:rsid w:val="000F46FC"/>
    <w:rsid w:val="000F49EC"/>
    <w:rsid w:val="000F4B08"/>
    <w:rsid w:val="000F4BA1"/>
    <w:rsid w:val="000F4BC4"/>
    <w:rsid w:val="000F4BE1"/>
    <w:rsid w:val="000F4CBC"/>
    <w:rsid w:val="000F4FDC"/>
    <w:rsid w:val="000F528E"/>
    <w:rsid w:val="000F52A7"/>
    <w:rsid w:val="000F53EF"/>
    <w:rsid w:val="000F547F"/>
    <w:rsid w:val="000F56A5"/>
    <w:rsid w:val="000F5704"/>
    <w:rsid w:val="000F598F"/>
    <w:rsid w:val="000F5AC5"/>
    <w:rsid w:val="000F5C81"/>
    <w:rsid w:val="000F5CAA"/>
    <w:rsid w:val="000F5E84"/>
    <w:rsid w:val="000F6163"/>
    <w:rsid w:val="000F6208"/>
    <w:rsid w:val="000F6390"/>
    <w:rsid w:val="000F6422"/>
    <w:rsid w:val="000F686E"/>
    <w:rsid w:val="000F6A1A"/>
    <w:rsid w:val="000F6BA1"/>
    <w:rsid w:val="000F6CD8"/>
    <w:rsid w:val="000F6E1C"/>
    <w:rsid w:val="000F6F1B"/>
    <w:rsid w:val="000F7205"/>
    <w:rsid w:val="000F7322"/>
    <w:rsid w:val="000F734E"/>
    <w:rsid w:val="000F740E"/>
    <w:rsid w:val="000F74D3"/>
    <w:rsid w:val="000F77F2"/>
    <w:rsid w:val="000F7AD5"/>
    <w:rsid w:val="000F7B5B"/>
    <w:rsid w:val="000F7B62"/>
    <w:rsid w:val="000F7BD0"/>
    <w:rsid w:val="000F7CEB"/>
    <w:rsid w:val="000F7D5D"/>
    <w:rsid w:val="000F7F38"/>
    <w:rsid w:val="0010030E"/>
    <w:rsid w:val="001003EB"/>
    <w:rsid w:val="0010041C"/>
    <w:rsid w:val="001004D8"/>
    <w:rsid w:val="001005C5"/>
    <w:rsid w:val="0010070E"/>
    <w:rsid w:val="0010085F"/>
    <w:rsid w:val="001009AB"/>
    <w:rsid w:val="001009AD"/>
    <w:rsid w:val="00100A17"/>
    <w:rsid w:val="00100A62"/>
    <w:rsid w:val="00100D5A"/>
    <w:rsid w:val="00100DC1"/>
    <w:rsid w:val="00100FF7"/>
    <w:rsid w:val="001010A9"/>
    <w:rsid w:val="001011ED"/>
    <w:rsid w:val="00101306"/>
    <w:rsid w:val="00101822"/>
    <w:rsid w:val="00101ACE"/>
    <w:rsid w:val="00101BFD"/>
    <w:rsid w:val="00101CAC"/>
    <w:rsid w:val="00102239"/>
    <w:rsid w:val="0010227C"/>
    <w:rsid w:val="001023B2"/>
    <w:rsid w:val="0010251F"/>
    <w:rsid w:val="001026DA"/>
    <w:rsid w:val="00102753"/>
    <w:rsid w:val="001028BE"/>
    <w:rsid w:val="0010295C"/>
    <w:rsid w:val="001029A0"/>
    <w:rsid w:val="00102F47"/>
    <w:rsid w:val="001030C6"/>
    <w:rsid w:val="00103111"/>
    <w:rsid w:val="0010331B"/>
    <w:rsid w:val="00103511"/>
    <w:rsid w:val="0010362A"/>
    <w:rsid w:val="001036FA"/>
    <w:rsid w:val="00103A52"/>
    <w:rsid w:val="00103B4F"/>
    <w:rsid w:val="00103DB0"/>
    <w:rsid w:val="00103E24"/>
    <w:rsid w:val="00103F07"/>
    <w:rsid w:val="00103F58"/>
    <w:rsid w:val="00104027"/>
    <w:rsid w:val="001041E3"/>
    <w:rsid w:val="00104403"/>
    <w:rsid w:val="0010457F"/>
    <w:rsid w:val="001045B1"/>
    <w:rsid w:val="0010461A"/>
    <w:rsid w:val="0010474A"/>
    <w:rsid w:val="00104C93"/>
    <w:rsid w:val="00104CEE"/>
    <w:rsid w:val="00104FBA"/>
    <w:rsid w:val="00104FE6"/>
    <w:rsid w:val="00105049"/>
    <w:rsid w:val="001050F2"/>
    <w:rsid w:val="0010530D"/>
    <w:rsid w:val="00105311"/>
    <w:rsid w:val="001056FA"/>
    <w:rsid w:val="001057F7"/>
    <w:rsid w:val="0010599E"/>
    <w:rsid w:val="001059D0"/>
    <w:rsid w:val="00105A16"/>
    <w:rsid w:val="00105AA1"/>
    <w:rsid w:val="00105C41"/>
    <w:rsid w:val="00105D9D"/>
    <w:rsid w:val="00105DA1"/>
    <w:rsid w:val="00105E92"/>
    <w:rsid w:val="00105F20"/>
    <w:rsid w:val="00105FA3"/>
    <w:rsid w:val="0010609F"/>
    <w:rsid w:val="00106211"/>
    <w:rsid w:val="0010627A"/>
    <w:rsid w:val="00106623"/>
    <w:rsid w:val="0010666A"/>
    <w:rsid w:val="001066F5"/>
    <w:rsid w:val="00106AEE"/>
    <w:rsid w:val="00106B84"/>
    <w:rsid w:val="00106BE7"/>
    <w:rsid w:val="00106C00"/>
    <w:rsid w:val="00106CB2"/>
    <w:rsid w:val="00106D77"/>
    <w:rsid w:val="001070B1"/>
    <w:rsid w:val="0010711D"/>
    <w:rsid w:val="001072A0"/>
    <w:rsid w:val="00107341"/>
    <w:rsid w:val="00107379"/>
    <w:rsid w:val="001073F3"/>
    <w:rsid w:val="0010754C"/>
    <w:rsid w:val="00107760"/>
    <w:rsid w:val="001078B9"/>
    <w:rsid w:val="00107948"/>
    <w:rsid w:val="00107970"/>
    <w:rsid w:val="00107DF6"/>
    <w:rsid w:val="00107E85"/>
    <w:rsid w:val="00107FAE"/>
    <w:rsid w:val="001102A6"/>
    <w:rsid w:val="001102C2"/>
    <w:rsid w:val="00110615"/>
    <w:rsid w:val="00110765"/>
    <w:rsid w:val="001108BB"/>
    <w:rsid w:val="00110909"/>
    <w:rsid w:val="00110DB1"/>
    <w:rsid w:val="00111080"/>
    <w:rsid w:val="00111099"/>
    <w:rsid w:val="0011134B"/>
    <w:rsid w:val="00111380"/>
    <w:rsid w:val="0011148E"/>
    <w:rsid w:val="0011161E"/>
    <w:rsid w:val="0011192E"/>
    <w:rsid w:val="00111DB8"/>
    <w:rsid w:val="00111F49"/>
    <w:rsid w:val="00111F5D"/>
    <w:rsid w:val="00112177"/>
    <w:rsid w:val="0011250E"/>
    <w:rsid w:val="0011253C"/>
    <w:rsid w:val="0011281A"/>
    <w:rsid w:val="00112872"/>
    <w:rsid w:val="001128E6"/>
    <w:rsid w:val="00112BCA"/>
    <w:rsid w:val="00112C10"/>
    <w:rsid w:val="00112CE8"/>
    <w:rsid w:val="00112E6D"/>
    <w:rsid w:val="001130AD"/>
    <w:rsid w:val="0011312B"/>
    <w:rsid w:val="00113286"/>
    <w:rsid w:val="00113346"/>
    <w:rsid w:val="00113587"/>
    <w:rsid w:val="001135C1"/>
    <w:rsid w:val="001137A1"/>
    <w:rsid w:val="001138F8"/>
    <w:rsid w:val="00113937"/>
    <w:rsid w:val="00113AEF"/>
    <w:rsid w:val="00113C3F"/>
    <w:rsid w:val="00113CDA"/>
    <w:rsid w:val="00113D83"/>
    <w:rsid w:val="00113DF0"/>
    <w:rsid w:val="00113F22"/>
    <w:rsid w:val="00113F69"/>
    <w:rsid w:val="00113F6C"/>
    <w:rsid w:val="00113FB7"/>
    <w:rsid w:val="00114406"/>
    <w:rsid w:val="001144D0"/>
    <w:rsid w:val="00114AD0"/>
    <w:rsid w:val="00114E83"/>
    <w:rsid w:val="00115075"/>
    <w:rsid w:val="00115190"/>
    <w:rsid w:val="00115427"/>
    <w:rsid w:val="001155AB"/>
    <w:rsid w:val="001155B2"/>
    <w:rsid w:val="00115700"/>
    <w:rsid w:val="0011573E"/>
    <w:rsid w:val="00115777"/>
    <w:rsid w:val="0011578A"/>
    <w:rsid w:val="00115CBE"/>
    <w:rsid w:val="00115DE6"/>
    <w:rsid w:val="00115F48"/>
    <w:rsid w:val="00116121"/>
    <w:rsid w:val="00116190"/>
    <w:rsid w:val="00116281"/>
    <w:rsid w:val="0011630A"/>
    <w:rsid w:val="00116531"/>
    <w:rsid w:val="00116619"/>
    <w:rsid w:val="001167F6"/>
    <w:rsid w:val="0011685D"/>
    <w:rsid w:val="00116873"/>
    <w:rsid w:val="0011695D"/>
    <w:rsid w:val="00116E41"/>
    <w:rsid w:val="00116F50"/>
    <w:rsid w:val="001170AC"/>
    <w:rsid w:val="001170D7"/>
    <w:rsid w:val="00117275"/>
    <w:rsid w:val="0011728D"/>
    <w:rsid w:val="00117445"/>
    <w:rsid w:val="001177D3"/>
    <w:rsid w:val="00117934"/>
    <w:rsid w:val="00117942"/>
    <w:rsid w:val="00117955"/>
    <w:rsid w:val="00117A43"/>
    <w:rsid w:val="00117C36"/>
    <w:rsid w:val="00117C59"/>
    <w:rsid w:val="00117CC6"/>
    <w:rsid w:val="00117CD5"/>
    <w:rsid w:val="00117D16"/>
    <w:rsid w:val="00117DC9"/>
    <w:rsid w:val="00117F42"/>
    <w:rsid w:val="00117FE7"/>
    <w:rsid w:val="00120055"/>
    <w:rsid w:val="001201E5"/>
    <w:rsid w:val="00120294"/>
    <w:rsid w:val="001202E4"/>
    <w:rsid w:val="0012058B"/>
    <w:rsid w:val="001207E1"/>
    <w:rsid w:val="001208EC"/>
    <w:rsid w:val="00120AAA"/>
    <w:rsid w:val="00120C14"/>
    <w:rsid w:val="00120C52"/>
    <w:rsid w:val="00120DEF"/>
    <w:rsid w:val="00120F40"/>
    <w:rsid w:val="0012136F"/>
    <w:rsid w:val="001213AD"/>
    <w:rsid w:val="001215BA"/>
    <w:rsid w:val="001218CD"/>
    <w:rsid w:val="00121A79"/>
    <w:rsid w:val="00121AD9"/>
    <w:rsid w:val="00121AFD"/>
    <w:rsid w:val="00121BA4"/>
    <w:rsid w:val="00121FF6"/>
    <w:rsid w:val="001222E2"/>
    <w:rsid w:val="0012233F"/>
    <w:rsid w:val="001223B1"/>
    <w:rsid w:val="001223B4"/>
    <w:rsid w:val="001223C1"/>
    <w:rsid w:val="001223CD"/>
    <w:rsid w:val="001223E7"/>
    <w:rsid w:val="00122621"/>
    <w:rsid w:val="00122B11"/>
    <w:rsid w:val="00122BE7"/>
    <w:rsid w:val="00122CCA"/>
    <w:rsid w:val="00122D79"/>
    <w:rsid w:val="00122E2A"/>
    <w:rsid w:val="00122FF5"/>
    <w:rsid w:val="0012301D"/>
    <w:rsid w:val="00123534"/>
    <w:rsid w:val="001237F3"/>
    <w:rsid w:val="00123928"/>
    <w:rsid w:val="0012395E"/>
    <w:rsid w:val="00123CF2"/>
    <w:rsid w:val="00124353"/>
    <w:rsid w:val="001243F1"/>
    <w:rsid w:val="00124835"/>
    <w:rsid w:val="001248E0"/>
    <w:rsid w:val="00124A47"/>
    <w:rsid w:val="00124BF0"/>
    <w:rsid w:val="00124DC7"/>
    <w:rsid w:val="00124F40"/>
    <w:rsid w:val="00124FAC"/>
    <w:rsid w:val="0012534E"/>
    <w:rsid w:val="00125471"/>
    <w:rsid w:val="001256F5"/>
    <w:rsid w:val="001257B5"/>
    <w:rsid w:val="00125C2F"/>
    <w:rsid w:val="00125E46"/>
    <w:rsid w:val="00125E54"/>
    <w:rsid w:val="00126071"/>
    <w:rsid w:val="001260A8"/>
    <w:rsid w:val="0012632F"/>
    <w:rsid w:val="001265BE"/>
    <w:rsid w:val="00126615"/>
    <w:rsid w:val="0012671B"/>
    <w:rsid w:val="001267DD"/>
    <w:rsid w:val="00126A9E"/>
    <w:rsid w:val="00126AD4"/>
    <w:rsid w:val="00126AFE"/>
    <w:rsid w:val="00126B1E"/>
    <w:rsid w:val="00126C22"/>
    <w:rsid w:val="00126DEB"/>
    <w:rsid w:val="00126DEC"/>
    <w:rsid w:val="00126ECF"/>
    <w:rsid w:val="001271C1"/>
    <w:rsid w:val="001271F7"/>
    <w:rsid w:val="00127214"/>
    <w:rsid w:val="0012739D"/>
    <w:rsid w:val="00127470"/>
    <w:rsid w:val="0012761D"/>
    <w:rsid w:val="001276EA"/>
    <w:rsid w:val="0012786A"/>
    <w:rsid w:val="00127A6B"/>
    <w:rsid w:val="00127B2C"/>
    <w:rsid w:val="00127B46"/>
    <w:rsid w:val="00127F51"/>
    <w:rsid w:val="00127FE0"/>
    <w:rsid w:val="00130102"/>
    <w:rsid w:val="001305DE"/>
    <w:rsid w:val="001309B2"/>
    <w:rsid w:val="00130A2F"/>
    <w:rsid w:val="00130AC7"/>
    <w:rsid w:val="00130B00"/>
    <w:rsid w:val="00130B4B"/>
    <w:rsid w:val="00130B4D"/>
    <w:rsid w:val="00130C52"/>
    <w:rsid w:val="00130E01"/>
    <w:rsid w:val="00130F22"/>
    <w:rsid w:val="00130F5B"/>
    <w:rsid w:val="00130FFB"/>
    <w:rsid w:val="0013108C"/>
    <w:rsid w:val="0013115A"/>
    <w:rsid w:val="001311B3"/>
    <w:rsid w:val="001311D7"/>
    <w:rsid w:val="001311F9"/>
    <w:rsid w:val="00131261"/>
    <w:rsid w:val="001312C1"/>
    <w:rsid w:val="001313CC"/>
    <w:rsid w:val="001314A9"/>
    <w:rsid w:val="0013152A"/>
    <w:rsid w:val="0013167E"/>
    <w:rsid w:val="00131689"/>
    <w:rsid w:val="001317EA"/>
    <w:rsid w:val="001318DA"/>
    <w:rsid w:val="0013193C"/>
    <w:rsid w:val="00131DFA"/>
    <w:rsid w:val="00131E49"/>
    <w:rsid w:val="00131E82"/>
    <w:rsid w:val="00131F78"/>
    <w:rsid w:val="00132225"/>
    <w:rsid w:val="001325A5"/>
    <w:rsid w:val="0013269D"/>
    <w:rsid w:val="00132CED"/>
    <w:rsid w:val="00133100"/>
    <w:rsid w:val="001331D6"/>
    <w:rsid w:val="00133578"/>
    <w:rsid w:val="001335E4"/>
    <w:rsid w:val="0013372F"/>
    <w:rsid w:val="00133A65"/>
    <w:rsid w:val="00133BA5"/>
    <w:rsid w:val="00133FC8"/>
    <w:rsid w:val="00134155"/>
    <w:rsid w:val="001341AF"/>
    <w:rsid w:val="00134318"/>
    <w:rsid w:val="00134323"/>
    <w:rsid w:val="0013433C"/>
    <w:rsid w:val="0013460B"/>
    <w:rsid w:val="0013485F"/>
    <w:rsid w:val="00134995"/>
    <w:rsid w:val="001349B7"/>
    <w:rsid w:val="00134A43"/>
    <w:rsid w:val="00134D03"/>
    <w:rsid w:val="00134DE1"/>
    <w:rsid w:val="0013502E"/>
    <w:rsid w:val="00135151"/>
    <w:rsid w:val="00135261"/>
    <w:rsid w:val="0013526A"/>
    <w:rsid w:val="0013547F"/>
    <w:rsid w:val="00135574"/>
    <w:rsid w:val="00135802"/>
    <w:rsid w:val="001359A3"/>
    <w:rsid w:val="00135B83"/>
    <w:rsid w:val="00135E51"/>
    <w:rsid w:val="00135F40"/>
    <w:rsid w:val="001360DE"/>
    <w:rsid w:val="00136208"/>
    <w:rsid w:val="0013623A"/>
    <w:rsid w:val="00136297"/>
    <w:rsid w:val="001363CE"/>
    <w:rsid w:val="00136546"/>
    <w:rsid w:val="0013654F"/>
    <w:rsid w:val="001367D0"/>
    <w:rsid w:val="0013695A"/>
    <w:rsid w:val="00136B3F"/>
    <w:rsid w:val="00136B5B"/>
    <w:rsid w:val="00136CCC"/>
    <w:rsid w:val="00136E0D"/>
    <w:rsid w:val="00137355"/>
    <w:rsid w:val="00137406"/>
    <w:rsid w:val="0013742C"/>
    <w:rsid w:val="001375D0"/>
    <w:rsid w:val="001378B1"/>
    <w:rsid w:val="00137C50"/>
    <w:rsid w:val="0014007B"/>
    <w:rsid w:val="001400F3"/>
    <w:rsid w:val="001401B9"/>
    <w:rsid w:val="001401BB"/>
    <w:rsid w:val="00140422"/>
    <w:rsid w:val="00140516"/>
    <w:rsid w:val="00140546"/>
    <w:rsid w:val="001405FA"/>
    <w:rsid w:val="0014067E"/>
    <w:rsid w:val="0014085F"/>
    <w:rsid w:val="0014086D"/>
    <w:rsid w:val="00140961"/>
    <w:rsid w:val="00140AF3"/>
    <w:rsid w:val="00140BC4"/>
    <w:rsid w:val="00140D1D"/>
    <w:rsid w:val="00140E8B"/>
    <w:rsid w:val="00140EC3"/>
    <w:rsid w:val="00140F94"/>
    <w:rsid w:val="00141000"/>
    <w:rsid w:val="0014103C"/>
    <w:rsid w:val="001411DC"/>
    <w:rsid w:val="00141294"/>
    <w:rsid w:val="0014129C"/>
    <w:rsid w:val="00141578"/>
    <w:rsid w:val="001416BA"/>
    <w:rsid w:val="00141700"/>
    <w:rsid w:val="00141710"/>
    <w:rsid w:val="00141820"/>
    <w:rsid w:val="00141937"/>
    <w:rsid w:val="00141F67"/>
    <w:rsid w:val="0014232D"/>
    <w:rsid w:val="001424D0"/>
    <w:rsid w:val="00142587"/>
    <w:rsid w:val="001426BC"/>
    <w:rsid w:val="00142730"/>
    <w:rsid w:val="00142812"/>
    <w:rsid w:val="0014291A"/>
    <w:rsid w:val="00142A2B"/>
    <w:rsid w:val="00142B23"/>
    <w:rsid w:val="00142C94"/>
    <w:rsid w:val="00142E09"/>
    <w:rsid w:val="00142FC9"/>
    <w:rsid w:val="001430BA"/>
    <w:rsid w:val="001430F0"/>
    <w:rsid w:val="0014335F"/>
    <w:rsid w:val="00143458"/>
    <w:rsid w:val="00143564"/>
    <w:rsid w:val="001435B3"/>
    <w:rsid w:val="001436CA"/>
    <w:rsid w:val="0014372F"/>
    <w:rsid w:val="001438DB"/>
    <w:rsid w:val="00143B10"/>
    <w:rsid w:val="00143DC2"/>
    <w:rsid w:val="00143E17"/>
    <w:rsid w:val="00143E65"/>
    <w:rsid w:val="00143E91"/>
    <w:rsid w:val="00143ECE"/>
    <w:rsid w:val="00143F23"/>
    <w:rsid w:val="0014412F"/>
    <w:rsid w:val="0014426B"/>
    <w:rsid w:val="00144584"/>
    <w:rsid w:val="00144C9B"/>
    <w:rsid w:val="00144CE8"/>
    <w:rsid w:val="00144D89"/>
    <w:rsid w:val="00144D98"/>
    <w:rsid w:val="00144E39"/>
    <w:rsid w:val="00144EC5"/>
    <w:rsid w:val="00145046"/>
    <w:rsid w:val="001450E0"/>
    <w:rsid w:val="001452B6"/>
    <w:rsid w:val="0014536E"/>
    <w:rsid w:val="001454F0"/>
    <w:rsid w:val="00145AC5"/>
    <w:rsid w:val="00145AF1"/>
    <w:rsid w:val="00145C37"/>
    <w:rsid w:val="00145D4B"/>
    <w:rsid w:val="00145D97"/>
    <w:rsid w:val="00145F74"/>
    <w:rsid w:val="00146080"/>
    <w:rsid w:val="00146134"/>
    <w:rsid w:val="001461FC"/>
    <w:rsid w:val="001462AE"/>
    <w:rsid w:val="0014635E"/>
    <w:rsid w:val="001463B3"/>
    <w:rsid w:val="001465FE"/>
    <w:rsid w:val="0014681D"/>
    <w:rsid w:val="0014695D"/>
    <w:rsid w:val="00146A56"/>
    <w:rsid w:val="00146B63"/>
    <w:rsid w:val="00146BB1"/>
    <w:rsid w:val="00146BC2"/>
    <w:rsid w:val="00146F06"/>
    <w:rsid w:val="00147004"/>
    <w:rsid w:val="00147559"/>
    <w:rsid w:val="0014759C"/>
    <w:rsid w:val="00147616"/>
    <w:rsid w:val="001476C7"/>
    <w:rsid w:val="001476CE"/>
    <w:rsid w:val="001477D2"/>
    <w:rsid w:val="0014788F"/>
    <w:rsid w:val="001479AF"/>
    <w:rsid w:val="0015000B"/>
    <w:rsid w:val="00150062"/>
    <w:rsid w:val="00150076"/>
    <w:rsid w:val="001500CB"/>
    <w:rsid w:val="001501E4"/>
    <w:rsid w:val="00150209"/>
    <w:rsid w:val="00150296"/>
    <w:rsid w:val="00150911"/>
    <w:rsid w:val="001509CA"/>
    <w:rsid w:val="00150AF3"/>
    <w:rsid w:val="00150D9B"/>
    <w:rsid w:val="00150DF8"/>
    <w:rsid w:val="00151151"/>
    <w:rsid w:val="001511F2"/>
    <w:rsid w:val="00151443"/>
    <w:rsid w:val="001518C5"/>
    <w:rsid w:val="001518FD"/>
    <w:rsid w:val="00151984"/>
    <w:rsid w:val="00151999"/>
    <w:rsid w:val="001519AC"/>
    <w:rsid w:val="00151C09"/>
    <w:rsid w:val="00151DFD"/>
    <w:rsid w:val="00151E01"/>
    <w:rsid w:val="00151ECC"/>
    <w:rsid w:val="00151F0B"/>
    <w:rsid w:val="00151F94"/>
    <w:rsid w:val="00152130"/>
    <w:rsid w:val="00152374"/>
    <w:rsid w:val="0015259F"/>
    <w:rsid w:val="0015265C"/>
    <w:rsid w:val="0015268C"/>
    <w:rsid w:val="001526E2"/>
    <w:rsid w:val="00152715"/>
    <w:rsid w:val="00152831"/>
    <w:rsid w:val="0015292B"/>
    <w:rsid w:val="00152960"/>
    <w:rsid w:val="00152CF8"/>
    <w:rsid w:val="00152FDB"/>
    <w:rsid w:val="001531EB"/>
    <w:rsid w:val="001532AD"/>
    <w:rsid w:val="00153338"/>
    <w:rsid w:val="00153354"/>
    <w:rsid w:val="00153404"/>
    <w:rsid w:val="00153798"/>
    <w:rsid w:val="00153816"/>
    <w:rsid w:val="00153B4C"/>
    <w:rsid w:val="00153DAD"/>
    <w:rsid w:val="00153F16"/>
    <w:rsid w:val="00154021"/>
    <w:rsid w:val="001542E7"/>
    <w:rsid w:val="0015460B"/>
    <w:rsid w:val="00154E2D"/>
    <w:rsid w:val="001550EC"/>
    <w:rsid w:val="001550ED"/>
    <w:rsid w:val="00155245"/>
    <w:rsid w:val="001552AA"/>
    <w:rsid w:val="001552D3"/>
    <w:rsid w:val="00155612"/>
    <w:rsid w:val="001556BC"/>
    <w:rsid w:val="00155801"/>
    <w:rsid w:val="00155AB0"/>
    <w:rsid w:val="00155F10"/>
    <w:rsid w:val="001560DA"/>
    <w:rsid w:val="0015662B"/>
    <w:rsid w:val="001566D1"/>
    <w:rsid w:val="001567E1"/>
    <w:rsid w:val="00156A6E"/>
    <w:rsid w:val="00156CE9"/>
    <w:rsid w:val="00156DE4"/>
    <w:rsid w:val="00156EF1"/>
    <w:rsid w:val="00156F2C"/>
    <w:rsid w:val="001570DD"/>
    <w:rsid w:val="0015726C"/>
    <w:rsid w:val="001573A4"/>
    <w:rsid w:val="001574AB"/>
    <w:rsid w:val="00157527"/>
    <w:rsid w:val="001575DF"/>
    <w:rsid w:val="0015773D"/>
    <w:rsid w:val="001577C4"/>
    <w:rsid w:val="00157843"/>
    <w:rsid w:val="00157992"/>
    <w:rsid w:val="00157BC0"/>
    <w:rsid w:val="00157E04"/>
    <w:rsid w:val="00157F8D"/>
    <w:rsid w:val="0015C5AA"/>
    <w:rsid w:val="001600A9"/>
    <w:rsid w:val="001603CB"/>
    <w:rsid w:val="00160415"/>
    <w:rsid w:val="001604E8"/>
    <w:rsid w:val="0016053C"/>
    <w:rsid w:val="00160C3F"/>
    <w:rsid w:val="00160DA3"/>
    <w:rsid w:val="00160DC0"/>
    <w:rsid w:val="00160E35"/>
    <w:rsid w:val="00160FB1"/>
    <w:rsid w:val="001610CC"/>
    <w:rsid w:val="0016124A"/>
    <w:rsid w:val="00161376"/>
    <w:rsid w:val="001615F8"/>
    <w:rsid w:val="00161683"/>
    <w:rsid w:val="001616A1"/>
    <w:rsid w:val="001618AC"/>
    <w:rsid w:val="00161912"/>
    <w:rsid w:val="00161C58"/>
    <w:rsid w:val="00161CD4"/>
    <w:rsid w:val="00161E9F"/>
    <w:rsid w:val="00161F0C"/>
    <w:rsid w:val="00161FE6"/>
    <w:rsid w:val="0016238A"/>
    <w:rsid w:val="001624D1"/>
    <w:rsid w:val="00162718"/>
    <w:rsid w:val="00162828"/>
    <w:rsid w:val="0016284C"/>
    <w:rsid w:val="00162DD1"/>
    <w:rsid w:val="00163374"/>
    <w:rsid w:val="00163769"/>
    <w:rsid w:val="00163774"/>
    <w:rsid w:val="00163834"/>
    <w:rsid w:val="0016383C"/>
    <w:rsid w:val="001639B7"/>
    <w:rsid w:val="001639DF"/>
    <w:rsid w:val="00163C53"/>
    <w:rsid w:val="00163E81"/>
    <w:rsid w:val="00163EF2"/>
    <w:rsid w:val="00163F5F"/>
    <w:rsid w:val="00163F6B"/>
    <w:rsid w:val="00163FA6"/>
    <w:rsid w:val="00164154"/>
    <w:rsid w:val="00164163"/>
    <w:rsid w:val="00164326"/>
    <w:rsid w:val="0016446A"/>
    <w:rsid w:val="001644CA"/>
    <w:rsid w:val="00164655"/>
    <w:rsid w:val="00164C1D"/>
    <w:rsid w:val="00164E55"/>
    <w:rsid w:val="001650B9"/>
    <w:rsid w:val="001656C6"/>
    <w:rsid w:val="001657F8"/>
    <w:rsid w:val="0016588B"/>
    <w:rsid w:val="0016599B"/>
    <w:rsid w:val="001659AB"/>
    <w:rsid w:val="00165B71"/>
    <w:rsid w:val="00165D24"/>
    <w:rsid w:val="00165DF8"/>
    <w:rsid w:val="00165EDB"/>
    <w:rsid w:val="00165FF5"/>
    <w:rsid w:val="00166070"/>
    <w:rsid w:val="001660D0"/>
    <w:rsid w:val="001660F6"/>
    <w:rsid w:val="00166898"/>
    <w:rsid w:val="00166929"/>
    <w:rsid w:val="00166A86"/>
    <w:rsid w:val="00166DCA"/>
    <w:rsid w:val="00166DEB"/>
    <w:rsid w:val="00166EC0"/>
    <w:rsid w:val="00167328"/>
    <w:rsid w:val="0016736E"/>
    <w:rsid w:val="0016740A"/>
    <w:rsid w:val="00167487"/>
    <w:rsid w:val="0016755F"/>
    <w:rsid w:val="00167612"/>
    <w:rsid w:val="00167730"/>
    <w:rsid w:val="00167793"/>
    <w:rsid w:val="00167A3D"/>
    <w:rsid w:val="00167B31"/>
    <w:rsid w:val="00167BBB"/>
    <w:rsid w:val="00167C4D"/>
    <w:rsid w:val="00167CF3"/>
    <w:rsid w:val="00167FD3"/>
    <w:rsid w:val="00168D2B"/>
    <w:rsid w:val="001701EB"/>
    <w:rsid w:val="00170271"/>
    <w:rsid w:val="001703F0"/>
    <w:rsid w:val="00170956"/>
    <w:rsid w:val="00170A80"/>
    <w:rsid w:val="00170CBC"/>
    <w:rsid w:val="00170EEA"/>
    <w:rsid w:val="00170F05"/>
    <w:rsid w:val="00170F82"/>
    <w:rsid w:val="00170FB2"/>
    <w:rsid w:val="00171032"/>
    <w:rsid w:val="0017128D"/>
    <w:rsid w:val="0017128E"/>
    <w:rsid w:val="00171356"/>
    <w:rsid w:val="0017135A"/>
    <w:rsid w:val="001714BB"/>
    <w:rsid w:val="001716EA"/>
    <w:rsid w:val="001718BC"/>
    <w:rsid w:val="00171BB6"/>
    <w:rsid w:val="00171E38"/>
    <w:rsid w:val="00171E86"/>
    <w:rsid w:val="00171EFA"/>
    <w:rsid w:val="00171F5B"/>
    <w:rsid w:val="00172026"/>
    <w:rsid w:val="0017206E"/>
    <w:rsid w:val="001720E5"/>
    <w:rsid w:val="00172298"/>
    <w:rsid w:val="001722E7"/>
    <w:rsid w:val="001723D5"/>
    <w:rsid w:val="001724DA"/>
    <w:rsid w:val="00172619"/>
    <w:rsid w:val="0017265E"/>
    <w:rsid w:val="001726B4"/>
    <w:rsid w:val="001726F5"/>
    <w:rsid w:val="001727E1"/>
    <w:rsid w:val="001728FF"/>
    <w:rsid w:val="00172A65"/>
    <w:rsid w:val="00172C66"/>
    <w:rsid w:val="00172D4F"/>
    <w:rsid w:val="00172FA5"/>
    <w:rsid w:val="00172FAD"/>
    <w:rsid w:val="00173193"/>
    <w:rsid w:val="0017326F"/>
    <w:rsid w:val="00173537"/>
    <w:rsid w:val="0017367B"/>
    <w:rsid w:val="0017379D"/>
    <w:rsid w:val="00173A00"/>
    <w:rsid w:val="00173DD1"/>
    <w:rsid w:val="00173FAC"/>
    <w:rsid w:val="00174129"/>
    <w:rsid w:val="0017449A"/>
    <w:rsid w:val="00174858"/>
    <w:rsid w:val="001748E0"/>
    <w:rsid w:val="001749AD"/>
    <w:rsid w:val="00174D22"/>
    <w:rsid w:val="00174FFD"/>
    <w:rsid w:val="0017500C"/>
    <w:rsid w:val="00175120"/>
    <w:rsid w:val="0017569D"/>
    <w:rsid w:val="00175AFA"/>
    <w:rsid w:val="00175D83"/>
    <w:rsid w:val="00175E1C"/>
    <w:rsid w:val="00175E5C"/>
    <w:rsid w:val="00175E60"/>
    <w:rsid w:val="001760EE"/>
    <w:rsid w:val="00176201"/>
    <w:rsid w:val="001763E5"/>
    <w:rsid w:val="001764CF"/>
    <w:rsid w:val="001765E3"/>
    <w:rsid w:val="001767B1"/>
    <w:rsid w:val="001767FB"/>
    <w:rsid w:val="00176BA1"/>
    <w:rsid w:val="00176DC2"/>
    <w:rsid w:val="00176E3F"/>
    <w:rsid w:val="00176FE0"/>
    <w:rsid w:val="00177208"/>
    <w:rsid w:val="001775AA"/>
    <w:rsid w:val="00177977"/>
    <w:rsid w:val="00177BC6"/>
    <w:rsid w:val="00177BCC"/>
    <w:rsid w:val="00177D9C"/>
    <w:rsid w:val="00177DF2"/>
    <w:rsid w:val="00177E3A"/>
    <w:rsid w:val="00177F01"/>
    <w:rsid w:val="0017C78A"/>
    <w:rsid w:val="0018017D"/>
    <w:rsid w:val="00180305"/>
    <w:rsid w:val="00180486"/>
    <w:rsid w:val="001805E0"/>
    <w:rsid w:val="001808E7"/>
    <w:rsid w:val="00180974"/>
    <w:rsid w:val="00180A93"/>
    <w:rsid w:val="00180B2E"/>
    <w:rsid w:val="00180CE5"/>
    <w:rsid w:val="00180D54"/>
    <w:rsid w:val="00180E92"/>
    <w:rsid w:val="00180F75"/>
    <w:rsid w:val="00181137"/>
    <w:rsid w:val="0018167D"/>
    <w:rsid w:val="00181768"/>
    <w:rsid w:val="00181897"/>
    <w:rsid w:val="001819D2"/>
    <w:rsid w:val="001819DB"/>
    <w:rsid w:val="001819E8"/>
    <w:rsid w:val="00181BC3"/>
    <w:rsid w:val="00181E97"/>
    <w:rsid w:val="00181FE0"/>
    <w:rsid w:val="001823F8"/>
    <w:rsid w:val="00182500"/>
    <w:rsid w:val="0018250D"/>
    <w:rsid w:val="00182638"/>
    <w:rsid w:val="001826C5"/>
    <w:rsid w:val="00182767"/>
    <w:rsid w:val="00182AF7"/>
    <w:rsid w:val="00182BD1"/>
    <w:rsid w:val="00182C75"/>
    <w:rsid w:val="00182C7B"/>
    <w:rsid w:val="00182DDC"/>
    <w:rsid w:val="0018341A"/>
    <w:rsid w:val="001834CE"/>
    <w:rsid w:val="00183612"/>
    <w:rsid w:val="0018363A"/>
    <w:rsid w:val="00183838"/>
    <w:rsid w:val="00183885"/>
    <w:rsid w:val="001838FD"/>
    <w:rsid w:val="00183D8B"/>
    <w:rsid w:val="00183F21"/>
    <w:rsid w:val="00184188"/>
    <w:rsid w:val="0018482B"/>
    <w:rsid w:val="0018483B"/>
    <w:rsid w:val="00184850"/>
    <w:rsid w:val="00184913"/>
    <w:rsid w:val="001849FE"/>
    <w:rsid w:val="00184B07"/>
    <w:rsid w:val="00184B4A"/>
    <w:rsid w:val="00184DF1"/>
    <w:rsid w:val="0018501E"/>
    <w:rsid w:val="00185219"/>
    <w:rsid w:val="001852F8"/>
    <w:rsid w:val="00185370"/>
    <w:rsid w:val="00185671"/>
    <w:rsid w:val="0018571D"/>
    <w:rsid w:val="0018583E"/>
    <w:rsid w:val="00185967"/>
    <w:rsid w:val="00185B45"/>
    <w:rsid w:val="00185B70"/>
    <w:rsid w:val="00185B93"/>
    <w:rsid w:val="00185CEB"/>
    <w:rsid w:val="00185EE0"/>
    <w:rsid w:val="00185FB5"/>
    <w:rsid w:val="00185FF6"/>
    <w:rsid w:val="001863DD"/>
    <w:rsid w:val="001865FB"/>
    <w:rsid w:val="00186661"/>
    <w:rsid w:val="001866A4"/>
    <w:rsid w:val="00186A74"/>
    <w:rsid w:val="00186EAB"/>
    <w:rsid w:val="00187017"/>
    <w:rsid w:val="0018704E"/>
    <w:rsid w:val="001870BF"/>
    <w:rsid w:val="001870C1"/>
    <w:rsid w:val="0018726A"/>
    <w:rsid w:val="00187323"/>
    <w:rsid w:val="00187527"/>
    <w:rsid w:val="0018753F"/>
    <w:rsid w:val="0018754F"/>
    <w:rsid w:val="00187600"/>
    <w:rsid w:val="001876CC"/>
    <w:rsid w:val="00187C8B"/>
    <w:rsid w:val="00187D02"/>
    <w:rsid w:val="00190172"/>
    <w:rsid w:val="0019019D"/>
    <w:rsid w:val="00190281"/>
    <w:rsid w:val="00190310"/>
    <w:rsid w:val="00190328"/>
    <w:rsid w:val="001903F4"/>
    <w:rsid w:val="00190445"/>
    <w:rsid w:val="001906C1"/>
    <w:rsid w:val="0019072B"/>
    <w:rsid w:val="001907B6"/>
    <w:rsid w:val="00190A03"/>
    <w:rsid w:val="00190A19"/>
    <w:rsid w:val="00190E28"/>
    <w:rsid w:val="001911BD"/>
    <w:rsid w:val="00191201"/>
    <w:rsid w:val="001918C5"/>
    <w:rsid w:val="001919AB"/>
    <w:rsid w:val="00191A68"/>
    <w:rsid w:val="00191B4D"/>
    <w:rsid w:val="00191C10"/>
    <w:rsid w:val="00191CB1"/>
    <w:rsid w:val="00191CE0"/>
    <w:rsid w:val="00191CEE"/>
    <w:rsid w:val="00191ECD"/>
    <w:rsid w:val="00192050"/>
    <w:rsid w:val="001920EA"/>
    <w:rsid w:val="00192515"/>
    <w:rsid w:val="00192521"/>
    <w:rsid w:val="00192617"/>
    <w:rsid w:val="0019267F"/>
    <w:rsid w:val="00192A49"/>
    <w:rsid w:val="00192A6F"/>
    <w:rsid w:val="00192B7B"/>
    <w:rsid w:val="00192CF8"/>
    <w:rsid w:val="00193041"/>
    <w:rsid w:val="00193139"/>
    <w:rsid w:val="001931D6"/>
    <w:rsid w:val="001933B6"/>
    <w:rsid w:val="001935C2"/>
    <w:rsid w:val="00193630"/>
    <w:rsid w:val="00193682"/>
    <w:rsid w:val="001936B6"/>
    <w:rsid w:val="0019395C"/>
    <w:rsid w:val="00193AE1"/>
    <w:rsid w:val="00193BF9"/>
    <w:rsid w:val="00193F3B"/>
    <w:rsid w:val="00193F6D"/>
    <w:rsid w:val="00193F7B"/>
    <w:rsid w:val="00193FE0"/>
    <w:rsid w:val="00194134"/>
    <w:rsid w:val="0019414F"/>
    <w:rsid w:val="00194174"/>
    <w:rsid w:val="00194524"/>
    <w:rsid w:val="00194643"/>
    <w:rsid w:val="00194726"/>
    <w:rsid w:val="001947F1"/>
    <w:rsid w:val="00194910"/>
    <w:rsid w:val="0019492E"/>
    <w:rsid w:val="00194A7E"/>
    <w:rsid w:val="00194AFD"/>
    <w:rsid w:val="00194E1C"/>
    <w:rsid w:val="00194E69"/>
    <w:rsid w:val="00194FBD"/>
    <w:rsid w:val="00195122"/>
    <w:rsid w:val="00195201"/>
    <w:rsid w:val="00195209"/>
    <w:rsid w:val="001952B2"/>
    <w:rsid w:val="00195366"/>
    <w:rsid w:val="001954A4"/>
    <w:rsid w:val="001954DB"/>
    <w:rsid w:val="00195759"/>
    <w:rsid w:val="001958C2"/>
    <w:rsid w:val="00195ACD"/>
    <w:rsid w:val="00195B36"/>
    <w:rsid w:val="00195B75"/>
    <w:rsid w:val="00195C48"/>
    <w:rsid w:val="00195C52"/>
    <w:rsid w:val="00195D07"/>
    <w:rsid w:val="00195FD8"/>
    <w:rsid w:val="00195FFC"/>
    <w:rsid w:val="0019604D"/>
    <w:rsid w:val="00196051"/>
    <w:rsid w:val="0019609B"/>
    <w:rsid w:val="00196243"/>
    <w:rsid w:val="00196265"/>
    <w:rsid w:val="001962DD"/>
    <w:rsid w:val="00196448"/>
    <w:rsid w:val="00196462"/>
    <w:rsid w:val="001965F0"/>
    <w:rsid w:val="001967F4"/>
    <w:rsid w:val="0019687F"/>
    <w:rsid w:val="001968A4"/>
    <w:rsid w:val="00196AEA"/>
    <w:rsid w:val="00196B7D"/>
    <w:rsid w:val="00196D12"/>
    <w:rsid w:val="00196D62"/>
    <w:rsid w:val="00196D64"/>
    <w:rsid w:val="001970DB"/>
    <w:rsid w:val="001973BF"/>
    <w:rsid w:val="001976D5"/>
    <w:rsid w:val="001977D9"/>
    <w:rsid w:val="00197954"/>
    <w:rsid w:val="00197CA7"/>
    <w:rsid w:val="00197D8E"/>
    <w:rsid w:val="00197E14"/>
    <w:rsid w:val="00197F47"/>
    <w:rsid w:val="00197F5C"/>
    <w:rsid w:val="001A0155"/>
    <w:rsid w:val="001A02CD"/>
    <w:rsid w:val="001A03CE"/>
    <w:rsid w:val="001A03D6"/>
    <w:rsid w:val="001A0743"/>
    <w:rsid w:val="001A07CC"/>
    <w:rsid w:val="001A07E0"/>
    <w:rsid w:val="001A0976"/>
    <w:rsid w:val="001A0DF2"/>
    <w:rsid w:val="001A0F39"/>
    <w:rsid w:val="001A0F4A"/>
    <w:rsid w:val="001A0F4C"/>
    <w:rsid w:val="001A0FC0"/>
    <w:rsid w:val="001A113F"/>
    <w:rsid w:val="001A1441"/>
    <w:rsid w:val="001A18F3"/>
    <w:rsid w:val="001A1BA6"/>
    <w:rsid w:val="001A1BB0"/>
    <w:rsid w:val="001A1BFC"/>
    <w:rsid w:val="001A1D87"/>
    <w:rsid w:val="001A22C5"/>
    <w:rsid w:val="001A22F7"/>
    <w:rsid w:val="001A23F4"/>
    <w:rsid w:val="001A25C8"/>
    <w:rsid w:val="001A2713"/>
    <w:rsid w:val="001A2917"/>
    <w:rsid w:val="001A2C6F"/>
    <w:rsid w:val="001A2D41"/>
    <w:rsid w:val="001A2F47"/>
    <w:rsid w:val="001A2F54"/>
    <w:rsid w:val="001A311E"/>
    <w:rsid w:val="001A35EE"/>
    <w:rsid w:val="001A370A"/>
    <w:rsid w:val="001A3869"/>
    <w:rsid w:val="001A3D3A"/>
    <w:rsid w:val="001A3E86"/>
    <w:rsid w:val="001A3F35"/>
    <w:rsid w:val="001A3FC7"/>
    <w:rsid w:val="001A4135"/>
    <w:rsid w:val="001A4165"/>
    <w:rsid w:val="001A4249"/>
    <w:rsid w:val="001A4317"/>
    <w:rsid w:val="001A45F1"/>
    <w:rsid w:val="001A465F"/>
    <w:rsid w:val="001A485D"/>
    <w:rsid w:val="001A4932"/>
    <w:rsid w:val="001A5043"/>
    <w:rsid w:val="001A5070"/>
    <w:rsid w:val="001A5414"/>
    <w:rsid w:val="001A54B3"/>
    <w:rsid w:val="001A56B8"/>
    <w:rsid w:val="001A574A"/>
    <w:rsid w:val="001A574F"/>
    <w:rsid w:val="001A57DB"/>
    <w:rsid w:val="001A5A05"/>
    <w:rsid w:val="001A5AD9"/>
    <w:rsid w:val="001A5B6B"/>
    <w:rsid w:val="001A5B73"/>
    <w:rsid w:val="001A5BE9"/>
    <w:rsid w:val="001A5EFE"/>
    <w:rsid w:val="001A6695"/>
    <w:rsid w:val="001A67C6"/>
    <w:rsid w:val="001A67D5"/>
    <w:rsid w:val="001A696A"/>
    <w:rsid w:val="001A69F6"/>
    <w:rsid w:val="001A6BA6"/>
    <w:rsid w:val="001A6BEF"/>
    <w:rsid w:val="001A6CFD"/>
    <w:rsid w:val="001A6D88"/>
    <w:rsid w:val="001A6E62"/>
    <w:rsid w:val="001A6EEB"/>
    <w:rsid w:val="001A7045"/>
    <w:rsid w:val="001A741C"/>
    <w:rsid w:val="001A74D1"/>
    <w:rsid w:val="001A7868"/>
    <w:rsid w:val="001A7894"/>
    <w:rsid w:val="001A7CF2"/>
    <w:rsid w:val="001A7E72"/>
    <w:rsid w:val="001A8BE9"/>
    <w:rsid w:val="001B020C"/>
    <w:rsid w:val="001B0318"/>
    <w:rsid w:val="001B03A8"/>
    <w:rsid w:val="001B04D7"/>
    <w:rsid w:val="001B0548"/>
    <w:rsid w:val="001B0929"/>
    <w:rsid w:val="001B0A97"/>
    <w:rsid w:val="001B0BA5"/>
    <w:rsid w:val="001B0BBF"/>
    <w:rsid w:val="001B0C8C"/>
    <w:rsid w:val="001B0DF6"/>
    <w:rsid w:val="001B0E3D"/>
    <w:rsid w:val="001B0F72"/>
    <w:rsid w:val="001B1078"/>
    <w:rsid w:val="001B1177"/>
    <w:rsid w:val="001B1345"/>
    <w:rsid w:val="001B1448"/>
    <w:rsid w:val="001B186B"/>
    <w:rsid w:val="001B19F9"/>
    <w:rsid w:val="001B1B62"/>
    <w:rsid w:val="001B1C04"/>
    <w:rsid w:val="001B1C18"/>
    <w:rsid w:val="001B1C1D"/>
    <w:rsid w:val="001B1C4E"/>
    <w:rsid w:val="001B1C68"/>
    <w:rsid w:val="001B1E22"/>
    <w:rsid w:val="001B1F9B"/>
    <w:rsid w:val="001B20AC"/>
    <w:rsid w:val="001B20B8"/>
    <w:rsid w:val="001B21F9"/>
    <w:rsid w:val="001B242D"/>
    <w:rsid w:val="001B25A7"/>
    <w:rsid w:val="001B266D"/>
    <w:rsid w:val="001B28EC"/>
    <w:rsid w:val="001B2913"/>
    <w:rsid w:val="001B2BFC"/>
    <w:rsid w:val="001B2E32"/>
    <w:rsid w:val="001B3200"/>
    <w:rsid w:val="001B324E"/>
    <w:rsid w:val="001B32D2"/>
    <w:rsid w:val="001B3351"/>
    <w:rsid w:val="001B3458"/>
    <w:rsid w:val="001B34CA"/>
    <w:rsid w:val="001B374B"/>
    <w:rsid w:val="001B37F0"/>
    <w:rsid w:val="001B386E"/>
    <w:rsid w:val="001B3B34"/>
    <w:rsid w:val="001B3B8C"/>
    <w:rsid w:val="001B3B9C"/>
    <w:rsid w:val="001B3BF9"/>
    <w:rsid w:val="001B3CAA"/>
    <w:rsid w:val="001B4246"/>
    <w:rsid w:val="001B4321"/>
    <w:rsid w:val="001B4461"/>
    <w:rsid w:val="001B44AF"/>
    <w:rsid w:val="001B4501"/>
    <w:rsid w:val="001B470A"/>
    <w:rsid w:val="001B482D"/>
    <w:rsid w:val="001B4948"/>
    <w:rsid w:val="001B494D"/>
    <w:rsid w:val="001B4B41"/>
    <w:rsid w:val="001B4CC5"/>
    <w:rsid w:val="001B4E00"/>
    <w:rsid w:val="001B4F35"/>
    <w:rsid w:val="001B4F86"/>
    <w:rsid w:val="001B4FA3"/>
    <w:rsid w:val="001B50D7"/>
    <w:rsid w:val="001B5136"/>
    <w:rsid w:val="001B5230"/>
    <w:rsid w:val="001B535E"/>
    <w:rsid w:val="001B5425"/>
    <w:rsid w:val="001B5456"/>
    <w:rsid w:val="001B5771"/>
    <w:rsid w:val="001B57C8"/>
    <w:rsid w:val="001B584C"/>
    <w:rsid w:val="001B58A1"/>
    <w:rsid w:val="001B58D5"/>
    <w:rsid w:val="001B5A87"/>
    <w:rsid w:val="001B5BFE"/>
    <w:rsid w:val="001B5C12"/>
    <w:rsid w:val="001B5E34"/>
    <w:rsid w:val="001B61E2"/>
    <w:rsid w:val="001B626A"/>
    <w:rsid w:val="001B64FD"/>
    <w:rsid w:val="001B679C"/>
    <w:rsid w:val="001B69DB"/>
    <w:rsid w:val="001B6ACE"/>
    <w:rsid w:val="001B6B2B"/>
    <w:rsid w:val="001B6B86"/>
    <w:rsid w:val="001B6C20"/>
    <w:rsid w:val="001B6D50"/>
    <w:rsid w:val="001B7007"/>
    <w:rsid w:val="001B73FD"/>
    <w:rsid w:val="001B74C3"/>
    <w:rsid w:val="001B750D"/>
    <w:rsid w:val="001B75F3"/>
    <w:rsid w:val="001B7603"/>
    <w:rsid w:val="001B768E"/>
    <w:rsid w:val="001B7AB8"/>
    <w:rsid w:val="001B7CC5"/>
    <w:rsid w:val="001B7D11"/>
    <w:rsid w:val="001B7FB1"/>
    <w:rsid w:val="001B7FD3"/>
    <w:rsid w:val="001C0040"/>
    <w:rsid w:val="001C0122"/>
    <w:rsid w:val="001C0206"/>
    <w:rsid w:val="001C0388"/>
    <w:rsid w:val="001C0503"/>
    <w:rsid w:val="001C0585"/>
    <w:rsid w:val="001C0787"/>
    <w:rsid w:val="001C08B6"/>
    <w:rsid w:val="001C0920"/>
    <w:rsid w:val="001C0949"/>
    <w:rsid w:val="001C0AC8"/>
    <w:rsid w:val="001C0B6C"/>
    <w:rsid w:val="001C0B79"/>
    <w:rsid w:val="001C0D98"/>
    <w:rsid w:val="001C10DD"/>
    <w:rsid w:val="001C10E3"/>
    <w:rsid w:val="001C1201"/>
    <w:rsid w:val="001C1414"/>
    <w:rsid w:val="001C1861"/>
    <w:rsid w:val="001C1876"/>
    <w:rsid w:val="001C1959"/>
    <w:rsid w:val="001C196C"/>
    <w:rsid w:val="001C1AE8"/>
    <w:rsid w:val="001C1E3D"/>
    <w:rsid w:val="001C1FAC"/>
    <w:rsid w:val="001C1FE3"/>
    <w:rsid w:val="001C2122"/>
    <w:rsid w:val="001C27D5"/>
    <w:rsid w:val="001C2A93"/>
    <w:rsid w:val="001C2C9E"/>
    <w:rsid w:val="001C2CA0"/>
    <w:rsid w:val="001C2D3B"/>
    <w:rsid w:val="001C2D9E"/>
    <w:rsid w:val="001C2DD4"/>
    <w:rsid w:val="001C2DEA"/>
    <w:rsid w:val="001C2F29"/>
    <w:rsid w:val="001C31CA"/>
    <w:rsid w:val="001C3295"/>
    <w:rsid w:val="001C3631"/>
    <w:rsid w:val="001C3640"/>
    <w:rsid w:val="001C3727"/>
    <w:rsid w:val="001C3882"/>
    <w:rsid w:val="001C3A0F"/>
    <w:rsid w:val="001C3BBE"/>
    <w:rsid w:val="001C3C34"/>
    <w:rsid w:val="001C3E9C"/>
    <w:rsid w:val="001C3F04"/>
    <w:rsid w:val="001C3F60"/>
    <w:rsid w:val="001C4033"/>
    <w:rsid w:val="001C417B"/>
    <w:rsid w:val="001C442B"/>
    <w:rsid w:val="001C44E4"/>
    <w:rsid w:val="001C4834"/>
    <w:rsid w:val="001C4C67"/>
    <w:rsid w:val="001C4D91"/>
    <w:rsid w:val="001C4E16"/>
    <w:rsid w:val="001C4E8F"/>
    <w:rsid w:val="001C4ECC"/>
    <w:rsid w:val="001C505A"/>
    <w:rsid w:val="001C5150"/>
    <w:rsid w:val="001C5267"/>
    <w:rsid w:val="001C5469"/>
    <w:rsid w:val="001C5480"/>
    <w:rsid w:val="001C5716"/>
    <w:rsid w:val="001C571A"/>
    <w:rsid w:val="001C58E0"/>
    <w:rsid w:val="001C5901"/>
    <w:rsid w:val="001C5A44"/>
    <w:rsid w:val="001C5C3B"/>
    <w:rsid w:val="001C5C4C"/>
    <w:rsid w:val="001C5D5F"/>
    <w:rsid w:val="001C5E7A"/>
    <w:rsid w:val="001C5F74"/>
    <w:rsid w:val="001C5F9F"/>
    <w:rsid w:val="001C6129"/>
    <w:rsid w:val="001C64D5"/>
    <w:rsid w:val="001C6595"/>
    <w:rsid w:val="001C66D7"/>
    <w:rsid w:val="001C66EE"/>
    <w:rsid w:val="001C6771"/>
    <w:rsid w:val="001C6873"/>
    <w:rsid w:val="001C68F8"/>
    <w:rsid w:val="001C6ABF"/>
    <w:rsid w:val="001C6C7A"/>
    <w:rsid w:val="001C6F6D"/>
    <w:rsid w:val="001C6FE7"/>
    <w:rsid w:val="001C7066"/>
    <w:rsid w:val="001C7175"/>
    <w:rsid w:val="001C7193"/>
    <w:rsid w:val="001C73BC"/>
    <w:rsid w:val="001C7545"/>
    <w:rsid w:val="001C76C6"/>
    <w:rsid w:val="001C76CA"/>
    <w:rsid w:val="001C77FF"/>
    <w:rsid w:val="001C788D"/>
    <w:rsid w:val="001C7996"/>
    <w:rsid w:val="001C7A6C"/>
    <w:rsid w:val="001C7ABA"/>
    <w:rsid w:val="001C7D5E"/>
    <w:rsid w:val="001D01D1"/>
    <w:rsid w:val="001D02B7"/>
    <w:rsid w:val="001D030D"/>
    <w:rsid w:val="001D03C9"/>
    <w:rsid w:val="001D0487"/>
    <w:rsid w:val="001D064E"/>
    <w:rsid w:val="001D0841"/>
    <w:rsid w:val="001D08D9"/>
    <w:rsid w:val="001D099D"/>
    <w:rsid w:val="001D09FE"/>
    <w:rsid w:val="001D0BDB"/>
    <w:rsid w:val="001D0D4B"/>
    <w:rsid w:val="001D0F61"/>
    <w:rsid w:val="001D10D3"/>
    <w:rsid w:val="001D1256"/>
    <w:rsid w:val="001D1692"/>
    <w:rsid w:val="001D1772"/>
    <w:rsid w:val="001D1792"/>
    <w:rsid w:val="001D187F"/>
    <w:rsid w:val="001D19BF"/>
    <w:rsid w:val="001D1B2A"/>
    <w:rsid w:val="001D1BE7"/>
    <w:rsid w:val="001D1BFD"/>
    <w:rsid w:val="001D1FD3"/>
    <w:rsid w:val="001D2069"/>
    <w:rsid w:val="001D21F9"/>
    <w:rsid w:val="001D2651"/>
    <w:rsid w:val="001D2658"/>
    <w:rsid w:val="001D26ED"/>
    <w:rsid w:val="001D273D"/>
    <w:rsid w:val="001D29F1"/>
    <w:rsid w:val="001D2ADB"/>
    <w:rsid w:val="001D2B67"/>
    <w:rsid w:val="001D2DF1"/>
    <w:rsid w:val="001D2ED8"/>
    <w:rsid w:val="001D2EE7"/>
    <w:rsid w:val="001D3385"/>
    <w:rsid w:val="001D33C7"/>
    <w:rsid w:val="001D33F9"/>
    <w:rsid w:val="001D3481"/>
    <w:rsid w:val="001D348F"/>
    <w:rsid w:val="001D34CB"/>
    <w:rsid w:val="001D3801"/>
    <w:rsid w:val="001D393B"/>
    <w:rsid w:val="001D3994"/>
    <w:rsid w:val="001D3999"/>
    <w:rsid w:val="001D39E2"/>
    <w:rsid w:val="001D3B89"/>
    <w:rsid w:val="001D3D45"/>
    <w:rsid w:val="001D3E67"/>
    <w:rsid w:val="001D4129"/>
    <w:rsid w:val="001D424E"/>
    <w:rsid w:val="001D4270"/>
    <w:rsid w:val="001D436B"/>
    <w:rsid w:val="001D457F"/>
    <w:rsid w:val="001D4702"/>
    <w:rsid w:val="001D4921"/>
    <w:rsid w:val="001D49DF"/>
    <w:rsid w:val="001D4A8F"/>
    <w:rsid w:val="001D4C59"/>
    <w:rsid w:val="001D4ECE"/>
    <w:rsid w:val="001D4F29"/>
    <w:rsid w:val="001D504F"/>
    <w:rsid w:val="001D528D"/>
    <w:rsid w:val="001D5502"/>
    <w:rsid w:val="001D55C7"/>
    <w:rsid w:val="001D5750"/>
    <w:rsid w:val="001D581B"/>
    <w:rsid w:val="001D58AA"/>
    <w:rsid w:val="001D59C4"/>
    <w:rsid w:val="001D5A5D"/>
    <w:rsid w:val="001D5C32"/>
    <w:rsid w:val="001D5EB8"/>
    <w:rsid w:val="001D6001"/>
    <w:rsid w:val="001D62BE"/>
    <w:rsid w:val="001D6402"/>
    <w:rsid w:val="001D673B"/>
    <w:rsid w:val="001D6846"/>
    <w:rsid w:val="001D6979"/>
    <w:rsid w:val="001D6A2F"/>
    <w:rsid w:val="001D6B77"/>
    <w:rsid w:val="001D6C1E"/>
    <w:rsid w:val="001D6EF4"/>
    <w:rsid w:val="001D70B4"/>
    <w:rsid w:val="001D7101"/>
    <w:rsid w:val="001D732C"/>
    <w:rsid w:val="001D7599"/>
    <w:rsid w:val="001D7829"/>
    <w:rsid w:val="001D7BC5"/>
    <w:rsid w:val="001D7C9C"/>
    <w:rsid w:val="001D7D4A"/>
    <w:rsid w:val="001D7EFA"/>
    <w:rsid w:val="001DB0C5"/>
    <w:rsid w:val="001E0033"/>
    <w:rsid w:val="001E0441"/>
    <w:rsid w:val="001E070D"/>
    <w:rsid w:val="001E07D2"/>
    <w:rsid w:val="001E0A92"/>
    <w:rsid w:val="001E0AFA"/>
    <w:rsid w:val="001E0BAF"/>
    <w:rsid w:val="001E0D9B"/>
    <w:rsid w:val="001E0FAE"/>
    <w:rsid w:val="001E11AE"/>
    <w:rsid w:val="001E12A1"/>
    <w:rsid w:val="001E12C7"/>
    <w:rsid w:val="001E135A"/>
    <w:rsid w:val="001E13D0"/>
    <w:rsid w:val="001E14AC"/>
    <w:rsid w:val="001E14F6"/>
    <w:rsid w:val="001E16DF"/>
    <w:rsid w:val="001E170C"/>
    <w:rsid w:val="001E188B"/>
    <w:rsid w:val="001E1968"/>
    <w:rsid w:val="001E19A4"/>
    <w:rsid w:val="001E1A14"/>
    <w:rsid w:val="001E1AD7"/>
    <w:rsid w:val="001E1D3E"/>
    <w:rsid w:val="001E2027"/>
    <w:rsid w:val="001E2236"/>
    <w:rsid w:val="001E2312"/>
    <w:rsid w:val="001E2414"/>
    <w:rsid w:val="001E25BF"/>
    <w:rsid w:val="001E25C4"/>
    <w:rsid w:val="001E2817"/>
    <w:rsid w:val="001E29B7"/>
    <w:rsid w:val="001E2DE1"/>
    <w:rsid w:val="001E2E3D"/>
    <w:rsid w:val="001E2F40"/>
    <w:rsid w:val="001E2FAC"/>
    <w:rsid w:val="001E3113"/>
    <w:rsid w:val="001E31CA"/>
    <w:rsid w:val="001E31EA"/>
    <w:rsid w:val="001E3368"/>
    <w:rsid w:val="001E3560"/>
    <w:rsid w:val="001E39BB"/>
    <w:rsid w:val="001E3A60"/>
    <w:rsid w:val="001E3B30"/>
    <w:rsid w:val="001E3C28"/>
    <w:rsid w:val="001E3D12"/>
    <w:rsid w:val="001E3E2D"/>
    <w:rsid w:val="001E3F41"/>
    <w:rsid w:val="001E4026"/>
    <w:rsid w:val="001E4076"/>
    <w:rsid w:val="001E4361"/>
    <w:rsid w:val="001E4369"/>
    <w:rsid w:val="001E47C9"/>
    <w:rsid w:val="001E4870"/>
    <w:rsid w:val="001E48AE"/>
    <w:rsid w:val="001E49BF"/>
    <w:rsid w:val="001E4D9B"/>
    <w:rsid w:val="001E4E89"/>
    <w:rsid w:val="001E517E"/>
    <w:rsid w:val="001E520E"/>
    <w:rsid w:val="001E52E9"/>
    <w:rsid w:val="001E5431"/>
    <w:rsid w:val="001E598A"/>
    <w:rsid w:val="001E5993"/>
    <w:rsid w:val="001E59F2"/>
    <w:rsid w:val="001E5BC9"/>
    <w:rsid w:val="001E5CA5"/>
    <w:rsid w:val="001E5EB4"/>
    <w:rsid w:val="001E6087"/>
    <w:rsid w:val="001E61E6"/>
    <w:rsid w:val="001E626A"/>
    <w:rsid w:val="001E62BB"/>
    <w:rsid w:val="001E62EB"/>
    <w:rsid w:val="001E6600"/>
    <w:rsid w:val="001E660C"/>
    <w:rsid w:val="001E6996"/>
    <w:rsid w:val="001E6ED9"/>
    <w:rsid w:val="001E700C"/>
    <w:rsid w:val="001E7010"/>
    <w:rsid w:val="001E7100"/>
    <w:rsid w:val="001E731B"/>
    <w:rsid w:val="001E76B1"/>
    <w:rsid w:val="001E782E"/>
    <w:rsid w:val="001E78F2"/>
    <w:rsid w:val="001E78FF"/>
    <w:rsid w:val="001E793A"/>
    <w:rsid w:val="001E7C7B"/>
    <w:rsid w:val="001E7F78"/>
    <w:rsid w:val="001E7FF4"/>
    <w:rsid w:val="001F00A5"/>
    <w:rsid w:val="001F028A"/>
    <w:rsid w:val="001F040C"/>
    <w:rsid w:val="001F04F5"/>
    <w:rsid w:val="001F04F8"/>
    <w:rsid w:val="001F071B"/>
    <w:rsid w:val="001F09AF"/>
    <w:rsid w:val="001F0A9D"/>
    <w:rsid w:val="001F0AD3"/>
    <w:rsid w:val="001F0C73"/>
    <w:rsid w:val="001F0D8F"/>
    <w:rsid w:val="001F0E30"/>
    <w:rsid w:val="001F0E41"/>
    <w:rsid w:val="001F1144"/>
    <w:rsid w:val="001F1216"/>
    <w:rsid w:val="001F1328"/>
    <w:rsid w:val="001F1345"/>
    <w:rsid w:val="001F13A8"/>
    <w:rsid w:val="001F16C0"/>
    <w:rsid w:val="001F189A"/>
    <w:rsid w:val="001F1ADA"/>
    <w:rsid w:val="001F1B7D"/>
    <w:rsid w:val="001F1BA5"/>
    <w:rsid w:val="001F1C60"/>
    <w:rsid w:val="001F1F2A"/>
    <w:rsid w:val="001F1FB9"/>
    <w:rsid w:val="001F26FA"/>
    <w:rsid w:val="001F2728"/>
    <w:rsid w:val="001F28E4"/>
    <w:rsid w:val="001F2945"/>
    <w:rsid w:val="001F29A8"/>
    <w:rsid w:val="001F2A11"/>
    <w:rsid w:val="001F2AA6"/>
    <w:rsid w:val="001F2B1B"/>
    <w:rsid w:val="001F3043"/>
    <w:rsid w:val="001F3462"/>
    <w:rsid w:val="001F3494"/>
    <w:rsid w:val="001F362D"/>
    <w:rsid w:val="001F36CD"/>
    <w:rsid w:val="001F36F6"/>
    <w:rsid w:val="001F3725"/>
    <w:rsid w:val="001F3777"/>
    <w:rsid w:val="001F3945"/>
    <w:rsid w:val="001F3A87"/>
    <w:rsid w:val="001F3A99"/>
    <w:rsid w:val="001F3D91"/>
    <w:rsid w:val="001F3F7B"/>
    <w:rsid w:val="001F3FCC"/>
    <w:rsid w:val="001F4146"/>
    <w:rsid w:val="001F4306"/>
    <w:rsid w:val="001F44EA"/>
    <w:rsid w:val="001F44F8"/>
    <w:rsid w:val="001F4880"/>
    <w:rsid w:val="001F4B9B"/>
    <w:rsid w:val="001F51F0"/>
    <w:rsid w:val="001F520B"/>
    <w:rsid w:val="001F5349"/>
    <w:rsid w:val="001F5369"/>
    <w:rsid w:val="001F541B"/>
    <w:rsid w:val="001F57BB"/>
    <w:rsid w:val="001F58A1"/>
    <w:rsid w:val="001F596C"/>
    <w:rsid w:val="001F5D92"/>
    <w:rsid w:val="001F5DEA"/>
    <w:rsid w:val="001F5E50"/>
    <w:rsid w:val="001F5F92"/>
    <w:rsid w:val="001F60F8"/>
    <w:rsid w:val="001F6105"/>
    <w:rsid w:val="001F6373"/>
    <w:rsid w:val="001F6444"/>
    <w:rsid w:val="001F6664"/>
    <w:rsid w:val="001F66D2"/>
    <w:rsid w:val="001F6990"/>
    <w:rsid w:val="001F6A14"/>
    <w:rsid w:val="001F6A98"/>
    <w:rsid w:val="001F6AB2"/>
    <w:rsid w:val="001F6B0F"/>
    <w:rsid w:val="001F6F8F"/>
    <w:rsid w:val="001F7017"/>
    <w:rsid w:val="001F7037"/>
    <w:rsid w:val="001F7097"/>
    <w:rsid w:val="001F714C"/>
    <w:rsid w:val="001F71C7"/>
    <w:rsid w:val="001F721A"/>
    <w:rsid w:val="001F7262"/>
    <w:rsid w:val="001F7300"/>
    <w:rsid w:val="001F73AC"/>
    <w:rsid w:val="001F744B"/>
    <w:rsid w:val="001F746C"/>
    <w:rsid w:val="001F75D9"/>
    <w:rsid w:val="001F75DC"/>
    <w:rsid w:val="001F77D0"/>
    <w:rsid w:val="001F7A7C"/>
    <w:rsid w:val="001F7A7E"/>
    <w:rsid w:val="001F7AA0"/>
    <w:rsid w:val="00200019"/>
    <w:rsid w:val="00200077"/>
    <w:rsid w:val="0020016F"/>
    <w:rsid w:val="002001B3"/>
    <w:rsid w:val="002001DC"/>
    <w:rsid w:val="002004D0"/>
    <w:rsid w:val="00200505"/>
    <w:rsid w:val="002006FA"/>
    <w:rsid w:val="00200812"/>
    <w:rsid w:val="0020081B"/>
    <w:rsid w:val="002008B8"/>
    <w:rsid w:val="0020093A"/>
    <w:rsid w:val="00200977"/>
    <w:rsid w:val="00200D1D"/>
    <w:rsid w:val="00200DD2"/>
    <w:rsid w:val="0020156C"/>
    <w:rsid w:val="002015CF"/>
    <w:rsid w:val="00201658"/>
    <w:rsid w:val="002017C5"/>
    <w:rsid w:val="00201903"/>
    <w:rsid w:val="00201939"/>
    <w:rsid w:val="00201A39"/>
    <w:rsid w:val="00201E0F"/>
    <w:rsid w:val="00201F8F"/>
    <w:rsid w:val="00201FE1"/>
    <w:rsid w:val="002020AE"/>
    <w:rsid w:val="0020216F"/>
    <w:rsid w:val="002023F8"/>
    <w:rsid w:val="00202538"/>
    <w:rsid w:val="0020253A"/>
    <w:rsid w:val="0020254F"/>
    <w:rsid w:val="00202763"/>
    <w:rsid w:val="00202A2B"/>
    <w:rsid w:val="00202AA0"/>
    <w:rsid w:val="00202B0D"/>
    <w:rsid w:val="00202CA6"/>
    <w:rsid w:val="00202DE9"/>
    <w:rsid w:val="002030DC"/>
    <w:rsid w:val="00203223"/>
    <w:rsid w:val="002032C7"/>
    <w:rsid w:val="00203404"/>
    <w:rsid w:val="00203425"/>
    <w:rsid w:val="00203521"/>
    <w:rsid w:val="002035B5"/>
    <w:rsid w:val="002036F5"/>
    <w:rsid w:val="00203C0F"/>
    <w:rsid w:val="00203CED"/>
    <w:rsid w:val="00203DB8"/>
    <w:rsid w:val="00203E13"/>
    <w:rsid w:val="00204015"/>
    <w:rsid w:val="002040CB"/>
    <w:rsid w:val="0020428F"/>
    <w:rsid w:val="00204717"/>
    <w:rsid w:val="00204A13"/>
    <w:rsid w:val="00204AD9"/>
    <w:rsid w:val="00204AEE"/>
    <w:rsid w:val="00204CA6"/>
    <w:rsid w:val="00205348"/>
    <w:rsid w:val="002053C2"/>
    <w:rsid w:val="00205712"/>
    <w:rsid w:val="0020593C"/>
    <w:rsid w:val="00205DFD"/>
    <w:rsid w:val="00205E90"/>
    <w:rsid w:val="00205FC9"/>
    <w:rsid w:val="00206000"/>
    <w:rsid w:val="002061D7"/>
    <w:rsid w:val="0020647D"/>
    <w:rsid w:val="002064DA"/>
    <w:rsid w:val="002064F4"/>
    <w:rsid w:val="00206527"/>
    <w:rsid w:val="00206533"/>
    <w:rsid w:val="002066CB"/>
    <w:rsid w:val="00206A1D"/>
    <w:rsid w:val="00206B1B"/>
    <w:rsid w:val="00206B89"/>
    <w:rsid w:val="00206BA0"/>
    <w:rsid w:val="00206C21"/>
    <w:rsid w:val="00206C32"/>
    <w:rsid w:val="00206D10"/>
    <w:rsid w:val="00206DC1"/>
    <w:rsid w:val="00206DE2"/>
    <w:rsid w:val="00206E6C"/>
    <w:rsid w:val="0020709E"/>
    <w:rsid w:val="002072BC"/>
    <w:rsid w:val="002077D4"/>
    <w:rsid w:val="002077FB"/>
    <w:rsid w:val="00207883"/>
    <w:rsid w:val="002078FB"/>
    <w:rsid w:val="00207B53"/>
    <w:rsid w:val="00207C86"/>
    <w:rsid w:val="00208146"/>
    <w:rsid w:val="00210159"/>
    <w:rsid w:val="002102CC"/>
    <w:rsid w:val="00210629"/>
    <w:rsid w:val="002109D0"/>
    <w:rsid w:val="00210A97"/>
    <w:rsid w:val="00210C06"/>
    <w:rsid w:val="00210C43"/>
    <w:rsid w:val="00210CCF"/>
    <w:rsid w:val="00210DAB"/>
    <w:rsid w:val="00211225"/>
    <w:rsid w:val="002113AC"/>
    <w:rsid w:val="0021144D"/>
    <w:rsid w:val="0021152C"/>
    <w:rsid w:val="002116F6"/>
    <w:rsid w:val="00211767"/>
    <w:rsid w:val="00211788"/>
    <w:rsid w:val="00211934"/>
    <w:rsid w:val="002119E6"/>
    <w:rsid w:val="00211D62"/>
    <w:rsid w:val="0021210F"/>
    <w:rsid w:val="00212158"/>
    <w:rsid w:val="00212185"/>
    <w:rsid w:val="00212300"/>
    <w:rsid w:val="002123CC"/>
    <w:rsid w:val="002124A5"/>
    <w:rsid w:val="0021270C"/>
    <w:rsid w:val="00212884"/>
    <w:rsid w:val="0021292B"/>
    <w:rsid w:val="00212980"/>
    <w:rsid w:val="00212B0D"/>
    <w:rsid w:val="00212C97"/>
    <w:rsid w:val="00212DBC"/>
    <w:rsid w:val="00212DFC"/>
    <w:rsid w:val="00212EDA"/>
    <w:rsid w:val="0021306F"/>
    <w:rsid w:val="00213148"/>
    <w:rsid w:val="00213306"/>
    <w:rsid w:val="00213395"/>
    <w:rsid w:val="00213738"/>
    <w:rsid w:val="002137A4"/>
    <w:rsid w:val="00213CE7"/>
    <w:rsid w:val="00213EA3"/>
    <w:rsid w:val="00213F40"/>
    <w:rsid w:val="002140CC"/>
    <w:rsid w:val="0021413A"/>
    <w:rsid w:val="00214291"/>
    <w:rsid w:val="002142F2"/>
    <w:rsid w:val="0021457A"/>
    <w:rsid w:val="002145EF"/>
    <w:rsid w:val="0021466A"/>
    <w:rsid w:val="002146AD"/>
    <w:rsid w:val="00214782"/>
    <w:rsid w:val="00214860"/>
    <w:rsid w:val="002148BD"/>
    <w:rsid w:val="00214915"/>
    <w:rsid w:val="00214A94"/>
    <w:rsid w:val="00214FCB"/>
    <w:rsid w:val="0021531F"/>
    <w:rsid w:val="00215375"/>
    <w:rsid w:val="002153A3"/>
    <w:rsid w:val="002153F7"/>
    <w:rsid w:val="00215532"/>
    <w:rsid w:val="00215875"/>
    <w:rsid w:val="002159F1"/>
    <w:rsid w:val="00215A54"/>
    <w:rsid w:val="00215AE5"/>
    <w:rsid w:val="00215AFC"/>
    <w:rsid w:val="00215BC0"/>
    <w:rsid w:val="00215F40"/>
    <w:rsid w:val="00216064"/>
    <w:rsid w:val="002161DA"/>
    <w:rsid w:val="002163EF"/>
    <w:rsid w:val="0021647B"/>
    <w:rsid w:val="002165FF"/>
    <w:rsid w:val="0021665D"/>
    <w:rsid w:val="002169D1"/>
    <w:rsid w:val="00216AF4"/>
    <w:rsid w:val="00216B99"/>
    <w:rsid w:val="00216D7A"/>
    <w:rsid w:val="00216F6F"/>
    <w:rsid w:val="00216FA3"/>
    <w:rsid w:val="0021702A"/>
    <w:rsid w:val="002172C7"/>
    <w:rsid w:val="0021757D"/>
    <w:rsid w:val="002176E0"/>
    <w:rsid w:val="00217722"/>
    <w:rsid w:val="0021777C"/>
    <w:rsid w:val="002179FE"/>
    <w:rsid w:val="00217B2C"/>
    <w:rsid w:val="00217C2E"/>
    <w:rsid w:val="00217D83"/>
    <w:rsid w:val="00217DD4"/>
    <w:rsid w:val="00217DDA"/>
    <w:rsid w:val="00217E30"/>
    <w:rsid w:val="00217EA1"/>
    <w:rsid w:val="00217FEA"/>
    <w:rsid w:val="00220267"/>
    <w:rsid w:val="002202F1"/>
    <w:rsid w:val="002204C5"/>
    <w:rsid w:val="002204E1"/>
    <w:rsid w:val="00220640"/>
    <w:rsid w:val="00220948"/>
    <w:rsid w:val="00220A7B"/>
    <w:rsid w:val="00220D64"/>
    <w:rsid w:val="00221091"/>
    <w:rsid w:val="002211B6"/>
    <w:rsid w:val="002211DF"/>
    <w:rsid w:val="002212A4"/>
    <w:rsid w:val="0022132B"/>
    <w:rsid w:val="00221358"/>
    <w:rsid w:val="002213EA"/>
    <w:rsid w:val="00221562"/>
    <w:rsid w:val="00221618"/>
    <w:rsid w:val="00221669"/>
    <w:rsid w:val="002216C9"/>
    <w:rsid w:val="0022177B"/>
    <w:rsid w:val="00221791"/>
    <w:rsid w:val="00221A54"/>
    <w:rsid w:val="00221AAB"/>
    <w:rsid w:val="00221CC1"/>
    <w:rsid w:val="00222074"/>
    <w:rsid w:val="002222DE"/>
    <w:rsid w:val="0022234C"/>
    <w:rsid w:val="002225D6"/>
    <w:rsid w:val="00222870"/>
    <w:rsid w:val="00222950"/>
    <w:rsid w:val="00222B0B"/>
    <w:rsid w:val="00222BAD"/>
    <w:rsid w:val="00223037"/>
    <w:rsid w:val="00223307"/>
    <w:rsid w:val="00223463"/>
    <w:rsid w:val="002234BC"/>
    <w:rsid w:val="002234FE"/>
    <w:rsid w:val="0022364C"/>
    <w:rsid w:val="00223B91"/>
    <w:rsid w:val="00223C74"/>
    <w:rsid w:val="00223D5E"/>
    <w:rsid w:val="00223E78"/>
    <w:rsid w:val="00223E84"/>
    <w:rsid w:val="00223EAB"/>
    <w:rsid w:val="00223F82"/>
    <w:rsid w:val="002240C8"/>
    <w:rsid w:val="0022427E"/>
    <w:rsid w:val="00224329"/>
    <w:rsid w:val="00224473"/>
    <w:rsid w:val="002244C9"/>
    <w:rsid w:val="002244F7"/>
    <w:rsid w:val="002245E1"/>
    <w:rsid w:val="00224619"/>
    <w:rsid w:val="002246C4"/>
    <w:rsid w:val="0022479D"/>
    <w:rsid w:val="00224821"/>
    <w:rsid w:val="002248A8"/>
    <w:rsid w:val="00224920"/>
    <w:rsid w:val="0022498F"/>
    <w:rsid w:val="002249E2"/>
    <w:rsid w:val="00224A78"/>
    <w:rsid w:val="00224E68"/>
    <w:rsid w:val="00224ECB"/>
    <w:rsid w:val="00225136"/>
    <w:rsid w:val="00225269"/>
    <w:rsid w:val="00225674"/>
    <w:rsid w:val="0022596E"/>
    <w:rsid w:val="002259EA"/>
    <w:rsid w:val="00225B35"/>
    <w:rsid w:val="00225D35"/>
    <w:rsid w:val="00225E89"/>
    <w:rsid w:val="002265CC"/>
    <w:rsid w:val="002265FA"/>
    <w:rsid w:val="002266E1"/>
    <w:rsid w:val="00226774"/>
    <w:rsid w:val="0022693F"/>
    <w:rsid w:val="00226FA9"/>
    <w:rsid w:val="00226FCF"/>
    <w:rsid w:val="00227124"/>
    <w:rsid w:val="00227325"/>
    <w:rsid w:val="00227449"/>
    <w:rsid w:val="002274EC"/>
    <w:rsid w:val="00227541"/>
    <w:rsid w:val="00227549"/>
    <w:rsid w:val="002275FE"/>
    <w:rsid w:val="00227709"/>
    <w:rsid w:val="00227B38"/>
    <w:rsid w:val="00227C29"/>
    <w:rsid w:val="00227CFB"/>
    <w:rsid w:val="00227E6D"/>
    <w:rsid w:val="00227EBF"/>
    <w:rsid w:val="00230089"/>
    <w:rsid w:val="002302B0"/>
    <w:rsid w:val="002303F4"/>
    <w:rsid w:val="00230481"/>
    <w:rsid w:val="00230571"/>
    <w:rsid w:val="00230684"/>
    <w:rsid w:val="00230737"/>
    <w:rsid w:val="00230A4F"/>
    <w:rsid w:val="00230D54"/>
    <w:rsid w:val="00230E37"/>
    <w:rsid w:val="00231027"/>
    <w:rsid w:val="00231037"/>
    <w:rsid w:val="002310D1"/>
    <w:rsid w:val="0023120A"/>
    <w:rsid w:val="0023124F"/>
    <w:rsid w:val="0023140C"/>
    <w:rsid w:val="0023154C"/>
    <w:rsid w:val="00231581"/>
    <w:rsid w:val="002316D4"/>
    <w:rsid w:val="0023175A"/>
    <w:rsid w:val="00231783"/>
    <w:rsid w:val="002319F6"/>
    <w:rsid w:val="00231AD4"/>
    <w:rsid w:val="00231CA5"/>
    <w:rsid w:val="0023209D"/>
    <w:rsid w:val="00232642"/>
    <w:rsid w:val="002327E1"/>
    <w:rsid w:val="002328DA"/>
    <w:rsid w:val="00232A6A"/>
    <w:rsid w:val="00232AD7"/>
    <w:rsid w:val="00232AE9"/>
    <w:rsid w:val="00232C4E"/>
    <w:rsid w:val="00232F0E"/>
    <w:rsid w:val="00232F7E"/>
    <w:rsid w:val="0023341E"/>
    <w:rsid w:val="002335F9"/>
    <w:rsid w:val="00233F2A"/>
    <w:rsid w:val="0023406E"/>
    <w:rsid w:val="00234298"/>
    <w:rsid w:val="00234498"/>
    <w:rsid w:val="0023479D"/>
    <w:rsid w:val="00234851"/>
    <w:rsid w:val="00234A04"/>
    <w:rsid w:val="00234A05"/>
    <w:rsid w:val="00234A1F"/>
    <w:rsid w:val="00234B02"/>
    <w:rsid w:val="00234B90"/>
    <w:rsid w:val="00234C1F"/>
    <w:rsid w:val="00234E0E"/>
    <w:rsid w:val="00235186"/>
    <w:rsid w:val="0023518C"/>
    <w:rsid w:val="00235199"/>
    <w:rsid w:val="00235217"/>
    <w:rsid w:val="0023552B"/>
    <w:rsid w:val="002355BE"/>
    <w:rsid w:val="0023572B"/>
    <w:rsid w:val="002357B6"/>
    <w:rsid w:val="00235925"/>
    <w:rsid w:val="00235952"/>
    <w:rsid w:val="002359EF"/>
    <w:rsid w:val="00235A49"/>
    <w:rsid w:val="00235C2A"/>
    <w:rsid w:val="00235D69"/>
    <w:rsid w:val="00235DC0"/>
    <w:rsid w:val="00235E5A"/>
    <w:rsid w:val="00235E7E"/>
    <w:rsid w:val="00235F9C"/>
    <w:rsid w:val="00235FC3"/>
    <w:rsid w:val="00236148"/>
    <w:rsid w:val="002361C7"/>
    <w:rsid w:val="002362A4"/>
    <w:rsid w:val="002362F9"/>
    <w:rsid w:val="002364B4"/>
    <w:rsid w:val="002366D3"/>
    <w:rsid w:val="00236893"/>
    <w:rsid w:val="00236908"/>
    <w:rsid w:val="00236A65"/>
    <w:rsid w:val="00236A99"/>
    <w:rsid w:val="00236C46"/>
    <w:rsid w:val="00236F77"/>
    <w:rsid w:val="00236F83"/>
    <w:rsid w:val="00237046"/>
    <w:rsid w:val="002370C7"/>
    <w:rsid w:val="0023717D"/>
    <w:rsid w:val="002374DE"/>
    <w:rsid w:val="002374F8"/>
    <w:rsid w:val="002375C9"/>
    <w:rsid w:val="002376CC"/>
    <w:rsid w:val="002376DB"/>
    <w:rsid w:val="00237813"/>
    <w:rsid w:val="00237820"/>
    <w:rsid w:val="00237879"/>
    <w:rsid w:val="00237964"/>
    <w:rsid w:val="00237DC0"/>
    <w:rsid w:val="00237ED7"/>
    <w:rsid w:val="0023CF91"/>
    <w:rsid w:val="0024013B"/>
    <w:rsid w:val="00240167"/>
    <w:rsid w:val="00240364"/>
    <w:rsid w:val="0024069E"/>
    <w:rsid w:val="00240961"/>
    <w:rsid w:val="00240964"/>
    <w:rsid w:val="00240B36"/>
    <w:rsid w:val="00240B37"/>
    <w:rsid w:val="00240D1A"/>
    <w:rsid w:val="00240DD5"/>
    <w:rsid w:val="00240FEE"/>
    <w:rsid w:val="0024101A"/>
    <w:rsid w:val="002410E3"/>
    <w:rsid w:val="002410F1"/>
    <w:rsid w:val="00241920"/>
    <w:rsid w:val="00241C29"/>
    <w:rsid w:val="00241C6A"/>
    <w:rsid w:val="0024205C"/>
    <w:rsid w:val="00242085"/>
    <w:rsid w:val="00242437"/>
    <w:rsid w:val="00242467"/>
    <w:rsid w:val="002424AA"/>
    <w:rsid w:val="002424EF"/>
    <w:rsid w:val="00242501"/>
    <w:rsid w:val="00242545"/>
    <w:rsid w:val="00242759"/>
    <w:rsid w:val="00242B30"/>
    <w:rsid w:val="00242B86"/>
    <w:rsid w:val="00242BB9"/>
    <w:rsid w:val="00242C01"/>
    <w:rsid w:val="00242C64"/>
    <w:rsid w:val="00242E10"/>
    <w:rsid w:val="00242E2B"/>
    <w:rsid w:val="0024314C"/>
    <w:rsid w:val="00243275"/>
    <w:rsid w:val="0024328B"/>
    <w:rsid w:val="0024333F"/>
    <w:rsid w:val="0024345D"/>
    <w:rsid w:val="00243485"/>
    <w:rsid w:val="002435B6"/>
    <w:rsid w:val="00243A93"/>
    <w:rsid w:val="00243B2C"/>
    <w:rsid w:val="00243D82"/>
    <w:rsid w:val="00243DD6"/>
    <w:rsid w:val="00243DDF"/>
    <w:rsid w:val="00244084"/>
    <w:rsid w:val="00244387"/>
    <w:rsid w:val="002444B2"/>
    <w:rsid w:val="00244A4E"/>
    <w:rsid w:val="00244EC3"/>
    <w:rsid w:val="00245085"/>
    <w:rsid w:val="00245144"/>
    <w:rsid w:val="002452AD"/>
    <w:rsid w:val="002452D5"/>
    <w:rsid w:val="00245361"/>
    <w:rsid w:val="0024552B"/>
    <w:rsid w:val="002455B9"/>
    <w:rsid w:val="002455BD"/>
    <w:rsid w:val="002458BB"/>
    <w:rsid w:val="002458D2"/>
    <w:rsid w:val="00245B3E"/>
    <w:rsid w:val="00245C26"/>
    <w:rsid w:val="00245E78"/>
    <w:rsid w:val="00245F6B"/>
    <w:rsid w:val="002461DE"/>
    <w:rsid w:val="00246384"/>
    <w:rsid w:val="002463E6"/>
    <w:rsid w:val="0024685D"/>
    <w:rsid w:val="00246BF6"/>
    <w:rsid w:val="00246C63"/>
    <w:rsid w:val="00246F25"/>
    <w:rsid w:val="00247023"/>
    <w:rsid w:val="002470E1"/>
    <w:rsid w:val="0024720A"/>
    <w:rsid w:val="0024736D"/>
    <w:rsid w:val="00247485"/>
    <w:rsid w:val="002474E1"/>
    <w:rsid w:val="00247584"/>
    <w:rsid w:val="0024758E"/>
    <w:rsid w:val="00247682"/>
    <w:rsid w:val="002478AE"/>
    <w:rsid w:val="00247A8B"/>
    <w:rsid w:val="00247BA5"/>
    <w:rsid w:val="00247D2E"/>
    <w:rsid w:val="00247E2D"/>
    <w:rsid w:val="00247F0D"/>
    <w:rsid w:val="00247F17"/>
    <w:rsid w:val="00250246"/>
    <w:rsid w:val="00250249"/>
    <w:rsid w:val="00250286"/>
    <w:rsid w:val="00250324"/>
    <w:rsid w:val="002504D4"/>
    <w:rsid w:val="0025053D"/>
    <w:rsid w:val="0025059F"/>
    <w:rsid w:val="002505FB"/>
    <w:rsid w:val="002508E5"/>
    <w:rsid w:val="00250916"/>
    <w:rsid w:val="00250A1E"/>
    <w:rsid w:val="00250A3C"/>
    <w:rsid w:val="00250D10"/>
    <w:rsid w:val="00250F1E"/>
    <w:rsid w:val="00251615"/>
    <w:rsid w:val="002519AD"/>
    <w:rsid w:val="002520C0"/>
    <w:rsid w:val="0025224C"/>
    <w:rsid w:val="0025229D"/>
    <w:rsid w:val="0025245D"/>
    <w:rsid w:val="002525EE"/>
    <w:rsid w:val="00252822"/>
    <w:rsid w:val="00252A1B"/>
    <w:rsid w:val="00252B8F"/>
    <w:rsid w:val="00252E44"/>
    <w:rsid w:val="00252FFC"/>
    <w:rsid w:val="0025363C"/>
    <w:rsid w:val="002537A2"/>
    <w:rsid w:val="00253CCF"/>
    <w:rsid w:val="00253E58"/>
    <w:rsid w:val="00253E7A"/>
    <w:rsid w:val="00253ECF"/>
    <w:rsid w:val="00253EF3"/>
    <w:rsid w:val="00253F75"/>
    <w:rsid w:val="00254014"/>
    <w:rsid w:val="00254493"/>
    <w:rsid w:val="0025449D"/>
    <w:rsid w:val="002545D7"/>
    <w:rsid w:val="00254759"/>
    <w:rsid w:val="002548CF"/>
    <w:rsid w:val="00254A8E"/>
    <w:rsid w:val="00254D3C"/>
    <w:rsid w:val="00254E04"/>
    <w:rsid w:val="00254E0C"/>
    <w:rsid w:val="00254EE3"/>
    <w:rsid w:val="0025535E"/>
    <w:rsid w:val="0025558A"/>
    <w:rsid w:val="002557B8"/>
    <w:rsid w:val="00255803"/>
    <w:rsid w:val="002558AA"/>
    <w:rsid w:val="0025599F"/>
    <w:rsid w:val="002559D3"/>
    <w:rsid w:val="00255B27"/>
    <w:rsid w:val="00255C03"/>
    <w:rsid w:val="00255D7B"/>
    <w:rsid w:val="00255DA6"/>
    <w:rsid w:val="00256380"/>
    <w:rsid w:val="00256437"/>
    <w:rsid w:val="002564F4"/>
    <w:rsid w:val="0025655F"/>
    <w:rsid w:val="0025669B"/>
    <w:rsid w:val="002566AC"/>
    <w:rsid w:val="00256798"/>
    <w:rsid w:val="0025685A"/>
    <w:rsid w:val="002568F3"/>
    <w:rsid w:val="0025696D"/>
    <w:rsid w:val="00256C56"/>
    <w:rsid w:val="00256CA9"/>
    <w:rsid w:val="00256E51"/>
    <w:rsid w:val="00257014"/>
    <w:rsid w:val="00257020"/>
    <w:rsid w:val="0025702D"/>
    <w:rsid w:val="00257254"/>
    <w:rsid w:val="002575DC"/>
    <w:rsid w:val="0025768C"/>
    <w:rsid w:val="00257708"/>
    <w:rsid w:val="00257997"/>
    <w:rsid w:val="00257B50"/>
    <w:rsid w:val="00257B59"/>
    <w:rsid w:val="00257C6F"/>
    <w:rsid w:val="00257C9A"/>
    <w:rsid w:val="00257CE1"/>
    <w:rsid w:val="00257DCF"/>
    <w:rsid w:val="00257EAF"/>
    <w:rsid w:val="00260199"/>
    <w:rsid w:val="0026024F"/>
    <w:rsid w:val="0026025B"/>
    <w:rsid w:val="00260273"/>
    <w:rsid w:val="0026047C"/>
    <w:rsid w:val="00260575"/>
    <w:rsid w:val="00260612"/>
    <w:rsid w:val="002607A3"/>
    <w:rsid w:val="00260824"/>
    <w:rsid w:val="00260A48"/>
    <w:rsid w:val="00260DA1"/>
    <w:rsid w:val="00260E10"/>
    <w:rsid w:val="00260FD6"/>
    <w:rsid w:val="00260FEC"/>
    <w:rsid w:val="00261160"/>
    <w:rsid w:val="0026135D"/>
    <w:rsid w:val="00261465"/>
    <w:rsid w:val="002614FF"/>
    <w:rsid w:val="002618AA"/>
    <w:rsid w:val="00261D08"/>
    <w:rsid w:val="00261D17"/>
    <w:rsid w:val="00261D3D"/>
    <w:rsid w:val="00261D62"/>
    <w:rsid w:val="002620A4"/>
    <w:rsid w:val="00262239"/>
    <w:rsid w:val="00262262"/>
    <w:rsid w:val="0026228C"/>
    <w:rsid w:val="00262552"/>
    <w:rsid w:val="0026257F"/>
    <w:rsid w:val="002625EA"/>
    <w:rsid w:val="0026286D"/>
    <w:rsid w:val="002628F5"/>
    <w:rsid w:val="00262A4D"/>
    <w:rsid w:val="00262B11"/>
    <w:rsid w:val="00262B32"/>
    <w:rsid w:val="00262CF7"/>
    <w:rsid w:val="00262ECC"/>
    <w:rsid w:val="00262EF2"/>
    <w:rsid w:val="00262EF9"/>
    <w:rsid w:val="00262F30"/>
    <w:rsid w:val="002632A3"/>
    <w:rsid w:val="0026332F"/>
    <w:rsid w:val="00263392"/>
    <w:rsid w:val="002633A8"/>
    <w:rsid w:val="0026367C"/>
    <w:rsid w:val="0026370B"/>
    <w:rsid w:val="00263832"/>
    <w:rsid w:val="0026391E"/>
    <w:rsid w:val="00263A22"/>
    <w:rsid w:val="00263AA0"/>
    <w:rsid w:val="00263BC9"/>
    <w:rsid w:val="00263CFB"/>
    <w:rsid w:val="00263E82"/>
    <w:rsid w:val="00263FFC"/>
    <w:rsid w:val="00264142"/>
    <w:rsid w:val="0026435D"/>
    <w:rsid w:val="002643B9"/>
    <w:rsid w:val="00264693"/>
    <w:rsid w:val="0026472B"/>
    <w:rsid w:val="00264812"/>
    <w:rsid w:val="0026494F"/>
    <w:rsid w:val="002649B6"/>
    <w:rsid w:val="00264B36"/>
    <w:rsid w:val="00264B9B"/>
    <w:rsid w:val="00264C3C"/>
    <w:rsid w:val="00264C91"/>
    <w:rsid w:val="00264CEF"/>
    <w:rsid w:val="00264E80"/>
    <w:rsid w:val="00264EDF"/>
    <w:rsid w:val="00264EF6"/>
    <w:rsid w:val="00264F52"/>
    <w:rsid w:val="002650BE"/>
    <w:rsid w:val="00265231"/>
    <w:rsid w:val="00265304"/>
    <w:rsid w:val="00265738"/>
    <w:rsid w:val="00265A46"/>
    <w:rsid w:val="00265C7F"/>
    <w:rsid w:val="00265E7D"/>
    <w:rsid w:val="0026614F"/>
    <w:rsid w:val="002661AE"/>
    <w:rsid w:val="0026623E"/>
    <w:rsid w:val="0026624B"/>
    <w:rsid w:val="0026663B"/>
    <w:rsid w:val="0026686F"/>
    <w:rsid w:val="002668D5"/>
    <w:rsid w:val="00266A0F"/>
    <w:rsid w:val="00266AA6"/>
    <w:rsid w:val="00266AFA"/>
    <w:rsid w:val="00266C4A"/>
    <w:rsid w:val="00266D45"/>
    <w:rsid w:val="00266DAB"/>
    <w:rsid w:val="00266E33"/>
    <w:rsid w:val="00267288"/>
    <w:rsid w:val="00267320"/>
    <w:rsid w:val="002674E9"/>
    <w:rsid w:val="00267516"/>
    <w:rsid w:val="0026769D"/>
    <w:rsid w:val="002677C7"/>
    <w:rsid w:val="0026783A"/>
    <w:rsid w:val="0026787B"/>
    <w:rsid w:val="0026799A"/>
    <w:rsid w:val="00267A2F"/>
    <w:rsid w:val="00267D3A"/>
    <w:rsid w:val="00267E19"/>
    <w:rsid w:val="00267E23"/>
    <w:rsid w:val="0027005D"/>
    <w:rsid w:val="002701AB"/>
    <w:rsid w:val="00270363"/>
    <w:rsid w:val="002703FC"/>
    <w:rsid w:val="00270499"/>
    <w:rsid w:val="002704E0"/>
    <w:rsid w:val="002704F2"/>
    <w:rsid w:val="002705B8"/>
    <w:rsid w:val="0027063A"/>
    <w:rsid w:val="00270697"/>
    <w:rsid w:val="002706ED"/>
    <w:rsid w:val="00270937"/>
    <w:rsid w:val="00270A7E"/>
    <w:rsid w:val="00270B8C"/>
    <w:rsid w:val="00270BF4"/>
    <w:rsid w:val="00270DC2"/>
    <w:rsid w:val="00270DD0"/>
    <w:rsid w:val="00270E9C"/>
    <w:rsid w:val="002710A3"/>
    <w:rsid w:val="002711B3"/>
    <w:rsid w:val="00271205"/>
    <w:rsid w:val="002712B7"/>
    <w:rsid w:val="0027168F"/>
    <w:rsid w:val="002717B6"/>
    <w:rsid w:val="00271823"/>
    <w:rsid w:val="0027190C"/>
    <w:rsid w:val="00271C0A"/>
    <w:rsid w:val="00271C9C"/>
    <w:rsid w:val="00271CC7"/>
    <w:rsid w:val="00271E1E"/>
    <w:rsid w:val="002720D8"/>
    <w:rsid w:val="002720FE"/>
    <w:rsid w:val="00272295"/>
    <w:rsid w:val="00272484"/>
    <w:rsid w:val="002724EE"/>
    <w:rsid w:val="00272522"/>
    <w:rsid w:val="002726AF"/>
    <w:rsid w:val="00272A01"/>
    <w:rsid w:val="00272ABF"/>
    <w:rsid w:val="00272BE7"/>
    <w:rsid w:val="00272C29"/>
    <w:rsid w:val="00272DAC"/>
    <w:rsid w:val="00272E86"/>
    <w:rsid w:val="00272F99"/>
    <w:rsid w:val="00273186"/>
    <w:rsid w:val="00273656"/>
    <w:rsid w:val="0027370E"/>
    <w:rsid w:val="0027373F"/>
    <w:rsid w:val="00273AC1"/>
    <w:rsid w:val="00273CE1"/>
    <w:rsid w:val="00273D01"/>
    <w:rsid w:val="00273DA4"/>
    <w:rsid w:val="00273DB8"/>
    <w:rsid w:val="00274120"/>
    <w:rsid w:val="002741C0"/>
    <w:rsid w:val="0027427A"/>
    <w:rsid w:val="00274493"/>
    <w:rsid w:val="00274579"/>
    <w:rsid w:val="002747D0"/>
    <w:rsid w:val="00274851"/>
    <w:rsid w:val="00274996"/>
    <w:rsid w:val="00274CEA"/>
    <w:rsid w:val="00274F02"/>
    <w:rsid w:val="00274F37"/>
    <w:rsid w:val="00274F73"/>
    <w:rsid w:val="00274F77"/>
    <w:rsid w:val="00275043"/>
    <w:rsid w:val="002752B6"/>
    <w:rsid w:val="002752ED"/>
    <w:rsid w:val="00275300"/>
    <w:rsid w:val="00275339"/>
    <w:rsid w:val="00275501"/>
    <w:rsid w:val="0027554F"/>
    <w:rsid w:val="0027565B"/>
    <w:rsid w:val="00275726"/>
    <w:rsid w:val="00275964"/>
    <w:rsid w:val="00275A17"/>
    <w:rsid w:val="00275AF1"/>
    <w:rsid w:val="00275B98"/>
    <w:rsid w:val="00275C13"/>
    <w:rsid w:val="00275C20"/>
    <w:rsid w:val="00275E5D"/>
    <w:rsid w:val="00275FA4"/>
    <w:rsid w:val="0027606B"/>
    <w:rsid w:val="0027615D"/>
    <w:rsid w:val="002764BD"/>
    <w:rsid w:val="002764F1"/>
    <w:rsid w:val="002765F7"/>
    <w:rsid w:val="00276632"/>
    <w:rsid w:val="0027679F"/>
    <w:rsid w:val="002767E8"/>
    <w:rsid w:val="00276861"/>
    <w:rsid w:val="002768E8"/>
    <w:rsid w:val="00276C5C"/>
    <w:rsid w:val="00276DA4"/>
    <w:rsid w:val="00276DCE"/>
    <w:rsid w:val="00276E8B"/>
    <w:rsid w:val="00276EDD"/>
    <w:rsid w:val="0027701F"/>
    <w:rsid w:val="00277206"/>
    <w:rsid w:val="0027747E"/>
    <w:rsid w:val="002774ED"/>
    <w:rsid w:val="002778EB"/>
    <w:rsid w:val="00277940"/>
    <w:rsid w:val="00277C8F"/>
    <w:rsid w:val="00277CDD"/>
    <w:rsid w:val="00277D80"/>
    <w:rsid w:val="00277E45"/>
    <w:rsid w:val="00277E56"/>
    <w:rsid w:val="00277EC4"/>
    <w:rsid w:val="00278E72"/>
    <w:rsid w:val="0028006D"/>
    <w:rsid w:val="0028020F"/>
    <w:rsid w:val="00280212"/>
    <w:rsid w:val="002802B8"/>
    <w:rsid w:val="002803E7"/>
    <w:rsid w:val="00280676"/>
    <w:rsid w:val="0028067B"/>
    <w:rsid w:val="002806C9"/>
    <w:rsid w:val="002809FB"/>
    <w:rsid w:val="00280A8E"/>
    <w:rsid w:val="00280B5B"/>
    <w:rsid w:val="00280B98"/>
    <w:rsid w:val="00280BE5"/>
    <w:rsid w:val="00280C7A"/>
    <w:rsid w:val="00280CFF"/>
    <w:rsid w:val="00280D66"/>
    <w:rsid w:val="00280E8B"/>
    <w:rsid w:val="00280F3C"/>
    <w:rsid w:val="00281100"/>
    <w:rsid w:val="00281168"/>
    <w:rsid w:val="002811E0"/>
    <w:rsid w:val="002811F0"/>
    <w:rsid w:val="00281237"/>
    <w:rsid w:val="0028151A"/>
    <w:rsid w:val="0028166D"/>
    <w:rsid w:val="002816BF"/>
    <w:rsid w:val="002816D1"/>
    <w:rsid w:val="002816F7"/>
    <w:rsid w:val="00281718"/>
    <w:rsid w:val="00281A3F"/>
    <w:rsid w:val="00281A72"/>
    <w:rsid w:val="00281BC4"/>
    <w:rsid w:val="00281CA0"/>
    <w:rsid w:val="00281D4B"/>
    <w:rsid w:val="00281F14"/>
    <w:rsid w:val="00281F5F"/>
    <w:rsid w:val="00281FE1"/>
    <w:rsid w:val="00282019"/>
    <w:rsid w:val="00282171"/>
    <w:rsid w:val="00282329"/>
    <w:rsid w:val="002825A7"/>
    <w:rsid w:val="0028260E"/>
    <w:rsid w:val="0028261C"/>
    <w:rsid w:val="002827D3"/>
    <w:rsid w:val="00282860"/>
    <w:rsid w:val="00282942"/>
    <w:rsid w:val="002829C4"/>
    <w:rsid w:val="00282A6E"/>
    <w:rsid w:val="00282D8D"/>
    <w:rsid w:val="00282D9A"/>
    <w:rsid w:val="00282DF3"/>
    <w:rsid w:val="00282F19"/>
    <w:rsid w:val="00282F8A"/>
    <w:rsid w:val="00282F8E"/>
    <w:rsid w:val="00282FE4"/>
    <w:rsid w:val="002830D2"/>
    <w:rsid w:val="0028333F"/>
    <w:rsid w:val="002836D2"/>
    <w:rsid w:val="002837E6"/>
    <w:rsid w:val="00283851"/>
    <w:rsid w:val="002838FE"/>
    <w:rsid w:val="00283931"/>
    <w:rsid w:val="002839E3"/>
    <w:rsid w:val="00283A3A"/>
    <w:rsid w:val="00283A52"/>
    <w:rsid w:val="00283C97"/>
    <w:rsid w:val="00283E7E"/>
    <w:rsid w:val="00284A3E"/>
    <w:rsid w:val="00284B2C"/>
    <w:rsid w:val="00284B5C"/>
    <w:rsid w:val="00284CB1"/>
    <w:rsid w:val="00284CE9"/>
    <w:rsid w:val="00284D84"/>
    <w:rsid w:val="00284E94"/>
    <w:rsid w:val="00284F6C"/>
    <w:rsid w:val="00285192"/>
    <w:rsid w:val="0028533E"/>
    <w:rsid w:val="00285340"/>
    <w:rsid w:val="002853BA"/>
    <w:rsid w:val="0028592E"/>
    <w:rsid w:val="00285A62"/>
    <w:rsid w:val="00285D98"/>
    <w:rsid w:val="00285F63"/>
    <w:rsid w:val="00285FA2"/>
    <w:rsid w:val="00286071"/>
    <w:rsid w:val="00286129"/>
    <w:rsid w:val="00286162"/>
    <w:rsid w:val="00286181"/>
    <w:rsid w:val="002863F2"/>
    <w:rsid w:val="002866D0"/>
    <w:rsid w:val="00286A19"/>
    <w:rsid w:val="00286A58"/>
    <w:rsid w:val="00286A85"/>
    <w:rsid w:val="00286AAE"/>
    <w:rsid w:val="00286B49"/>
    <w:rsid w:val="00286C2B"/>
    <w:rsid w:val="00286C68"/>
    <w:rsid w:val="00286C9D"/>
    <w:rsid w:val="00286DC7"/>
    <w:rsid w:val="00286E66"/>
    <w:rsid w:val="00286FAF"/>
    <w:rsid w:val="00287110"/>
    <w:rsid w:val="00287144"/>
    <w:rsid w:val="00287435"/>
    <w:rsid w:val="00287645"/>
    <w:rsid w:val="002876D0"/>
    <w:rsid w:val="0028770D"/>
    <w:rsid w:val="00287744"/>
    <w:rsid w:val="002877F1"/>
    <w:rsid w:val="002878BC"/>
    <w:rsid w:val="00287900"/>
    <w:rsid w:val="0028790D"/>
    <w:rsid w:val="00287BDF"/>
    <w:rsid w:val="00287C56"/>
    <w:rsid w:val="00287CC2"/>
    <w:rsid w:val="00287ED6"/>
    <w:rsid w:val="00287F26"/>
    <w:rsid w:val="00290AD2"/>
    <w:rsid w:val="00290C23"/>
    <w:rsid w:val="00290FA2"/>
    <w:rsid w:val="002912FE"/>
    <w:rsid w:val="002915A3"/>
    <w:rsid w:val="0029163B"/>
    <w:rsid w:val="0029169D"/>
    <w:rsid w:val="002916C9"/>
    <w:rsid w:val="0029175A"/>
    <w:rsid w:val="00291820"/>
    <w:rsid w:val="00291ACC"/>
    <w:rsid w:val="00291FA0"/>
    <w:rsid w:val="00292074"/>
    <w:rsid w:val="00292341"/>
    <w:rsid w:val="002923F7"/>
    <w:rsid w:val="00292474"/>
    <w:rsid w:val="002924C4"/>
    <w:rsid w:val="002926BF"/>
    <w:rsid w:val="002928D2"/>
    <w:rsid w:val="0029291A"/>
    <w:rsid w:val="00292C5C"/>
    <w:rsid w:val="00292E5C"/>
    <w:rsid w:val="00292E9D"/>
    <w:rsid w:val="00292FF6"/>
    <w:rsid w:val="00293192"/>
    <w:rsid w:val="002931CB"/>
    <w:rsid w:val="0029333C"/>
    <w:rsid w:val="002933AE"/>
    <w:rsid w:val="002937CE"/>
    <w:rsid w:val="002938D2"/>
    <w:rsid w:val="002939D7"/>
    <w:rsid w:val="002939DC"/>
    <w:rsid w:val="00293B16"/>
    <w:rsid w:val="00293C05"/>
    <w:rsid w:val="00293E2D"/>
    <w:rsid w:val="0029401B"/>
    <w:rsid w:val="0029402E"/>
    <w:rsid w:val="002940D7"/>
    <w:rsid w:val="0029419D"/>
    <w:rsid w:val="0029422A"/>
    <w:rsid w:val="002944D6"/>
    <w:rsid w:val="0029450B"/>
    <w:rsid w:val="002945E8"/>
    <w:rsid w:val="002946DE"/>
    <w:rsid w:val="00294813"/>
    <w:rsid w:val="002948FC"/>
    <w:rsid w:val="0029492A"/>
    <w:rsid w:val="00294996"/>
    <w:rsid w:val="00294A6C"/>
    <w:rsid w:val="00294BCA"/>
    <w:rsid w:val="00294BCC"/>
    <w:rsid w:val="00294BEE"/>
    <w:rsid w:val="00294D4B"/>
    <w:rsid w:val="00294E47"/>
    <w:rsid w:val="00294EF9"/>
    <w:rsid w:val="0029505D"/>
    <w:rsid w:val="002950B7"/>
    <w:rsid w:val="002951F3"/>
    <w:rsid w:val="0029527E"/>
    <w:rsid w:val="002952A1"/>
    <w:rsid w:val="0029535E"/>
    <w:rsid w:val="00295433"/>
    <w:rsid w:val="00295434"/>
    <w:rsid w:val="002954DC"/>
    <w:rsid w:val="0029550E"/>
    <w:rsid w:val="00295583"/>
    <w:rsid w:val="002957A9"/>
    <w:rsid w:val="00295A74"/>
    <w:rsid w:val="00295B4A"/>
    <w:rsid w:val="00295B62"/>
    <w:rsid w:val="00296079"/>
    <w:rsid w:val="00296152"/>
    <w:rsid w:val="0029629F"/>
    <w:rsid w:val="0029635F"/>
    <w:rsid w:val="00296469"/>
    <w:rsid w:val="00296580"/>
    <w:rsid w:val="00296731"/>
    <w:rsid w:val="00296768"/>
    <w:rsid w:val="00296924"/>
    <w:rsid w:val="002969EE"/>
    <w:rsid w:val="00296D40"/>
    <w:rsid w:val="00296D8F"/>
    <w:rsid w:val="00296DE4"/>
    <w:rsid w:val="00296DF5"/>
    <w:rsid w:val="00296E90"/>
    <w:rsid w:val="0029720D"/>
    <w:rsid w:val="00297425"/>
    <w:rsid w:val="00297436"/>
    <w:rsid w:val="002974E2"/>
    <w:rsid w:val="00297963"/>
    <w:rsid w:val="00297B17"/>
    <w:rsid w:val="00297D41"/>
    <w:rsid w:val="00297D74"/>
    <w:rsid w:val="00297EC3"/>
    <w:rsid w:val="00297F21"/>
    <w:rsid w:val="00297FC8"/>
    <w:rsid w:val="002A0130"/>
    <w:rsid w:val="002A02BE"/>
    <w:rsid w:val="002A07EB"/>
    <w:rsid w:val="002A094D"/>
    <w:rsid w:val="002A0B11"/>
    <w:rsid w:val="002A0B7D"/>
    <w:rsid w:val="002A0C24"/>
    <w:rsid w:val="002A0E63"/>
    <w:rsid w:val="002A0F68"/>
    <w:rsid w:val="002A1014"/>
    <w:rsid w:val="002A10DE"/>
    <w:rsid w:val="002A11EB"/>
    <w:rsid w:val="002A131D"/>
    <w:rsid w:val="002A1350"/>
    <w:rsid w:val="002A149C"/>
    <w:rsid w:val="002A1503"/>
    <w:rsid w:val="002A15F9"/>
    <w:rsid w:val="002A174F"/>
    <w:rsid w:val="002A1829"/>
    <w:rsid w:val="002A18A6"/>
    <w:rsid w:val="002A1972"/>
    <w:rsid w:val="002A1A23"/>
    <w:rsid w:val="002A1A89"/>
    <w:rsid w:val="002A1AAB"/>
    <w:rsid w:val="002A1B89"/>
    <w:rsid w:val="002A1C1B"/>
    <w:rsid w:val="002A1C54"/>
    <w:rsid w:val="002A1C9C"/>
    <w:rsid w:val="002A1CE1"/>
    <w:rsid w:val="002A1D7D"/>
    <w:rsid w:val="002A2039"/>
    <w:rsid w:val="002A22B6"/>
    <w:rsid w:val="002A252A"/>
    <w:rsid w:val="002A2907"/>
    <w:rsid w:val="002A292A"/>
    <w:rsid w:val="002A2C56"/>
    <w:rsid w:val="002A2DB4"/>
    <w:rsid w:val="002A2E2C"/>
    <w:rsid w:val="002A2E92"/>
    <w:rsid w:val="002A2F25"/>
    <w:rsid w:val="002A2F3D"/>
    <w:rsid w:val="002A2F80"/>
    <w:rsid w:val="002A30BE"/>
    <w:rsid w:val="002A30DA"/>
    <w:rsid w:val="002A317E"/>
    <w:rsid w:val="002A31B2"/>
    <w:rsid w:val="002A3313"/>
    <w:rsid w:val="002A333C"/>
    <w:rsid w:val="002A34E3"/>
    <w:rsid w:val="002A3550"/>
    <w:rsid w:val="002A35A2"/>
    <w:rsid w:val="002A3790"/>
    <w:rsid w:val="002A3A99"/>
    <w:rsid w:val="002A3AFF"/>
    <w:rsid w:val="002A3B05"/>
    <w:rsid w:val="002A3BF5"/>
    <w:rsid w:val="002A400A"/>
    <w:rsid w:val="002A40C2"/>
    <w:rsid w:val="002A40DB"/>
    <w:rsid w:val="002A4188"/>
    <w:rsid w:val="002A41A5"/>
    <w:rsid w:val="002A4362"/>
    <w:rsid w:val="002A4500"/>
    <w:rsid w:val="002A455B"/>
    <w:rsid w:val="002A455E"/>
    <w:rsid w:val="002A46A5"/>
    <w:rsid w:val="002A4735"/>
    <w:rsid w:val="002A477F"/>
    <w:rsid w:val="002A47E1"/>
    <w:rsid w:val="002A4A1E"/>
    <w:rsid w:val="002A4BF2"/>
    <w:rsid w:val="002A4D72"/>
    <w:rsid w:val="002A506A"/>
    <w:rsid w:val="002A5208"/>
    <w:rsid w:val="002A5267"/>
    <w:rsid w:val="002A52BD"/>
    <w:rsid w:val="002A53C2"/>
    <w:rsid w:val="002A542A"/>
    <w:rsid w:val="002A562B"/>
    <w:rsid w:val="002A57E5"/>
    <w:rsid w:val="002A5B23"/>
    <w:rsid w:val="002A5EE3"/>
    <w:rsid w:val="002A5F0C"/>
    <w:rsid w:val="002A6070"/>
    <w:rsid w:val="002A615F"/>
    <w:rsid w:val="002A6168"/>
    <w:rsid w:val="002A6295"/>
    <w:rsid w:val="002A63F5"/>
    <w:rsid w:val="002A64D7"/>
    <w:rsid w:val="002A686F"/>
    <w:rsid w:val="002A68D6"/>
    <w:rsid w:val="002A6A52"/>
    <w:rsid w:val="002A6A62"/>
    <w:rsid w:val="002A6B49"/>
    <w:rsid w:val="002A6BC4"/>
    <w:rsid w:val="002A6C79"/>
    <w:rsid w:val="002A6D84"/>
    <w:rsid w:val="002A6E18"/>
    <w:rsid w:val="002A7180"/>
    <w:rsid w:val="002A7358"/>
    <w:rsid w:val="002A739E"/>
    <w:rsid w:val="002A73D9"/>
    <w:rsid w:val="002A7499"/>
    <w:rsid w:val="002A766F"/>
    <w:rsid w:val="002A787B"/>
    <w:rsid w:val="002A78A0"/>
    <w:rsid w:val="002A7904"/>
    <w:rsid w:val="002A7A01"/>
    <w:rsid w:val="002A7A88"/>
    <w:rsid w:val="002A7B2D"/>
    <w:rsid w:val="002A7B64"/>
    <w:rsid w:val="002A7D94"/>
    <w:rsid w:val="002A7E3C"/>
    <w:rsid w:val="002B0050"/>
    <w:rsid w:val="002B03E4"/>
    <w:rsid w:val="002B0665"/>
    <w:rsid w:val="002B0A70"/>
    <w:rsid w:val="002B0C87"/>
    <w:rsid w:val="002B0F23"/>
    <w:rsid w:val="002B0FA7"/>
    <w:rsid w:val="002B11D0"/>
    <w:rsid w:val="002B11E1"/>
    <w:rsid w:val="002B14EB"/>
    <w:rsid w:val="002B1525"/>
    <w:rsid w:val="002B1636"/>
    <w:rsid w:val="002B1A17"/>
    <w:rsid w:val="002B1A6E"/>
    <w:rsid w:val="002B1B21"/>
    <w:rsid w:val="002B1B5A"/>
    <w:rsid w:val="002B1BC9"/>
    <w:rsid w:val="002B1BED"/>
    <w:rsid w:val="002B1D85"/>
    <w:rsid w:val="002B1FAF"/>
    <w:rsid w:val="002B2061"/>
    <w:rsid w:val="002B20AC"/>
    <w:rsid w:val="002B23EB"/>
    <w:rsid w:val="002B24A4"/>
    <w:rsid w:val="002B25DE"/>
    <w:rsid w:val="002B25FC"/>
    <w:rsid w:val="002B270E"/>
    <w:rsid w:val="002B2918"/>
    <w:rsid w:val="002B2929"/>
    <w:rsid w:val="002B2A68"/>
    <w:rsid w:val="002B2BB0"/>
    <w:rsid w:val="002B2CE1"/>
    <w:rsid w:val="002B3294"/>
    <w:rsid w:val="002B3379"/>
    <w:rsid w:val="002B38A1"/>
    <w:rsid w:val="002B38B2"/>
    <w:rsid w:val="002B38F0"/>
    <w:rsid w:val="002B3AE0"/>
    <w:rsid w:val="002B3AEA"/>
    <w:rsid w:val="002B3E7F"/>
    <w:rsid w:val="002B40CB"/>
    <w:rsid w:val="002B42D0"/>
    <w:rsid w:val="002B42E8"/>
    <w:rsid w:val="002B4629"/>
    <w:rsid w:val="002B4692"/>
    <w:rsid w:val="002B4806"/>
    <w:rsid w:val="002B4808"/>
    <w:rsid w:val="002B4917"/>
    <w:rsid w:val="002B4939"/>
    <w:rsid w:val="002B498B"/>
    <w:rsid w:val="002B4A4D"/>
    <w:rsid w:val="002B4B27"/>
    <w:rsid w:val="002B4CD0"/>
    <w:rsid w:val="002B4D00"/>
    <w:rsid w:val="002B4FF0"/>
    <w:rsid w:val="002B51AE"/>
    <w:rsid w:val="002B538D"/>
    <w:rsid w:val="002B53F4"/>
    <w:rsid w:val="002B5485"/>
    <w:rsid w:val="002B58BE"/>
    <w:rsid w:val="002B59D9"/>
    <w:rsid w:val="002B5A00"/>
    <w:rsid w:val="002B5AEE"/>
    <w:rsid w:val="002B5D9C"/>
    <w:rsid w:val="002B5DF1"/>
    <w:rsid w:val="002B60E3"/>
    <w:rsid w:val="002B60E9"/>
    <w:rsid w:val="002B61DF"/>
    <w:rsid w:val="002B6342"/>
    <w:rsid w:val="002B642A"/>
    <w:rsid w:val="002B64A1"/>
    <w:rsid w:val="002B64A4"/>
    <w:rsid w:val="002B64B1"/>
    <w:rsid w:val="002B6882"/>
    <w:rsid w:val="002B695B"/>
    <w:rsid w:val="002B699C"/>
    <w:rsid w:val="002B6A3D"/>
    <w:rsid w:val="002B6ACB"/>
    <w:rsid w:val="002B6C70"/>
    <w:rsid w:val="002B6CD2"/>
    <w:rsid w:val="002B706A"/>
    <w:rsid w:val="002B716C"/>
    <w:rsid w:val="002B71F0"/>
    <w:rsid w:val="002B72B5"/>
    <w:rsid w:val="002B74AF"/>
    <w:rsid w:val="002B74C5"/>
    <w:rsid w:val="002B77BA"/>
    <w:rsid w:val="002B7898"/>
    <w:rsid w:val="002B7C97"/>
    <w:rsid w:val="002C0069"/>
    <w:rsid w:val="002C0456"/>
    <w:rsid w:val="002C0461"/>
    <w:rsid w:val="002C0467"/>
    <w:rsid w:val="002C0572"/>
    <w:rsid w:val="002C05B5"/>
    <w:rsid w:val="002C05DB"/>
    <w:rsid w:val="002C0629"/>
    <w:rsid w:val="002C07FF"/>
    <w:rsid w:val="002C0876"/>
    <w:rsid w:val="002C0878"/>
    <w:rsid w:val="002C0B19"/>
    <w:rsid w:val="002C1066"/>
    <w:rsid w:val="002C1252"/>
    <w:rsid w:val="002C14E1"/>
    <w:rsid w:val="002C1681"/>
    <w:rsid w:val="002C16FF"/>
    <w:rsid w:val="002C180D"/>
    <w:rsid w:val="002C1911"/>
    <w:rsid w:val="002C1958"/>
    <w:rsid w:val="002C1C95"/>
    <w:rsid w:val="002C1CF8"/>
    <w:rsid w:val="002C1D43"/>
    <w:rsid w:val="002C2005"/>
    <w:rsid w:val="002C2138"/>
    <w:rsid w:val="002C2155"/>
    <w:rsid w:val="002C2589"/>
    <w:rsid w:val="002C26BD"/>
    <w:rsid w:val="002C27DB"/>
    <w:rsid w:val="002C2862"/>
    <w:rsid w:val="002C2BA6"/>
    <w:rsid w:val="002C2C50"/>
    <w:rsid w:val="002C2DBD"/>
    <w:rsid w:val="002C2E5A"/>
    <w:rsid w:val="002C32EB"/>
    <w:rsid w:val="002C3483"/>
    <w:rsid w:val="002C3852"/>
    <w:rsid w:val="002C38C1"/>
    <w:rsid w:val="002C38DB"/>
    <w:rsid w:val="002C390E"/>
    <w:rsid w:val="002C3D13"/>
    <w:rsid w:val="002C3D36"/>
    <w:rsid w:val="002C3DF9"/>
    <w:rsid w:val="002C3F92"/>
    <w:rsid w:val="002C3FC8"/>
    <w:rsid w:val="002C40B6"/>
    <w:rsid w:val="002C4270"/>
    <w:rsid w:val="002C42C3"/>
    <w:rsid w:val="002C42F6"/>
    <w:rsid w:val="002C43DA"/>
    <w:rsid w:val="002C4401"/>
    <w:rsid w:val="002C4447"/>
    <w:rsid w:val="002C45A5"/>
    <w:rsid w:val="002C4771"/>
    <w:rsid w:val="002C4852"/>
    <w:rsid w:val="002C4889"/>
    <w:rsid w:val="002C4912"/>
    <w:rsid w:val="002C4AF9"/>
    <w:rsid w:val="002C4AFE"/>
    <w:rsid w:val="002C4BB4"/>
    <w:rsid w:val="002C4CDC"/>
    <w:rsid w:val="002C4D69"/>
    <w:rsid w:val="002C4DE7"/>
    <w:rsid w:val="002C4FA5"/>
    <w:rsid w:val="002C519B"/>
    <w:rsid w:val="002C5281"/>
    <w:rsid w:val="002C531E"/>
    <w:rsid w:val="002C532E"/>
    <w:rsid w:val="002C559F"/>
    <w:rsid w:val="002C55C1"/>
    <w:rsid w:val="002C587E"/>
    <w:rsid w:val="002C5A5B"/>
    <w:rsid w:val="002C5B3E"/>
    <w:rsid w:val="002C5B6D"/>
    <w:rsid w:val="002C5C4A"/>
    <w:rsid w:val="002C5E65"/>
    <w:rsid w:val="002C61C2"/>
    <w:rsid w:val="002C6439"/>
    <w:rsid w:val="002C686D"/>
    <w:rsid w:val="002C6AEC"/>
    <w:rsid w:val="002C6B2E"/>
    <w:rsid w:val="002C6B78"/>
    <w:rsid w:val="002C6B83"/>
    <w:rsid w:val="002C6C8C"/>
    <w:rsid w:val="002C6D34"/>
    <w:rsid w:val="002C6D94"/>
    <w:rsid w:val="002C6F2C"/>
    <w:rsid w:val="002C6F3B"/>
    <w:rsid w:val="002C7491"/>
    <w:rsid w:val="002C74F6"/>
    <w:rsid w:val="002C7622"/>
    <w:rsid w:val="002C7718"/>
    <w:rsid w:val="002C7981"/>
    <w:rsid w:val="002C79B9"/>
    <w:rsid w:val="002C7A26"/>
    <w:rsid w:val="002C7B3B"/>
    <w:rsid w:val="002C7D5A"/>
    <w:rsid w:val="002C7DB0"/>
    <w:rsid w:val="002CC1D3"/>
    <w:rsid w:val="002D0126"/>
    <w:rsid w:val="002D0272"/>
    <w:rsid w:val="002D05A6"/>
    <w:rsid w:val="002D0795"/>
    <w:rsid w:val="002D0A7E"/>
    <w:rsid w:val="002D0AAD"/>
    <w:rsid w:val="002D0B96"/>
    <w:rsid w:val="002D0C8D"/>
    <w:rsid w:val="002D0F92"/>
    <w:rsid w:val="002D11AD"/>
    <w:rsid w:val="002D121E"/>
    <w:rsid w:val="002D129E"/>
    <w:rsid w:val="002D13BE"/>
    <w:rsid w:val="002D17B0"/>
    <w:rsid w:val="002D1C72"/>
    <w:rsid w:val="002D1C83"/>
    <w:rsid w:val="002D1DBA"/>
    <w:rsid w:val="002D1F91"/>
    <w:rsid w:val="002D204E"/>
    <w:rsid w:val="002D2064"/>
    <w:rsid w:val="002D24C5"/>
    <w:rsid w:val="002D250D"/>
    <w:rsid w:val="002D2663"/>
    <w:rsid w:val="002D281E"/>
    <w:rsid w:val="002D30CE"/>
    <w:rsid w:val="002D30F6"/>
    <w:rsid w:val="002D3109"/>
    <w:rsid w:val="002D31D3"/>
    <w:rsid w:val="002D3572"/>
    <w:rsid w:val="002D3C1F"/>
    <w:rsid w:val="002D3C6F"/>
    <w:rsid w:val="002D3CCE"/>
    <w:rsid w:val="002D3DC1"/>
    <w:rsid w:val="002D3E4C"/>
    <w:rsid w:val="002D4045"/>
    <w:rsid w:val="002D4082"/>
    <w:rsid w:val="002D40B3"/>
    <w:rsid w:val="002D40C3"/>
    <w:rsid w:val="002D41B1"/>
    <w:rsid w:val="002D42A1"/>
    <w:rsid w:val="002D44E2"/>
    <w:rsid w:val="002D4850"/>
    <w:rsid w:val="002D4A97"/>
    <w:rsid w:val="002D4BD6"/>
    <w:rsid w:val="002D4C4C"/>
    <w:rsid w:val="002D4C7F"/>
    <w:rsid w:val="002D4FFA"/>
    <w:rsid w:val="002D50D6"/>
    <w:rsid w:val="002D57AA"/>
    <w:rsid w:val="002D585D"/>
    <w:rsid w:val="002D5A2F"/>
    <w:rsid w:val="002D5DF9"/>
    <w:rsid w:val="002D6006"/>
    <w:rsid w:val="002D61D0"/>
    <w:rsid w:val="002D6221"/>
    <w:rsid w:val="002D64B6"/>
    <w:rsid w:val="002D6582"/>
    <w:rsid w:val="002D6832"/>
    <w:rsid w:val="002D6A12"/>
    <w:rsid w:val="002D6B27"/>
    <w:rsid w:val="002D6C0E"/>
    <w:rsid w:val="002D6E57"/>
    <w:rsid w:val="002D70BE"/>
    <w:rsid w:val="002D71B7"/>
    <w:rsid w:val="002D72D9"/>
    <w:rsid w:val="002D7471"/>
    <w:rsid w:val="002D766A"/>
    <w:rsid w:val="002D769E"/>
    <w:rsid w:val="002D7728"/>
    <w:rsid w:val="002D77E2"/>
    <w:rsid w:val="002D78D3"/>
    <w:rsid w:val="002D79AC"/>
    <w:rsid w:val="002D7B19"/>
    <w:rsid w:val="002D7BBD"/>
    <w:rsid w:val="002D7BC7"/>
    <w:rsid w:val="002D7C7B"/>
    <w:rsid w:val="002D7D0B"/>
    <w:rsid w:val="002D7F52"/>
    <w:rsid w:val="002E00B4"/>
    <w:rsid w:val="002E028B"/>
    <w:rsid w:val="002E03F1"/>
    <w:rsid w:val="002E0496"/>
    <w:rsid w:val="002E05E3"/>
    <w:rsid w:val="002E07CC"/>
    <w:rsid w:val="002E087E"/>
    <w:rsid w:val="002E0A51"/>
    <w:rsid w:val="002E0BE2"/>
    <w:rsid w:val="002E0C5E"/>
    <w:rsid w:val="002E0CEF"/>
    <w:rsid w:val="002E0D44"/>
    <w:rsid w:val="002E0DAB"/>
    <w:rsid w:val="002E0FAC"/>
    <w:rsid w:val="002E105D"/>
    <w:rsid w:val="002E1088"/>
    <w:rsid w:val="002E1286"/>
    <w:rsid w:val="002E1A70"/>
    <w:rsid w:val="002E1A84"/>
    <w:rsid w:val="002E1B8A"/>
    <w:rsid w:val="002E1BFA"/>
    <w:rsid w:val="002E1C46"/>
    <w:rsid w:val="002E1CCA"/>
    <w:rsid w:val="002E1DDB"/>
    <w:rsid w:val="002E1DDC"/>
    <w:rsid w:val="002E1E13"/>
    <w:rsid w:val="002E1F2A"/>
    <w:rsid w:val="002E1F2E"/>
    <w:rsid w:val="002E1FBD"/>
    <w:rsid w:val="002E2057"/>
    <w:rsid w:val="002E20F1"/>
    <w:rsid w:val="002E2469"/>
    <w:rsid w:val="002E2741"/>
    <w:rsid w:val="002E283B"/>
    <w:rsid w:val="002E29E1"/>
    <w:rsid w:val="002E2A0D"/>
    <w:rsid w:val="002E2C94"/>
    <w:rsid w:val="002E33BB"/>
    <w:rsid w:val="002E3894"/>
    <w:rsid w:val="002E391D"/>
    <w:rsid w:val="002E3C9D"/>
    <w:rsid w:val="002E3DB8"/>
    <w:rsid w:val="002E3F1A"/>
    <w:rsid w:val="002E40E7"/>
    <w:rsid w:val="002E4140"/>
    <w:rsid w:val="002E415C"/>
    <w:rsid w:val="002E465D"/>
    <w:rsid w:val="002E484D"/>
    <w:rsid w:val="002E48A1"/>
    <w:rsid w:val="002E492D"/>
    <w:rsid w:val="002E4A25"/>
    <w:rsid w:val="002E4B2E"/>
    <w:rsid w:val="002E4B73"/>
    <w:rsid w:val="002E4FB5"/>
    <w:rsid w:val="002E5016"/>
    <w:rsid w:val="002E5138"/>
    <w:rsid w:val="002E520B"/>
    <w:rsid w:val="002E526B"/>
    <w:rsid w:val="002E5271"/>
    <w:rsid w:val="002E537A"/>
    <w:rsid w:val="002E573D"/>
    <w:rsid w:val="002E576F"/>
    <w:rsid w:val="002E57BF"/>
    <w:rsid w:val="002E5836"/>
    <w:rsid w:val="002E5E09"/>
    <w:rsid w:val="002E5E72"/>
    <w:rsid w:val="002E5ED3"/>
    <w:rsid w:val="002E5F76"/>
    <w:rsid w:val="002E606E"/>
    <w:rsid w:val="002E6278"/>
    <w:rsid w:val="002E6392"/>
    <w:rsid w:val="002E63CC"/>
    <w:rsid w:val="002E6408"/>
    <w:rsid w:val="002E64D5"/>
    <w:rsid w:val="002E66E4"/>
    <w:rsid w:val="002E66E8"/>
    <w:rsid w:val="002E676F"/>
    <w:rsid w:val="002E686F"/>
    <w:rsid w:val="002E6BDB"/>
    <w:rsid w:val="002E6C89"/>
    <w:rsid w:val="002E6D2C"/>
    <w:rsid w:val="002E6EB1"/>
    <w:rsid w:val="002E6EFA"/>
    <w:rsid w:val="002E6FF9"/>
    <w:rsid w:val="002E70A7"/>
    <w:rsid w:val="002E70FE"/>
    <w:rsid w:val="002E7136"/>
    <w:rsid w:val="002E72F6"/>
    <w:rsid w:val="002E72F9"/>
    <w:rsid w:val="002E755A"/>
    <w:rsid w:val="002E784F"/>
    <w:rsid w:val="002E791C"/>
    <w:rsid w:val="002E79AB"/>
    <w:rsid w:val="002E7B93"/>
    <w:rsid w:val="002E7C8F"/>
    <w:rsid w:val="002E7D67"/>
    <w:rsid w:val="002E7D9B"/>
    <w:rsid w:val="002E7DC0"/>
    <w:rsid w:val="002E7E17"/>
    <w:rsid w:val="002E7E86"/>
    <w:rsid w:val="002F02FC"/>
    <w:rsid w:val="002F06A8"/>
    <w:rsid w:val="002F0771"/>
    <w:rsid w:val="002F092B"/>
    <w:rsid w:val="002F0A3A"/>
    <w:rsid w:val="002F0AB4"/>
    <w:rsid w:val="002F0AE2"/>
    <w:rsid w:val="002F0B93"/>
    <w:rsid w:val="002F0BBD"/>
    <w:rsid w:val="002F0CA4"/>
    <w:rsid w:val="002F0EBF"/>
    <w:rsid w:val="002F1159"/>
    <w:rsid w:val="002F1203"/>
    <w:rsid w:val="002F136E"/>
    <w:rsid w:val="002F1445"/>
    <w:rsid w:val="002F148D"/>
    <w:rsid w:val="002F14F9"/>
    <w:rsid w:val="002F150D"/>
    <w:rsid w:val="002F1741"/>
    <w:rsid w:val="002F19B2"/>
    <w:rsid w:val="002F19CA"/>
    <w:rsid w:val="002F1A0F"/>
    <w:rsid w:val="002F1ACE"/>
    <w:rsid w:val="002F1AE3"/>
    <w:rsid w:val="002F1D6D"/>
    <w:rsid w:val="002F1DB0"/>
    <w:rsid w:val="002F1F76"/>
    <w:rsid w:val="002F2078"/>
    <w:rsid w:val="002F2141"/>
    <w:rsid w:val="002F225E"/>
    <w:rsid w:val="002F22E6"/>
    <w:rsid w:val="002F259A"/>
    <w:rsid w:val="002F26DD"/>
    <w:rsid w:val="002F2B0F"/>
    <w:rsid w:val="002F2FFE"/>
    <w:rsid w:val="002F30AA"/>
    <w:rsid w:val="002F33C3"/>
    <w:rsid w:val="002F34AE"/>
    <w:rsid w:val="002F35DD"/>
    <w:rsid w:val="002F3668"/>
    <w:rsid w:val="002F3679"/>
    <w:rsid w:val="002F389C"/>
    <w:rsid w:val="002F3933"/>
    <w:rsid w:val="002F39A0"/>
    <w:rsid w:val="002F3B90"/>
    <w:rsid w:val="002F3E0E"/>
    <w:rsid w:val="002F4066"/>
    <w:rsid w:val="002F426A"/>
    <w:rsid w:val="002F426E"/>
    <w:rsid w:val="002F428C"/>
    <w:rsid w:val="002F4297"/>
    <w:rsid w:val="002F430A"/>
    <w:rsid w:val="002F439C"/>
    <w:rsid w:val="002F4440"/>
    <w:rsid w:val="002F4625"/>
    <w:rsid w:val="002F47E9"/>
    <w:rsid w:val="002F4902"/>
    <w:rsid w:val="002F49B3"/>
    <w:rsid w:val="002F4DF5"/>
    <w:rsid w:val="002F4F87"/>
    <w:rsid w:val="002F51D6"/>
    <w:rsid w:val="002F5516"/>
    <w:rsid w:val="002F5592"/>
    <w:rsid w:val="002F5617"/>
    <w:rsid w:val="002F588A"/>
    <w:rsid w:val="002F58C6"/>
    <w:rsid w:val="002F5991"/>
    <w:rsid w:val="002F5998"/>
    <w:rsid w:val="002F59CF"/>
    <w:rsid w:val="002F5AC7"/>
    <w:rsid w:val="002F5DC6"/>
    <w:rsid w:val="002F5DDB"/>
    <w:rsid w:val="002F5E78"/>
    <w:rsid w:val="002F6469"/>
    <w:rsid w:val="002F64A5"/>
    <w:rsid w:val="002F6638"/>
    <w:rsid w:val="002F689F"/>
    <w:rsid w:val="002F6911"/>
    <w:rsid w:val="002F694C"/>
    <w:rsid w:val="002F6B91"/>
    <w:rsid w:val="002F7600"/>
    <w:rsid w:val="002F76C0"/>
    <w:rsid w:val="002F7732"/>
    <w:rsid w:val="002F7937"/>
    <w:rsid w:val="002F7977"/>
    <w:rsid w:val="002F79ED"/>
    <w:rsid w:val="002F7A45"/>
    <w:rsid w:val="002F7A4C"/>
    <w:rsid w:val="002F7AF9"/>
    <w:rsid w:val="002F7E24"/>
    <w:rsid w:val="002F7E6A"/>
    <w:rsid w:val="002F7E6F"/>
    <w:rsid w:val="002F7FD9"/>
    <w:rsid w:val="003000A1"/>
    <w:rsid w:val="00300484"/>
    <w:rsid w:val="00300600"/>
    <w:rsid w:val="00300739"/>
    <w:rsid w:val="00300841"/>
    <w:rsid w:val="003009B2"/>
    <w:rsid w:val="003009EF"/>
    <w:rsid w:val="00300A52"/>
    <w:rsid w:val="00300AA9"/>
    <w:rsid w:val="00300AB7"/>
    <w:rsid w:val="00300DC3"/>
    <w:rsid w:val="00300F5B"/>
    <w:rsid w:val="00301190"/>
    <w:rsid w:val="00301237"/>
    <w:rsid w:val="0030126C"/>
    <w:rsid w:val="00301454"/>
    <w:rsid w:val="0030147F"/>
    <w:rsid w:val="003014EE"/>
    <w:rsid w:val="003016DE"/>
    <w:rsid w:val="003019F1"/>
    <w:rsid w:val="00301BD5"/>
    <w:rsid w:val="00301C1B"/>
    <w:rsid w:val="00301E06"/>
    <w:rsid w:val="00301EAF"/>
    <w:rsid w:val="00301EDE"/>
    <w:rsid w:val="003023F8"/>
    <w:rsid w:val="003026BE"/>
    <w:rsid w:val="0030275D"/>
    <w:rsid w:val="00302771"/>
    <w:rsid w:val="00302809"/>
    <w:rsid w:val="00302837"/>
    <w:rsid w:val="0030287A"/>
    <w:rsid w:val="0030293C"/>
    <w:rsid w:val="00302990"/>
    <w:rsid w:val="00302D6D"/>
    <w:rsid w:val="00302E24"/>
    <w:rsid w:val="003032C9"/>
    <w:rsid w:val="003033EA"/>
    <w:rsid w:val="003037D2"/>
    <w:rsid w:val="003037FC"/>
    <w:rsid w:val="00303A4F"/>
    <w:rsid w:val="00303B9B"/>
    <w:rsid w:val="00303BB2"/>
    <w:rsid w:val="00303D05"/>
    <w:rsid w:val="00303F17"/>
    <w:rsid w:val="00303F23"/>
    <w:rsid w:val="003043A9"/>
    <w:rsid w:val="0030445A"/>
    <w:rsid w:val="003044EC"/>
    <w:rsid w:val="003044F6"/>
    <w:rsid w:val="00304654"/>
    <w:rsid w:val="00304666"/>
    <w:rsid w:val="00304B45"/>
    <w:rsid w:val="00304B8F"/>
    <w:rsid w:val="00304E04"/>
    <w:rsid w:val="00304E69"/>
    <w:rsid w:val="00304F25"/>
    <w:rsid w:val="00304F93"/>
    <w:rsid w:val="00305218"/>
    <w:rsid w:val="003052D2"/>
    <w:rsid w:val="003053DB"/>
    <w:rsid w:val="00305442"/>
    <w:rsid w:val="003054E2"/>
    <w:rsid w:val="00305832"/>
    <w:rsid w:val="00305AB0"/>
    <w:rsid w:val="00305AB9"/>
    <w:rsid w:val="00305B5C"/>
    <w:rsid w:val="00305C21"/>
    <w:rsid w:val="00305C89"/>
    <w:rsid w:val="00305D3B"/>
    <w:rsid w:val="00305DD3"/>
    <w:rsid w:val="00305E49"/>
    <w:rsid w:val="0030609F"/>
    <w:rsid w:val="003060B5"/>
    <w:rsid w:val="003061AE"/>
    <w:rsid w:val="00306318"/>
    <w:rsid w:val="0030640F"/>
    <w:rsid w:val="003064E5"/>
    <w:rsid w:val="00306668"/>
    <w:rsid w:val="00306766"/>
    <w:rsid w:val="003067B9"/>
    <w:rsid w:val="003067FC"/>
    <w:rsid w:val="003068B7"/>
    <w:rsid w:val="00306A42"/>
    <w:rsid w:val="00306AA2"/>
    <w:rsid w:val="00306AA8"/>
    <w:rsid w:val="00306BC9"/>
    <w:rsid w:val="00306C89"/>
    <w:rsid w:val="00306CBC"/>
    <w:rsid w:val="00306D85"/>
    <w:rsid w:val="00306E5D"/>
    <w:rsid w:val="00306E7E"/>
    <w:rsid w:val="00306E8A"/>
    <w:rsid w:val="00306EAA"/>
    <w:rsid w:val="00306F0D"/>
    <w:rsid w:val="00307080"/>
    <w:rsid w:val="00307082"/>
    <w:rsid w:val="003071C4"/>
    <w:rsid w:val="00307510"/>
    <w:rsid w:val="00307560"/>
    <w:rsid w:val="0030757B"/>
    <w:rsid w:val="003075AC"/>
    <w:rsid w:val="003076A1"/>
    <w:rsid w:val="003077BA"/>
    <w:rsid w:val="0030780A"/>
    <w:rsid w:val="00307898"/>
    <w:rsid w:val="003079C8"/>
    <w:rsid w:val="00307C1D"/>
    <w:rsid w:val="00307E0D"/>
    <w:rsid w:val="0031010C"/>
    <w:rsid w:val="00310671"/>
    <w:rsid w:val="003108A0"/>
    <w:rsid w:val="003108AE"/>
    <w:rsid w:val="00310B08"/>
    <w:rsid w:val="00310C24"/>
    <w:rsid w:val="00310DEE"/>
    <w:rsid w:val="00310DF0"/>
    <w:rsid w:val="00310F97"/>
    <w:rsid w:val="00311015"/>
    <w:rsid w:val="00311117"/>
    <w:rsid w:val="00311263"/>
    <w:rsid w:val="0031126B"/>
    <w:rsid w:val="003112FF"/>
    <w:rsid w:val="0031130D"/>
    <w:rsid w:val="00311354"/>
    <w:rsid w:val="0031142E"/>
    <w:rsid w:val="00311518"/>
    <w:rsid w:val="0031165E"/>
    <w:rsid w:val="00311762"/>
    <w:rsid w:val="00311807"/>
    <w:rsid w:val="00311A39"/>
    <w:rsid w:val="00311B44"/>
    <w:rsid w:val="00311D0D"/>
    <w:rsid w:val="00311D8F"/>
    <w:rsid w:val="0031216C"/>
    <w:rsid w:val="003121D9"/>
    <w:rsid w:val="003122D7"/>
    <w:rsid w:val="003123D3"/>
    <w:rsid w:val="00312466"/>
    <w:rsid w:val="003124F6"/>
    <w:rsid w:val="0031272C"/>
    <w:rsid w:val="00312933"/>
    <w:rsid w:val="00312A59"/>
    <w:rsid w:val="00312AA7"/>
    <w:rsid w:val="00312ADE"/>
    <w:rsid w:val="00312AF1"/>
    <w:rsid w:val="00312E6F"/>
    <w:rsid w:val="00312F87"/>
    <w:rsid w:val="00312FFC"/>
    <w:rsid w:val="00313213"/>
    <w:rsid w:val="00313262"/>
    <w:rsid w:val="003135BD"/>
    <w:rsid w:val="003138B3"/>
    <w:rsid w:val="003138F9"/>
    <w:rsid w:val="00313940"/>
    <w:rsid w:val="00313BFB"/>
    <w:rsid w:val="00313F40"/>
    <w:rsid w:val="003141BD"/>
    <w:rsid w:val="003142F2"/>
    <w:rsid w:val="00314306"/>
    <w:rsid w:val="00314469"/>
    <w:rsid w:val="003144AB"/>
    <w:rsid w:val="003144C9"/>
    <w:rsid w:val="00314561"/>
    <w:rsid w:val="0031457E"/>
    <w:rsid w:val="00314633"/>
    <w:rsid w:val="003149C9"/>
    <w:rsid w:val="00315274"/>
    <w:rsid w:val="003152B9"/>
    <w:rsid w:val="0031538D"/>
    <w:rsid w:val="003153D0"/>
    <w:rsid w:val="003155B6"/>
    <w:rsid w:val="003156C9"/>
    <w:rsid w:val="003158EF"/>
    <w:rsid w:val="00315BE0"/>
    <w:rsid w:val="00315D40"/>
    <w:rsid w:val="00315EAD"/>
    <w:rsid w:val="003160EA"/>
    <w:rsid w:val="00316223"/>
    <w:rsid w:val="00316423"/>
    <w:rsid w:val="00316426"/>
    <w:rsid w:val="00316435"/>
    <w:rsid w:val="003164A2"/>
    <w:rsid w:val="003165F6"/>
    <w:rsid w:val="00316868"/>
    <w:rsid w:val="00316983"/>
    <w:rsid w:val="003169F8"/>
    <w:rsid w:val="00316B09"/>
    <w:rsid w:val="00316F4B"/>
    <w:rsid w:val="00317009"/>
    <w:rsid w:val="003171D1"/>
    <w:rsid w:val="0031734A"/>
    <w:rsid w:val="00317465"/>
    <w:rsid w:val="003174C7"/>
    <w:rsid w:val="0031765C"/>
    <w:rsid w:val="003176C2"/>
    <w:rsid w:val="0031774B"/>
    <w:rsid w:val="003177B3"/>
    <w:rsid w:val="0031799C"/>
    <w:rsid w:val="00317A5E"/>
    <w:rsid w:val="00317BA9"/>
    <w:rsid w:val="00317C17"/>
    <w:rsid w:val="00317D24"/>
    <w:rsid w:val="00317D3A"/>
    <w:rsid w:val="00317F1E"/>
    <w:rsid w:val="00320067"/>
    <w:rsid w:val="0032028C"/>
    <w:rsid w:val="003202AD"/>
    <w:rsid w:val="00320334"/>
    <w:rsid w:val="003204D3"/>
    <w:rsid w:val="0032065B"/>
    <w:rsid w:val="00320664"/>
    <w:rsid w:val="003206CB"/>
    <w:rsid w:val="0032077F"/>
    <w:rsid w:val="003207F6"/>
    <w:rsid w:val="003208DD"/>
    <w:rsid w:val="003209E0"/>
    <w:rsid w:val="00320C53"/>
    <w:rsid w:val="00320D6E"/>
    <w:rsid w:val="00320EA2"/>
    <w:rsid w:val="00320F5A"/>
    <w:rsid w:val="00321089"/>
    <w:rsid w:val="0032108E"/>
    <w:rsid w:val="003210E4"/>
    <w:rsid w:val="003210E5"/>
    <w:rsid w:val="00321231"/>
    <w:rsid w:val="00321247"/>
    <w:rsid w:val="00321390"/>
    <w:rsid w:val="00321576"/>
    <w:rsid w:val="00321632"/>
    <w:rsid w:val="003216CC"/>
    <w:rsid w:val="003216DB"/>
    <w:rsid w:val="00321BBA"/>
    <w:rsid w:val="00321CB3"/>
    <w:rsid w:val="0032234C"/>
    <w:rsid w:val="00322456"/>
    <w:rsid w:val="00322493"/>
    <w:rsid w:val="003224EE"/>
    <w:rsid w:val="003226C4"/>
    <w:rsid w:val="003227CB"/>
    <w:rsid w:val="0032287A"/>
    <w:rsid w:val="003228FC"/>
    <w:rsid w:val="00322A72"/>
    <w:rsid w:val="00322B86"/>
    <w:rsid w:val="00322C0A"/>
    <w:rsid w:val="00322E03"/>
    <w:rsid w:val="003231E6"/>
    <w:rsid w:val="0032340E"/>
    <w:rsid w:val="003234F5"/>
    <w:rsid w:val="0032355E"/>
    <w:rsid w:val="003237DF"/>
    <w:rsid w:val="00323968"/>
    <w:rsid w:val="00323978"/>
    <w:rsid w:val="003239CD"/>
    <w:rsid w:val="00323CEB"/>
    <w:rsid w:val="003242B0"/>
    <w:rsid w:val="00324485"/>
    <w:rsid w:val="003245AA"/>
    <w:rsid w:val="003248A2"/>
    <w:rsid w:val="00324BF1"/>
    <w:rsid w:val="00324DC9"/>
    <w:rsid w:val="00324F6C"/>
    <w:rsid w:val="00325016"/>
    <w:rsid w:val="00325163"/>
    <w:rsid w:val="003251AD"/>
    <w:rsid w:val="00325330"/>
    <w:rsid w:val="00325555"/>
    <w:rsid w:val="00325561"/>
    <w:rsid w:val="00325704"/>
    <w:rsid w:val="003257D9"/>
    <w:rsid w:val="00325837"/>
    <w:rsid w:val="00325871"/>
    <w:rsid w:val="00325891"/>
    <w:rsid w:val="003258FC"/>
    <w:rsid w:val="00325979"/>
    <w:rsid w:val="00325A0C"/>
    <w:rsid w:val="00325B3B"/>
    <w:rsid w:val="00325F9A"/>
    <w:rsid w:val="00326382"/>
    <w:rsid w:val="00326492"/>
    <w:rsid w:val="003267B6"/>
    <w:rsid w:val="003267CA"/>
    <w:rsid w:val="003267F6"/>
    <w:rsid w:val="0032683F"/>
    <w:rsid w:val="00326A12"/>
    <w:rsid w:val="00326BE0"/>
    <w:rsid w:val="00326CC0"/>
    <w:rsid w:val="00326D4E"/>
    <w:rsid w:val="00326DA6"/>
    <w:rsid w:val="00326E1A"/>
    <w:rsid w:val="00326EED"/>
    <w:rsid w:val="0032710D"/>
    <w:rsid w:val="00327173"/>
    <w:rsid w:val="00327195"/>
    <w:rsid w:val="00327344"/>
    <w:rsid w:val="00327608"/>
    <w:rsid w:val="0032785D"/>
    <w:rsid w:val="00327A55"/>
    <w:rsid w:val="00327A7D"/>
    <w:rsid w:val="00327AF6"/>
    <w:rsid w:val="00327B45"/>
    <w:rsid w:val="00327CFD"/>
    <w:rsid w:val="00327EBB"/>
    <w:rsid w:val="00327EBF"/>
    <w:rsid w:val="003300CF"/>
    <w:rsid w:val="0033013E"/>
    <w:rsid w:val="00330161"/>
    <w:rsid w:val="003304DB"/>
    <w:rsid w:val="00330564"/>
    <w:rsid w:val="00330573"/>
    <w:rsid w:val="003305D3"/>
    <w:rsid w:val="0033066D"/>
    <w:rsid w:val="003308EA"/>
    <w:rsid w:val="00330F48"/>
    <w:rsid w:val="00330FDA"/>
    <w:rsid w:val="00331076"/>
    <w:rsid w:val="003311C1"/>
    <w:rsid w:val="003312D4"/>
    <w:rsid w:val="00331517"/>
    <w:rsid w:val="003317E7"/>
    <w:rsid w:val="0033199D"/>
    <w:rsid w:val="003319B7"/>
    <w:rsid w:val="00331B4B"/>
    <w:rsid w:val="00331BDB"/>
    <w:rsid w:val="00331BDC"/>
    <w:rsid w:val="00331D0C"/>
    <w:rsid w:val="00331E8E"/>
    <w:rsid w:val="00331F82"/>
    <w:rsid w:val="003320B5"/>
    <w:rsid w:val="00332229"/>
    <w:rsid w:val="003323A3"/>
    <w:rsid w:val="00332606"/>
    <w:rsid w:val="00332616"/>
    <w:rsid w:val="00332A59"/>
    <w:rsid w:val="00332AAE"/>
    <w:rsid w:val="00332B86"/>
    <w:rsid w:val="00332D28"/>
    <w:rsid w:val="00333063"/>
    <w:rsid w:val="003333E3"/>
    <w:rsid w:val="00333485"/>
    <w:rsid w:val="00333501"/>
    <w:rsid w:val="00333885"/>
    <w:rsid w:val="00333AE1"/>
    <w:rsid w:val="00333BCA"/>
    <w:rsid w:val="00333C0C"/>
    <w:rsid w:val="00333C83"/>
    <w:rsid w:val="00333EA4"/>
    <w:rsid w:val="003341F1"/>
    <w:rsid w:val="00334293"/>
    <w:rsid w:val="00334343"/>
    <w:rsid w:val="0033478A"/>
    <w:rsid w:val="00334851"/>
    <w:rsid w:val="003348BA"/>
    <w:rsid w:val="00334B28"/>
    <w:rsid w:val="00334C1E"/>
    <w:rsid w:val="003350E4"/>
    <w:rsid w:val="0033519F"/>
    <w:rsid w:val="00335316"/>
    <w:rsid w:val="0033547B"/>
    <w:rsid w:val="003356B5"/>
    <w:rsid w:val="003358ED"/>
    <w:rsid w:val="00335932"/>
    <w:rsid w:val="003359E3"/>
    <w:rsid w:val="00335A2E"/>
    <w:rsid w:val="00335C77"/>
    <w:rsid w:val="00335CB7"/>
    <w:rsid w:val="00335D64"/>
    <w:rsid w:val="00335F80"/>
    <w:rsid w:val="00335FB0"/>
    <w:rsid w:val="003363B2"/>
    <w:rsid w:val="00336807"/>
    <w:rsid w:val="00336825"/>
    <w:rsid w:val="0033697F"/>
    <w:rsid w:val="00336A3C"/>
    <w:rsid w:val="00336B02"/>
    <w:rsid w:val="00336B50"/>
    <w:rsid w:val="00336FCB"/>
    <w:rsid w:val="0033707C"/>
    <w:rsid w:val="0033719B"/>
    <w:rsid w:val="00337218"/>
    <w:rsid w:val="0033725B"/>
    <w:rsid w:val="00337343"/>
    <w:rsid w:val="00337537"/>
    <w:rsid w:val="003376DF"/>
    <w:rsid w:val="003378AE"/>
    <w:rsid w:val="00337A50"/>
    <w:rsid w:val="00337A74"/>
    <w:rsid w:val="00337C5F"/>
    <w:rsid w:val="00337DC1"/>
    <w:rsid w:val="00337EBC"/>
    <w:rsid w:val="003402B4"/>
    <w:rsid w:val="003404BB"/>
    <w:rsid w:val="003405C8"/>
    <w:rsid w:val="0034074F"/>
    <w:rsid w:val="00340797"/>
    <w:rsid w:val="00340834"/>
    <w:rsid w:val="0034095C"/>
    <w:rsid w:val="00340A99"/>
    <w:rsid w:val="00340B3B"/>
    <w:rsid w:val="00340BA1"/>
    <w:rsid w:val="00340CD1"/>
    <w:rsid w:val="00340CEF"/>
    <w:rsid w:val="00340E59"/>
    <w:rsid w:val="00340F2B"/>
    <w:rsid w:val="00341098"/>
    <w:rsid w:val="003410A7"/>
    <w:rsid w:val="003411DA"/>
    <w:rsid w:val="003411F0"/>
    <w:rsid w:val="003413F1"/>
    <w:rsid w:val="003414A6"/>
    <w:rsid w:val="003414E1"/>
    <w:rsid w:val="003415E7"/>
    <w:rsid w:val="00341727"/>
    <w:rsid w:val="0034178A"/>
    <w:rsid w:val="00341999"/>
    <w:rsid w:val="003419D4"/>
    <w:rsid w:val="00341A06"/>
    <w:rsid w:val="00341ACC"/>
    <w:rsid w:val="00341B5A"/>
    <w:rsid w:val="00341D35"/>
    <w:rsid w:val="00341D56"/>
    <w:rsid w:val="00341E28"/>
    <w:rsid w:val="00341EC5"/>
    <w:rsid w:val="003420C3"/>
    <w:rsid w:val="00342243"/>
    <w:rsid w:val="003422AA"/>
    <w:rsid w:val="00342315"/>
    <w:rsid w:val="00342341"/>
    <w:rsid w:val="003423CD"/>
    <w:rsid w:val="003423DE"/>
    <w:rsid w:val="003424E1"/>
    <w:rsid w:val="003424ED"/>
    <w:rsid w:val="00342646"/>
    <w:rsid w:val="003426AE"/>
    <w:rsid w:val="003428F3"/>
    <w:rsid w:val="00342909"/>
    <w:rsid w:val="00342B17"/>
    <w:rsid w:val="00342C97"/>
    <w:rsid w:val="00343168"/>
    <w:rsid w:val="003431AB"/>
    <w:rsid w:val="003431BF"/>
    <w:rsid w:val="00343331"/>
    <w:rsid w:val="00343388"/>
    <w:rsid w:val="00343629"/>
    <w:rsid w:val="003436C8"/>
    <w:rsid w:val="003436D1"/>
    <w:rsid w:val="00343756"/>
    <w:rsid w:val="003438B6"/>
    <w:rsid w:val="0034397E"/>
    <w:rsid w:val="00343B40"/>
    <w:rsid w:val="00343F8E"/>
    <w:rsid w:val="00344036"/>
    <w:rsid w:val="0034430B"/>
    <w:rsid w:val="00344601"/>
    <w:rsid w:val="003446EB"/>
    <w:rsid w:val="003447E5"/>
    <w:rsid w:val="00344A7B"/>
    <w:rsid w:val="00344CA3"/>
    <w:rsid w:val="00344CC4"/>
    <w:rsid w:val="0034514A"/>
    <w:rsid w:val="003451E8"/>
    <w:rsid w:val="003452EE"/>
    <w:rsid w:val="00345300"/>
    <w:rsid w:val="00345434"/>
    <w:rsid w:val="00345517"/>
    <w:rsid w:val="003455B0"/>
    <w:rsid w:val="00345681"/>
    <w:rsid w:val="0034585D"/>
    <w:rsid w:val="0034587E"/>
    <w:rsid w:val="00345B3C"/>
    <w:rsid w:val="00345C0C"/>
    <w:rsid w:val="00345C0D"/>
    <w:rsid w:val="00345EB8"/>
    <w:rsid w:val="00345EF8"/>
    <w:rsid w:val="003460EA"/>
    <w:rsid w:val="00346100"/>
    <w:rsid w:val="00346125"/>
    <w:rsid w:val="00346159"/>
    <w:rsid w:val="00346317"/>
    <w:rsid w:val="003463B4"/>
    <w:rsid w:val="003463F4"/>
    <w:rsid w:val="0034641E"/>
    <w:rsid w:val="0034669A"/>
    <w:rsid w:val="003466F3"/>
    <w:rsid w:val="00346912"/>
    <w:rsid w:val="0034695C"/>
    <w:rsid w:val="00346A1E"/>
    <w:rsid w:val="00346C2D"/>
    <w:rsid w:val="00346DD4"/>
    <w:rsid w:val="00346F35"/>
    <w:rsid w:val="0034714B"/>
    <w:rsid w:val="003471C1"/>
    <w:rsid w:val="0034747D"/>
    <w:rsid w:val="003474F4"/>
    <w:rsid w:val="00347602"/>
    <w:rsid w:val="003476DE"/>
    <w:rsid w:val="00347783"/>
    <w:rsid w:val="003477B2"/>
    <w:rsid w:val="0034783D"/>
    <w:rsid w:val="0034787F"/>
    <w:rsid w:val="00347B2A"/>
    <w:rsid w:val="00347B3F"/>
    <w:rsid w:val="00347B5D"/>
    <w:rsid w:val="00347CB1"/>
    <w:rsid w:val="00347DDC"/>
    <w:rsid w:val="00350019"/>
    <w:rsid w:val="003500DA"/>
    <w:rsid w:val="0035013D"/>
    <w:rsid w:val="0035015C"/>
    <w:rsid w:val="003501CE"/>
    <w:rsid w:val="0035034D"/>
    <w:rsid w:val="00350593"/>
    <w:rsid w:val="00350658"/>
    <w:rsid w:val="003506CD"/>
    <w:rsid w:val="0035086A"/>
    <w:rsid w:val="003508E0"/>
    <w:rsid w:val="00350A80"/>
    <w:rsid w:val="00350C4C"/>
    <w:rsid w:val="00350E83"/>
    <w:rsid w:val="00350E9B"/>
    <w:rsid w:val="00350ECD"/>
    <w:rsid w:val="003511DD"/>
    <w:rsid w:val="00351486"/>
    <w:rsid w:val="0035162E"/>
    <w:rsid w:val="003516E2"/>
    <w:rsid w:val="00351737"/>
    <w:rsid w:val="0035179C"/>
    <w:rsid w:val="003518C5"/>
    <w:rsid w:val="003518E2"/>
    <w:rsid w:val="00351A38"/>
    <w:rsid w:val="00351F20"/>
    <w:rsid w:val="00351F39"/>
    <w:rsid w:val="0035203E"/>
    <w:rsid w:val="00352335"/>
    <w:rsid w:val="00352394"/>
    <w:rsid w:val="0035252F"/>
    <w:rsid w:val="0035258A"/>
    <w:rsid w:val="003525C0"/>
    <w:rsid w:val="003526A5"/>
    <w:rsid w:val="00352860"/>
    <w:rsid w:val="0035289A"/>
    <w:rsid w:val="00352A60"/>
    <w:rsid w:val="00352AC6"/>
    <w:rsid w:val="00352AEF"/>
    <w:rsid w:val="00352F08"/>
    <w:rsid w:val="00352FAB"/>
    <w:rsid w:val="0035323A"/>
    <w:rsid w:val="003532E8"/>
    <w:rsid w:val="0035347F"/>
    <w:rsid w:val="003534BF"/>
    <w:rsid w:val="00353547"/>
    <w:rsid w:val="003535E3"/>
    <w:rsid w:val="003536E5"/>
    <w:rsid w:val="00353816"/>
    <w:rsid w:val="0035386C"/>
    <w:rsid w:val="00353908"/>
    <w:rsid w:val="00353A04"/>
    <w:rsid w:val="00353A0A"/>
    <w:rsid w:val="00353CD3"/>
    <w:rsid w:val="00353E3F"/>
    <w:rsid w:val="00353EBA"/>
    <w:rsid w:val="003541A4"/>
    <w:rsid w:val="00354649"/>
    <w:rsid w:val="00354709"/>
    <w:rsid w:val="003547FC"/>
    <w:rsid w:val="00354A06"/>
    <w:rsid w:val="00354B4B"/>
    <w:rsid w:val="00354C9E"/>
    <w:rsid w:val="00354D40"/>
    <w:rsid w:val="0035517E"/>
    <w:rsid w:val="003553E4"/>
    <w:rsid w:val="0035551A"/>
    <w:rsid w:val="003557A0"/>
    <w:rsid w:val="00355C02"/>
    <w:rsid w:val="00355ED8"/>
    <w:rsid w:val="00355F72"/>
    <w:rsid w:val="00356321"/>
    <w:rsid w:val="003563A7"/>
    <w:rsid w:val="003564CB"/>
    <w:rsid w:val="003566EA"/>
    <w:rsid w:val="003567DA"/>
    <w:rsid w:val="00356801"/>
    <w:rsid w:val="003569DE"/>
    <w:rsid w:val="00356AA7"/>
    <w:rsid w:val="00356AD9"/>
    <w:rsid w:val="00356ADE"/>
    <w:rsid w:val="00356C39"/>
    <w:rsid w:val="00356CDB"/>
    <w:rsid w:val="00356D04"/>
    <w:rsid w:val="00356D35"/>
    <w:rsid w:val="00356D37"/>
    <w:rsid w:val="00356DF8"/>
    <w:rsid w:val="00356EFC"/>
    <w:rsid w:val="00357274"/>
    <w:rsid w:val="0035733A"/>
    <w:rsid w:val="00357DE2"/>
    <w:rsid w:val="00357EFB"/>
    <w:rsid w:val="00357F7E"/>
    <w:rsid w:val="00357F99"/>
    <w:rsid w:val="00360077"/>
    <w:rsid w:val="00360402"/>
    <w:rsid w:val="003605FF"/>
    <w:rsid w:val="003606A9"/>
    <w:rsid w:val="003606CE"/>
    <w:rsid w:val="003606F3"/>
    <w:rsid w:val="0036078C"/>
    <w:rsid w:val="003607D4"/>
    <w:rsid w:val="00360A21"/>
    <w:rsid w:val="00360C26"/>
    <w:rsid w:val="00360D83"/>
    <w:rsid w:val="00360DCF"/>
    <w:rsid w:val="00360EAA"/>
    <w:rsid w:val="00361012"/>
    <w:rsid w:val="003610F5"/>
    <w:rsid w:val="0036123C"/>
    <w:rsid w:val="00361308"/>
    <w:rsid w:val="00361314"/>
    <w:rsid w:val="003613A7"/>
    <w:rsid w:val="003616F8"/>
    <w:rsid w:val="00361708"/>
    <w:rsid w:val="003617D3"/>
    <w:rsid w:val="00361847"/>
    <w:rsid w:val="00361871"/>
    <w:rsid w:val="0036198A"/>
    <w:rsid w:val="00361CE2"/>
    <w:rsid w:val="00361DD1"/>
    <w:rsid w:val="00361FFC"/>
    <w:rsid w:val="003622D2"/>
    <w:rsid w:val="003623F2"/>
    <w:rsid w:val="00362770"/>
    <w:rsid w:val="003627B4"/>
    <w:rsid w:val="003627EC"/>
    <w:rsid w:val="00362933"/>
    <w:rsid w:val="00362958"/>
    <w:rsid w:val="0036299A"/>
    <w:rsid w:val="00362A54"/>
    <w:rsid w:val="00362A6E"/>
    <w:rsid w:val="00362A77"/>
    <w:rsid w:val="00362B7F"/>
    <w:rsid w:val="00362BD0"/>
    <w:rsid w:val="00362D71"/>
    <w:rsid w:val="00362FAE"/>
    <w:rsid w:val="00363043"/>
    <w:rsid w:val="00363138"/>
    <w:rsid w:val="00363139"/>
    <w:rsid w:val="0036319D"/>
    <w:rsid w:val="003631B6"/>
    <w:rsid w:val="003632B6"/>
    <w:rsid w:val="00363391"/>
    <w:rsid w:val="003633C6"/>
    <w:rsid w:val="0036361A"/>
    <w:rsid w:val="003637FA"/>
    <w:rsid w:val="003639B6"/>
    <w:rsid w:val="003639C5"/>
    <w:rsid w:val="00363A59"/>
    <w:rsid w:val="00363A88"/>
    <w:rsid w:val="00363B9E"/>
    <w:rsid w:val="00363CE9"/>
    <w:rsid w:val="00363FA5"/>
    <w:rsid w:val="0036405B"/>
    <w:rsid w:val="00364337"/>
    <w:rsid w:val="0036441E"/>
    <w:rsid w:val="00364479"/>
    <w:rsid w:val="00364585"/>
    <w:rsid w:val="00364729"/>
    <w:rsid w:val="00364A01"/>
    <w:rsid w:val="00364A41"/>
    <w:rsid w:val="00364A4A"/>
    <w:rsid w:val="00364CA4"/>
    <w:rsid w:val="00364CD8"/>
    <w:rsid w:val="00364EBC"/>
    <w:rsid w:val="00364FBC"/>
    <w:rsid w:val="00364FC7"/>
    <w:rsid w:val="0036516F"/>
    <w:rsid w:val="00365461"/>
    <w:rsid w:val="00365760"/>
    <w:rsid w:val="003657B1"/>
    <w:rsid w:val="003657BA"/>
    <w:rsid w:val="003657CB"/>
    <w:rsid w:val="00365914"/>
    <w:rsid w:val="00365B5B"/>
    <w:rsid w:val="00365BCE"/>
    <w:rsid w:val="0036600A"/>
    <w:rsid w:val="0036604E"/>
    <w:rsid w:val="0036605C"/>
    <w:rsid w:val="00366074"/>
    <w:rsid w:val="003661E0"/>
    <w:rsid w:val="003662EF"/>
    <w:rsid w:val="00366412"/>
    <w:rsid w:val="0036650F"/>
    <w:rsid w:val="0036687C"/>
    <w:rsid w:val="00366A94"/>
    <w:rsid w:val="00366C7F"/>
    <w:rsid w:val="00366C88"/>
    <w:rsid w:val="00366EC6"/>
    <w:rsid w:val="00366FE4"/>
    <w:rsid w:val="0036706D"/>
    <w:rsid w:val="003670E2"/>
    <w:rsid w:val="00367271"/>
    <w:rsid w:val="003672B3"/>
    <w:rsid w:val="003672C5"/>
    <w:rsid w:val="00367370"/>
    <w:rsid w:val="0036744E"/>
    <w:rsid w:val="00367A9D"/>
    <w:rsid w:val="00367B66"/>
    <w:rsid w:val="00367B80"/>
    <w:rsid w:val="00367D64"/>
    <w:rsid w:val="003700B0"/>
    <w:rsid w:val="003700FE"/>
    <w:rsid w:val="003703F3"/>
    <w:rsid w:val="00370458"/>
    <w:rsid w:val="00370493"/>
    <w:rsid w:val="003704A4"/>
    <w:rsid w:val="00370839"/>
    <w:rsid w:val="0037096C"/>
    <w:rsid w:val="00370B9E"/>
    <w:rsid w:val="00370DB0"/>
    <w:rsid w:val="00370DEA"/>
    <w:rsid w:val="00370E58"/>
    <w:rsid w:val="00371068"/>
    <w:rsid w:val="003711B0"/>
    <w:rsid w:val="003712D7"/>
    <w:rsid w:val="00371343"/>
    <w:rsid w:val="0037140F"/>
    <w:rsid w:val="00371438"/>
    <w:rsid w:val="003714C5"/>
    <w:rsid w:val="0037158F"/>
    <w:rsid w:val="00371617"/>
    <w:rsid w:val="003718DD"/>
    <w:rsid w:val="003719AF"/>
    <w:rsid w:val="00371C69"/>
    <w:rsid w:val="00372078"/>
    <w:rsid w:val="00372179"/>
    <w:rsid w:val="00372368"/>
    <w:rsid w:val="003724CC"/>
    <w:rsid w:val="00372C48"/>
    <w:rsid w:val="00372D60"/>
    <w:rsid w:val="00372D8A"/>
    <w:rsid w:val="00372EFB"/>
    <w:rsid w:val="00372FBD"/>
    <w:rsid w:val="00373129"/>
    <w:rsid w:val="00373398"/>
    <w:rsid w:val="0037350A"/>
    <w:rsid w:val="0037368A"/>
    <w:rsid w:val="00373AA0"/>
    <w:rsid w:val="00373AAB"/>
    <w:rsid w:val="00373B81"/>
    <w:rsid w:val="00373C5F"/>
    <w:rsid w:val="00373FEE"/>
    <w:rsid w:val="00373FFF"/>
    <w:rsid w:val="00374228"/>
    <w:rsid w:val="0037435C"/>
    <w:rsid w:val="00374805"/>
    <w:rsid w:val="003749FB"/>
    <w:rsid w:val="00374F91"/>
    <w:rsid w:val="003750D6"/>
    <w:rsid w:val="003754CE"/>
    <w:rsid w:val="00375595"/>
    <w:rsid w:val="003756A8"/>
    <w:rsid w:val="0037574A"/>
    <w:rsid w:val="00375879"/>
    <w:rsid w:val="003758D9"/>
    <w:rsid w:val="00375B56"/>
    <w:rsid w:val="00375B9C"/>
    <w:rsid w:val="00375BDA"/>
    <w:rsid w:val="00375D9F"/>
    <w:rsid w:val="00375ECC"/>
    <w:rsid w:val="00376015"/>
    <w:rsid w:val="0037606C"/>
    <w:rsid w:val="00376106"/>
    <w:rsid w:val="003763DB"/>
    <w:rsid w:val="00376635"/>
    <w:rsid w:val="003767A2"/>
    <w:rsid w:val="0037681C"/>
    <w:rsid w:val="00376AB2"/>
    <w:rsid w:val="00376B24"/>
    <w:rsid w:val="00376B5C"/>
    <w:rsid w:val="00376E4A"/>
    <w:rsid w:val="00376F99"/>
    <w:rsid w:val="003770BC"/>
    <w:rsid w:val="00377150"/>
    <w:rsid w:val="003771D9"/>
    <w:rsid w:val="00377270"/>
    <w:rsid w:val="00377416"/>
    <w:rsid w:val="0037741C"/>
    <w:rsid w:val="00377778"/>
    <w:rsid w:val="00377A52"/>
    <w:rsid w:val="00377AF1"/>
    <w:rsid w:val="00377CAA"/>
    <w:rsid w:val="00377D7D"/>
    <w:rsid w:val="00377E56"/>
    <w:rsid w:val="00377F72"/>
    <w:rsid w:val="0038000B"/>
    <w:rsid w:val="00380096"/>
    <w:rsid w:val="003800D0"/>
    <w:rsid w:val="003801E7"/>
    <w:rsid w:val="0038022A"/>
    <w:rsid w:val="0038023E"/>
    <w:rsid w:val="003807C4"/>
    <w:rsid w:val="00380BA4"/>
    <w:rsid w:val="00380E4C"/>
    <w:rsid w:val="003811FC"/>
    <w:rsid w:val="003816AE"/>
    <w:rsid w:val="0038172A"/>
    <w:rsid w:val="00381811"/>
    <w:rsid w:val="003818AC"/>
    <w:rsid w:val="0038194A"/>
    <w:rsid w:val="00381990"/>
    <w:rsid w:val="00381998"/>
    <w:rsid w:val="00381D80"/>
    <w:rsid w:val="00381E33"/>
    <w:rsid w:val="00381F07"/>
    <w:rsid w:val="0038204D"/>
    <w:rsid w:val="003820AF"/>
    <w:rsid w:val="003820CE"/>
    <w:rsid w:val="00382117"/>
    <w:rsid w:val="0038227E"/>
    <w:rsid w:val="00382399"/>
    <w:rsid w:val="00382411"/>
    <w:rsid w:val="0038250C"/>
    <w:rsid w:val="0038260F"/>
    <w:rsid w:val="00382654"/>
    <w:rsid w:val="00382783"/>
    <w:rsid w:val="003828B8"/>
    <w:rsid w:val="00382949"/>
    <w:rsid w:val="00382A2C"/>
    <w:rsid w:val="00382A6D"/>
    <w:rsid w:val="00382AB9"/>
    <w:rsid w:val="00382B61"/>
    <w:rsid w:val="00382F2D"/>
    <w:rsid w:val="00383260"/>
    <w:rsid w:val="003833CB"/>
    <w:rsid w:val="00383445"/>
    <w:rsid w:val="00383868"/>
    <w:rsid w:val="003839CE"/>
    <w:rsid w:val="00383D31"/>
    <w:rsid w:val="00383E50"/>
    <w:rsid w:val="00384214"/>
    <w:rsid w:val="003842D2"/>
    <w:rsid w:val="003842F2"/>
    <w:rsid w:val="003844EA"/>
    <w:rsid w:val="00384510"/>
    <w:rsid w:val="00384672"/>
    <w:rsid w:val="003847D0"/>
    <w:rsid w:val="00384AA6"/>
    <w:rsid w:val="00384AFA"/>
    <w:rsid w:val="00384C2B"/>
    <w:rsid w:val="00384E73"/>
    <w:rsid w:val="00384F9E"/>
    <w:rsid w:val="003852C5"/>
    <w:rsid w:val="003852E8"/>
    <w:rsid w:val="003855C4"/>
    <w:rsid w:val="003856DE"/>
    <w:rsid w:val="003857A3"/>
    <w:rsid w:val="003857B6"/>
    <w:rsid w:val="00385B20"/>
    <w:rsid w:val="00385BC7"/>
    <w:rsid w:val="00385DF2"/>
    <w:rsid w:val="00385E42"/>
    <w:rsid w:val="00385F60"/>
    <w:rsid w:val="00386116"/>
    <w:rsid w:val="00386123"/>
    <w:rsid w:val="0038621C"/>
    <w:rsid w:val="00386329"/>
    <w:rsid w:val="003863EA"/>
    <w:rsid w:val="003863F7"/>
    <w:rsid w:val="00386591"/>
    <w:rsid w:val="003865DF"/>
    <w:rsid w:val="003866DD"/>
    <w:rsid w:val="0038672A"/>
    <w:rsid w:val="0038675C"/>
    <w:rsid w:val="00386771"/>
    <w:rsid w:val="003869C5"/>
    <w:rsid w:val="003871DA"/>
    <w:rsid w:val="00387358"/>
    <w:rsid w:val="0038737C"/>
    <w:rsid w:val="00387474"/>
    <w:rsid w:val="003876A6"/>
    <w:rsid w:val="0038770A"/>
    <w:rsid w:val="00387BDB"/>
    <w:rsid w:val="00387CAB"/>
    <w:rsid w:val="00387E4D"/>
    <w:rsid w:val="00387F73"/>
    <w:rsid w:val="003900A2"/>
    <w:rsid w:val="003902EB"/>
    <w:rsid w:val="00390385"/>
    <w:rsid w:val="00390386"/>
    <w:rsid w:val="0039046C"/>
    <w:rsid w:val="0039055F"/>
    <w:rsid w:val="003905DE"/>
    <w:rsid w:val="0039067A"/>
    <w:rsid w:val="0039080C"/>
    <w:rsid w:val="00390885"/>
    <w:rsid w:val="00390A3D"/>
    <w:rsid w:val="00390A51"/>
    <w:rsid w:val="00391049"/>
    <w:rsid w:val="003910C5"/>
    <w:rsid w:val="0039139D"/>
    <w:rsid w:val="003918D2"/>
    <w:rsid w:val="003919EE"/>
    <w:rsid w:val="00391F4B"/>
    <w:rsid w:val="00391FCA"/>
    <w:rsid w:val="00391FFB"/>
    <w:rsid w:val="00392021"/>
    <w:rsid w:val="0039211B"/>
    <w:rsid w:val="003923B0"/>
    <w:rsid w:val="0039257D"/>
    <w:rsid w:val="003926AD"/>
    <w:rsid w:val="00392751"/>
    <w:rsid w:val="00392876"/>
    <w:rsid w:val="003929DA"/>
    <w:rsid w:val="00392F0E"/>
    <w:rsid w:val="00392F17"/>
    <w:rsid w:val="00393006"/>
    <w:rsid w:val="00393195"/>
    <w:rsid w:val="00393390"/>
    <w:rsid w:val="00393477"/>
    <w:rsid w:val="0039349D"/>
    <w:rsid w:val="003935BA"/>
    <w:rsid w:val="00393A92"/>
    <w:rsid w:val="00393C0D"/>
    <w:rsid w:val="00393CB2"/>
    <w:rsid w:val="00393E92"/>
    <w:rsid w:val="0039411B"/>
    <w:rsid w:val="0039420E"/>
    <w:rsid w:val="0039437E"/>
    <w:rsid w:val="00394847"/>
    <w:rsid w:val="00394D88"/>
    <w:rsid w:val="00395567"/>
    <w:rsid w:val="00395911"/>
    <w:rsid w:val="00395962"/>
    <w:rsid w:val="00395993"/>
    <w:rsid w:val="00395AF6"/>
    <w:rsid w:val="00395B41"/>
    <w:rsid w:val="00395D30"/>
    <w:rsid w:val="00395D3C"/>
    <w:rsid w:val="00395F4D"/>
    <w:rsid w:val="00396001"/>
    <w:rsid w:val="0039607D"/>
    <w:rsid w:val="00396291"/>
    <w:rsid w:val="003962D7"/>
    <w:rsid w:val="00396860"/>
    <w:rsid w:val="00396A1A"/>
    <w:rsid w:val="00396A43"/>
    <w:rsid w:val="00396A52"/>
    <w:rsid w:val="00396A7B"/>
    <w:rsid w:val="00396A81"/>
    <w:rsid w:val="00396A95"/>
    <w:rsid w:val="00396B9E"/>
    <w:rsid w:val="00396D3C"/>
    <w:rsid w:val="00396EEE"/>
    <w:rsid w:val="00396F00"/>
    <w:rsid w:val="00396F06"/>
    <w:rsid w:val="00396FBF"/>
    <w:rsid w:val="0039700A"/>
    <w:rsid w:val="003970F1"/>
    <w:rsid w:val="00397202"/>
    <w:rsid w:val="003972F0"/>
    <w:rsid w:val="0039731E"/>
    <w:rsid w:val="00397398"/>
    <w:rsid w:val="00397507"/>
    <w:rsid w:val="0039755E"/>
    <w:rsid w:val="003975B4"/>
    <w:rsid w:val="0039778B"/>
    <w:rsid w:val="003977A3"/>
    <w:rsid w:val="003977C0"/>
    <w:rsid w:val="00397919"/>
    <w:rsid w:val="00397A21"/>
    <w:rsid w:val="00397FF6"/>
    <w:rsid w:val="003A020E"/>
    <w:rsid w:val="003A025C"/>
    <w:rsid w:val="003A0460"/>
    <w:rsid w:val="003A06B4"/>
    <w:rsid w:val="003A0928"/>
    <w:rsid w:val="003A0A05"/>
    <w:rsid w:val="003A0A45"/>
    <w:rsid w:val="003A0C21"/>
    <w:rsid w:val="003A0D5E"/>
    <w:rsid w:val="003A0D83"/>
    <w:rsid w:val="003A0E93"/>
    <w:rsid w:val="003A0EC4"/>
    <w:rsid w:val="003A12DF"/>
    <w:rsid w:val="003A13BE"/>
    <w:rsid w:val="003A153F"/>
    <w:rsid w:val="003A177F"/>
    <w:rsid w:val="003A178B"/>
    <w:rsid w:val="003A17BF"/>
    <w:rsid w:val="003A19B2"/>
    <w:rsid w:val="003A19BF"/>
    <w:rsid w:val="003A1BAD"/>
    <w:rsid w:val="003A1CD0"/>
    <w:rsid w:val="003A1E4E"/>
    <w:rsid w:val="003A1EA1"/>
    <w:rsid w:val="003A1F5A"/>
    <w:rsid w:val="003A225F"/>
    <w:rsid w:val="003A240B"/>
    <w:rsid w:val="003A267E"/>
    <w:rsid w:val="003A2822"/>
    <w:rsid w:val="003A28AA"/>
    <w:rsid w:val="003A2A67"/>
    <w:rsid w:val="003A2CF5"/>
    <w:rsid w:val="003A2E87"/>
    <w:rsid w:val="003A2F9B"/>
    <w:rsid w:val="003A2FFF"/>
    <w:rsid w:val="003A3107"/>
    <w:rsid w:val="003A32A8"/>
    <w:rsid w:val="003A3456"/>
    <w:rsid w:val="003A34A4"/>
    <w:rsid w:val="003A34C4"/>
    <w:rsid w:val="003A3505"/>
    <w:rsid w:val="003A35D2"/>
    <w:rsid w:val="003A3779"/>
    <w:rsid w:val="003A3961"/>
    <w:rsid w:val="003A397F"/>
    <w:rsid w:val="003A39D9"/>
    <w:rsid w:val="003A3AD4"/>
    <w:rsid w:val="003A3BA5"/>
    <w:rsid w:val="003A3D6C"/>
    <w:rsid w:val="003A3FD7"/>
    <w:rsid w:val="003A4214"/>
    <w:rsid w:val="003A492C"/>
    <w:rsid w:val="003A4BBF"/>
    <w:rsid w:val="003A4DD8"/>
    <w:rsid w:val="003A4DF5"/>
    <w:rsid w:val="003A57C6"/>
    <w:rsid w:val="003A5841"/>
    <w:rsid w:val="003A5862"/>
    <w:rsid w:val="003A586E"/>
    <w:rsid w:val="003A58E8"/>
    <w:rsid w:val="003A5987"/>
    <w:rsid w:val="003A5A0B"/>
    <w:rsid w:val="003A5A0F"/>
    <w:rsid w:val="003A5BF7"/>
    <w:rsid w:val="003A5CA8"/>
    <w:rsid w:val="003A5D4D"/>
    <w:rsid w:val="003A5E23"/>
    <w:rsid w:val="003A5EE2"/>
    <w:rsid w:val="003A6043"/>
    <w:rsid w:val="003A60B2"/>
    <w:rsid w:val="003A61D5"/>
    <w:rsid w:val="003A6426"/>
    <w:rsid w:val="003A646A"/>
    <w:rsid w:val="003A6490"/>
    <w:rsid w:val="003A652B"/>
    <w:rsid w:val="003A6791"/>
    <w:rsid w:val="003A6811"/>
    <w:rsid w:val="003A68F6"/>
    <w:rsid w:val="003A6ED6"/>
    <w:rsid w:val="003A7001"/>
    <w:rsid w:val="003A70DB"/>
    <w:rsid w:val="003A70EC"/>
    <w:rsid w:val="003A77D4"/>
    <w:rsid w:val="003A7A44"/>
    <w:rsid w:val="003A7B2F"/>
    <w:rsid w:val="003A7BF2"/>
    <w:rsid w:val="003A7C24"/>
    <w:rsid w:val="003A7F75"/>
    <w:rsid w:val="003A7F81"/>
    <w:rsid w:val="003B019C"/>
    <w:rsid w:val="003B0383"/>
    <w:rsid w:val="003B040B"/>
    <w:rsid w:val="003B04C8"/>
    <w:rsid w:val="003B06E3"/>
    <w:rsid w:val="003B0922"/>
    <w:rsid w:val="003B09ED"/>
    <w:rsid w:val="003B0BE6"/>
    <w:rsid w:val="003B0D6C"/>
    <w:rsid w:val="003B0F44"/>
    <w:rsid w:val="003B1058"/>
    <w:rsid w:val="003B135F"/>
    <w:rsid w:val="003B139D"/>
    <w:rsid w:val="003B13D3"/>
    <w:rsid w:val="003B1432"/>
    <w:rsid w:val="003B15F1"/>
    <w:rsid w:val="003B15FE"/>
    <w:rsid w:val="003B1608"/>
    <w:rsid w:val="003B1677"/>
    <w:rsid w:val="003B17BB"/>
    <w:rsid w:val="003B1986"/>
    <w:rsid w:val="003B1B22"/>
    <w:rsid w:val="003B1CBD"/>
    <w:rsid w:val="003B1ED0"/>
    <w:rsid w:val="003B2070"/>
    <w:rsid w:val="003B212E"/>
    <w:rsid w:val="003B2645"/>
    <w:rsid w:val="003B285D"/>
    <w:rsid w:val="003B288C"/>
    <w:rsid w:val="003B291B"/>
    <w:rsid w:val="003B2B9F"/>
    <w:rsid w:val="003B2D30"/>
    <w:rsid w:val="003B2D61"/>
    <w:rsid w:val="003B2F99"/>
    <w:rsid w:val="003B3161"/>
    <w:rsid w:val="003B3B25"/>
    <w:rsid w:val="003B3C57"/>
    <w:rsid w:val="003B3C64"/>
    <w:rsid w:val="003B3DB8"/>
    <w:rsid w:val="003B3FA9"/>
    <w:rsid w:val="003B4099"/>
    <w:rsid w:val="003B40FB"/>
    <w:rsid w:val="003B412B"/>
    <w:rsid w:val="003B4189"/>
    <w:rsid w:val="003B434F"/>
    <w:rsid w:val="003B45F0"/>
    <w:rsid w:val="003B46F3"/>
    <w:rsid w:val="003B4787"/>
    <w:rsid w:val="003B47A8"/>
    <w:rsid w:val="003B485A"/>
    <w:rsid w:val="003B48BA"/>
    <w:rsid w:val="003B4A0E"/>
    <w:rsid w:val="003B4A70"/>
    <w:rsid w:val="003B4B11"/>
    <w:rsid w:val="003B4C3C"/>
    <w:rsid w:val="003B4E4E"/>
    <w:rsid w:val="003B4F08"/>
    <w:rsid w:val="003B5004"/>
    <w:rsid w:val="003B50C1"/>
    <w:rsid w:val="003B5567"/>
    <w:rsid w:val="003B5593"/>
    <w:rsid w:val="003B5614"/>
    <w:rsid w:val="003B56B3"/>
    <w:rsid w:val="003B57D3"/>
    <w:rsid w:val="003B595E"/>
    <w:rsid w:val="003B5C37"/>
    <w:rsid w:val="003B6146"/>
    <w:rsid w:val="003B6240"/>
    <w:rsid w:val="003B63D8"/>
    <w:rsid w:val="003B6693"/>
    <w:rsid w:val="003B66F2"/>
    <w:rsid w:val="003B67A4"/>
    <w:rsid w:val="003B68CC"/>
    <w:rsid w:val="003B6EA3"/>
    <w:rsid w:val="003B6FB9"/>
    <w:rsid w:val="003B7029"/>
    <w:rsid w:val="003B708C"/>
    <w:rsid w:val="003B7351"/>
    <w:rsid w:val="003B7801"/>
    <w:rsid w:val="003B7CBF"/>
    <w:rsid w:val="003B7DC0"/>
    <w:rsid w:val="003B7E0A"/>
    <w:rsid w:val="003B7E36"/>
    <w:rsid w:val="003B7E4C"/>
    <w:rsid w:val="003C03C0"/>
    <w:rsid w:val="003C03D7"/>
    <w:rsid w:val="003C0491"/>
    <w:rsid w:val="003C0508"/>
    <w:rsid w:val="003C0597"/>
    <w:rsid w:val="003C060A"/>
    <w:rsid w:val="003C0879"/>
    <w:rsid w:val="003C0CEA"/>
    <w:rsid w:val="003C0E7F"/>
    <w:rsid w:val="003C11B1"/>
    <w:rsid w:val="003C142D"/>
    <w:rsid w:val="003C1563"/>
    <w:rsid w:val="003C162B"/>
    <w:rsid w:val="003C164B"/>
    <w:rsid w:val="003C1741"/>
    <w:rsid w:val="003C17FC"/>
    <w:rsid w:val="003C1915"/>
    <w:rsid w:val="003C1C1E"/>
    <w:rsid w:val="003C1CB2"/>
    <w:rsid w:val="003C1CB4"/>
    <w:rsid w:val="003C1EF5"/>
    <w:rsid w:val="003C1FCC"/>
    <w:rsid w:val="003C1FCF"/>
    <w:rsid w:val="003C1FD9"/>
    <w:rsid w:val="003C207B"/>
    <w:rsid w:val="003C20F3"/>
    <w:rsid w:val="003C2161"/>
    <w:rsid w:val="003C2268"/>
    <w:rsid w:val="003C23B4"/>
    <w:rsid w:val="003C23BA"/>
    <w:rsid w:val="003C258D"/>
    <w:rsid w:val="003C2866"/>
    <w:rsid w:val="003C287B"/>
    <w:rsid w:val="003C2AF1"/>
    <w:rsid w:val="003C2D79"/>
    <w:rsid w:val="003C2F6B"/>
    <w:rsid w:val="003C3008"/>
    <w:rsid w:val="003C3087"/>
    <w:rsid w:val="003C30E3"/>
    <w:rsid w:val="003C3337"/>
    <w:rsid w:val="003C345B"/>
    <w:rsid w:val="003C381D"/>
    <w:rsid w:val="003C38BD"/>
    <w:rsid w:val="003C3916"/>
    <w:rsid w:val="003C3A49"/>
    <w:rsid w:val="003C3C2B"/>
    <w:rsid w:val="003C3DF8"/>
    <w:rsid w:val="003C4553"/>
    <w:rsid w:val="003C47DA"/>
    <w:rsid w:val="003C48F9"/>
    <w:rsid w:val="003C4B08"/>
    <w:rsid w:val="003C4BF4"/>
    <w:rsid w:val="003C4CF3"/>
    <w:rsid w:val="003C4D0B"/>
    <w:rsid w:val="003C5175"/>
    <w:rsid w:val="003C5248"/>
    <w:rsid w:val="003C5447"/>
    <w:rsid w:val="003C5558"/>
    <w:rsid w:val="003C55A7"/>
    <w:rsid w:val="003C55F7"/>
    <w:rsid w:val="003C5668"/>
    <w:rsid w:val="003C57C1"/>
    <w:rsid w:val="003C5B0D"/>
    <w:rsid w:val="003C5B2E"/>
    <w:rsid w:val="003C5D6F"/>
    <w:rsid w:val="003C604C"/>
    <w:rsid w:val="003C6050"/>
    <w:rsid w:val="003C6143"/>
    <w:rsid w:val="003C6202"/>
    <w:rsid w:val="003C6237"/>
    <w:rsid w:val="003C62F8"/>
    <w:rsid w:val="003C64E0"/>
    <w:rsid w:val="003C64FC"/>
    <w:rsid w:val="003C658A"/>
    <w:rsid w:val="003C66BA"/>
    <w:rsid w:val="003C66F2"/>
    <w:rsid w:val="003C680F"/>
    <w:rsid w:val="003C6CB8"/>
    <w:rsid w:val="003C6DC7"/>
    <w:rsid w:val="003C6EB7"/>
    <w:rsid w:val="003C70E7"/>
    <w:rsid w:val="003C71DC"/>
    <w:rsid w:val="003C726C"/>
    <w:rsid w:val="003C735A"/>
    <w:rsid w:val="003C743A"/>
    <w:rsid w:val="003C7532"/>
    <w:rsid w:val="003C7741"/>
    <w:rsid w:val="003C781A"/>
    <w:rsid w:val="003C7900"/>
    <w:rsid w:val="003C7B2B"/>
    <w:rsid w:val="003C7E40"/>
    <w:rsid w:val="003C7E60"/>
    <w:rsid w:val="003C7EC0"/>
    <w:rsid w:val="003C7F60"/>
    <w:rsid w:val="003D01C4"/>
    <w:rsid w:val="003D0A40"/>
    <w:rsid w:val="003D0B05"/>
    <w:rsid w:val="003D0C7D"/>
    <w:rsid w:val="003D0CC0"/>
    <w:rsid w:val="003D0D71"/>
    <w:rsid w:val="003D0DC4"/>
    <w:rsid w:val="003D0FC5"/>
    <w:rsid w:val="003D1004"/>
    <w:rsid w:val="003D108B"/>
    <w:rsid w:val="003D10B0"/>
    <w:rsid w:val="003D1135"/>
    <w:rsid w:val="003D11E2"/>
    <w:rsid w:val="003D1255"/>
    <w:rsid w:val="003D129E"/>
    <w:rsid w:val="003D1504"/>
    <w:rsid w:val="003D1AC2"/>
    <w:rsid w:val="003D1B77"/>
    <w:rsid w:val="003D1BD2"/>
    <w:rsid w:val="003D1DEA"/>
    <w:rsid w:val="003D23A5"/>
    <w:rsid w:val="003D267F"/>
    <w:rsid w:val="003D268C"/>
    <w:rsid w:val="003D2697"/>
    <w:rsid w:val="003D26D9"/>
    <w:rsid w:val="003D2C0A"/>
    <w:rsid w:val="003D2CEF"/>
    <w:rsid w:val="003D2D39"/>
    <w:rsid w:val="003D2F4F"/>
    <w:rsid w:val="003D2FE9"/>
    <w:rsid w:val="003D3155"/>
    <w:rsid w:val="003D321F"/>
    <w:rsid w:val="003D33B7"/>
    <w:rsid w:val="003D33F9"/>
    <w:rsid w:val="003D342D"/>
    <w:rsid w:val="003D345F"/>
    <w:rsid w:val="003D34BA"/>
    <w:rsid w:val="003D37FD"/>
    <w:rsid w:val="003D3CEE"/>
    <w:rsid w:val="003D3DED"/>
    <w:rsid w:val="003D4288"/>
    <w:rsid w:val="003D4380"/>
    <w:rsid w:val="003D441F"/>
    <w:rsid w:val="003D4442"/>
    <w:rsid w:val="003D4802"/>
    <w:rsid w:val="003D48A0"/>
    <w:rsid w:val="003D49B2"/>
    <w:rsid w:val="003D49C1"/>
    <w:rsid w:val="003D4A77"/>
    <w:rsid w:val="003D4ACC"/>
    <w:rsid w:val="003D4BBC"/>
    <w:rsid w:val="003D4C29"/>
    <w:rsid w:val="003D4D70"/>
    <w:rsid w:val="003D4FC6"/>
    <w:rsid w:val="003D5219"/>
    <w:rsid w:val="003D55BD"/>
    <w:rsid w:val="003D5894"/>
    <w:rsid w:val="003D58AB"/>
    <w:rsid w:val="003D59F3"/>
    <w:rsid w:val="003D5C77"/>
    <w:rsid w:val="003D5D04"/>
    <w:rsid w:val="003D5E5E"/>
    <w:rsid w:val="003D5E96"/>
    <w:rsid w:val="003D6095"/>
    <w:rsid w:val="003D60B9"/>
    <w:rsid w:val="003D60F6"/>
    <w:rsid w:val="003D61AF"/>
    <w:rsid w:val="003D64A1"/>
    <w:rsid w:val="003D6760"/>
    <w:rsid w:val="003D69A3"/>
    <w:rsid w:val="003D6AA2"/>
    <w:rsid w:val="003D6CA5"/>
    <w:rsid w:val="003D6EDF"/>
    <w:rsid w:val="003D7089"/>
    <w:rsid w:val="003D7160"/>
    <w:rsid w:val="003D7315"/>
    <w:rsid w:val="003D745B"/>
    <w:rsid w:val="003D7480"/>
    <w:rsid w:val="003D76AE"/>
    <w:rsid w:val="003D7791"/>
    <w:rsid w:val="003D79A7"/>
    <w:rsid w:val="003D7B12"/>
    <w:rsid w:val="003D7C20"/>
    <w:rsid w:val="003D7C3A"/>
    <w:rsid w:val="003D7CAB"/>
    <w:rsid w:val="003D7D34"/>
    <w:rsid w:val="003D7D83"/>
    <w:rsid w:val="003D7F45"/>
    <w:rsid w:val="003DC5FC"/>
    <w:rsid w:val="003E01A7"/>
    <w:rsid w:val="003E0223"/>
    <w:rsid w:val="003E023C"/>
    <w:rsid w:val="003E0265"/>
    <w:rsid w:val="003E06F1"/>
    <w:rsid w:val="003E07C8"/>
    <w:rsid w:val="003E09B2"/>
    <w:rsid w:val="003E0D94"/>
    <w:rsid w:val="003E0E73"/>
    <w:rsid w:val="003E10CB"/>
    <w:rsid w:val="003E17F2"/>
    <w:rsid w:val="003E1890"/>
    <w:rsid w:val="003E18E7"/>
    <w:rsid w:val="003E1ADB"/>
    <w:rsid w:val="003E1BAB"/>
    <w:rsid w:val="003E1BF6"/>
    <w:rsid w:val="003E1EB5"/>
    <w:rsid w:val="003E20C5"/>
    <w:rsid w:val="003E2118"/>
    <w:rsid w:val="003E2143"/>
    <w:rsid w:val="003E2176"/>
    <w:rsid w:val="003E21E7"/>
    <w:rsid w:val="003E2208"/>
    <w:rsid w:val="003E238D"/>
    <w:rsid w:val="003E25A8"/>
    <w:rsid w:val="003E25D3"/>
    <w:rsid w:val="003E2A68"/>
    <w:rsid w:val="003E2D04"/>
    <w:rsid w:val="003E2E48"/>
    <w:rsid w:val="003E2EF3"/>
    <w:rsid w:val="003E2F11"/>
    <w:rsid w:val="003E3040"/>
    <w:rsid w:val="003E31D0"/>
    <w:rsid w:val="003E3327"/>
    <w:rsid w:val="003E3406"/>
    <w:rsid w:val="003E3848"/>
    <w:rsid w:val="003E3984"/>
    <w:rsid w:val="003E3A56"/>
    <w:rsid w:val="003E3D3F"/>
    <w:rsid w:val="003E429E"/>
    <w:rsid w:val="003E4465"/>
    <w:rsid w:val="003E45D3"/>
    <w:rsid w:val="003E4688"/>
    <w:rsid w:val="003E499E"/>
    <w:rsid w:val="003E4BF8"/>
    <w:rsid w:val="003E4C8F"/>
    <w:rsid w:val="003E510B"/>
    <w:rsid w:val="003E5226"/>
    <w:rsid w:val="003E526A"/>
    <w:rsid w:val="003E5316"/>
    <w:rsid w:val="003E5692"/>
    <w:rsid w:val="003E56DC"/>
    <w:rsid w:val="003E5722"/>
    <w:rsid w:val="003E594E"/>
    <w:rsid w:val="003E5A17"/>
    <w:rsid w:val="003E6333"/>
    <w:rsid w:val="003E6397"/>
    <w:rsid w:val="003E63A4"/>
    <w:rsid w:val="003E6442"/>
    <w:rsid w:val="003E6529"/>
    <w:rsid w:val="003E65B9"/>
    <w:rsid w:val="003E6652"/>
    <w:rsid w:val="003E665B"/>
    <w:rsid w:val="003E67EF"/>
    <w:rsid w:val="003E6A25"/>
    <w:rsid w:val="003E6BFE"/>
    <w:rsid w:val="003E6CF0"/>
    <w:rsid w:val="003E764C"/>
    <w:rsid w:val="003E7684"/>
    <w:rsid w:val="003E77AF"/>
    <w:rsid w:val="003E7A96"/>
    <w:rsid w:val="003E7BC4"/>
    <w:rsid w:val="003E7C3F"/>
    <w:rsid w:val="003E7CDE"/>
    <w:rsid w:val="003E7E71"/>
    <w:rsid w:val="003E7FAF"/>
    <w:rsid w:val="003F00C5"/>
    <w:rsid w:val="003F01A9"/>
    <w:rsid w:val="003F03B4"/>
    <w:rsid w:val="003F0532"/>
    <w:rsid w:val="003F0555"/>
    <w:rsid w:val="003F0722"/>
    <w:rsid w:val="003F073F"/>
    <w:rsid w:val="003F0813"/>
    <w:rsid w:val="003F0A31"/>
    <w:rsid w:val="003F0F57"/>
    <w:rsid w:val="003F11EC"/>
    <w:rsid w:val="003F1348"/>
    <w:rsid w:val="003F1421"/>
    <w:rsid w:val="003F144C"/>
    <w:rsid w:val="003F1638"/>
    <w:rsid w:val="003F1815"/>
    <w:rsid w:val="003F1826"/>
    <w:rsid w:val="003F194C"/>
    <w:rsid w:val="003F1A57"/>
    <w:rsid w:val="003F1ACE"/>
    <w:rsid w:val="003F1B55"/>
    <w:rsid w:val="003F1D1E"/>
    <w:rsid w:val="003F216F"/>
    <w:rsid w:val="003F22B4"/>
    <w:rsid w:val="003F23BF"/>
    <w:rsid w:val="003F23E6"/>
    <w:rsid w:val="003F2530"/>
    <w:rsid w:val="003F2886"/>
    <w:rsid w:val="003F28F8"/>
    <w:rsid w:val="003F2DCE"/>
    <w:rsid w:val="003F2F14"/>
    <w:rsid w:val="003F2FA5"/>
    <w:rsid w:val="003F32D6"/>
    <w:rsid w:val="003F33DD"/>
    <w:rsid w:val="003F3498"/>
    <w:rsid w:val="003F370B"/>
    <w:rsid w:val="003F377B"/>
    <w:rsid w:val="003F3780"/>
    <w:rsid w:val="003F394F"/>
    <w:rsid w:val="003F3AE8"/>
    <w:rsid w:val="003F3E07"/>
    <w:rsid w:val="003F44A3"/>
    <w:rsid w:val="003F44B6"/>
    <w:rsid w:val="003F46D5"/>
    <w:rsid w:val="003F48D2"/>
    <w:rsid w:val="003F4A3B"/>
    <w:rsid w:val="003F4B22"/>
    <w:rsid w:val="003F4C43"/>
    <w:rsid w:val="003F4D26"/>
    <w:rsid w:val="003F4DA3"/>
    <w:rsid w:val="003F4EA8"/>
    <w:rsid w:val="003F5055"/>
    <w:rsid w:val="003F508C"/>
    <w:rsid w:val="003F5302"/>
    <w:rsid w:val="003F5603"/>
    <w:rsid w:val="003F57F7"/>
    <w:rsid w:val="003F5819"/>
    <w:rsid w:val="003F582F"/>
    <w:rsid w:val="003F5B4A"/>
    <w:rsid w:val="003F5C14"/>
    <w:rsid w:val="003F5E27"/>
    <w:rsid w:val="003F5E3C"/>
    <w:rsid w:val="003F5E96"/>
    <w:rsid w:val="003F5E98"/>
    <w:rsid w:val="003F5F15"/>
    <w:rsid w:val="003F6056"/>
    <w:rsid w:val="003F60DE"/>
    <w:rsid w:val="003F620B"/>
    <w:rsid w:val="003F62EE"/>
    <w:rsid w:val="003F63D6"/>
    <w:rsid w:val="003F6539"/>
    <w:rsid w:val="003F65FD"/>
    <w:rsid w:val="003F6655"/>
    <w:rsid w:val="003F69BE"/>
    <w:rsid w:val="003F6AC7"/>
    <w:rsid w:val="003F6FA5"/>
    <w:rsid w:val="003F7265"/>
    <w:rsid w:val="003F77F3"/>
    <w:rsid w:val="003F784D"/>
    <w:rsid w:val="003F79F4"/>
    <w:rsid w:val="003F7CCB"/>
    <w:rsid w:val="003F7DB2"/>
    <w:rsid w:val="003F7DD1"/>
    <w:rsid w:val="003F7E8E"/>
    <w:rsid w:val="00400156"/>
    <w:rsid w:val="004002CD"/>
    <w:rsid w:val="00400337"/>
    <w:rsid w:val="0040054D"/>
    <w:rsid w:val="00400580"/>
    <w:rsid w:val="004006C4"/>
    <w:rsid w:val="004008CA"/>
    <w:rsid w:val="004008D6"/>
    <w:rsid w:val="00400A1F"/>
    <w:rsid w:val="00400B3F"/>
    <w:rsid w:val="00400C05"/>
    <w:rsid w:val="00400C45"/>
    <w:rsid w:val="00400F5E"/>
    <w:rsid w:val="00401122"/>
    <w:rsid w:val="0040127E"/>
    <w:rsid w:val="004012A1"/>
    <w:rsid w:val="00401334"/>
    <w:rsid w:val="004017EF"/>
    <w:rsid w:val="004018B6"/>
    <w:rsid w:val="004019FC"/>
    <w:rsid w:val="004019FD"/>
    <w:rsid w:val="00401A2B"/>
    <w:rsid w:val="00401AB2"/>
    <w:rsid w:val="00401B68"/>
    <w:rsid w:val="00401C6E"/>
    <w:rsid w:val="00402078"/>
    <w:rsid w:val="00402198"/>
    <w:rsid w:val="00402312"/>
    <w:rsid w:val="0040250A"/>
    <w:rsid w:val="00402866"/>
    <w:rsid w:val="00402CC2"/>
    <w:rsid w:val="004030A8"/>
    <w:rsid w:val="00403333"/>
    <w:rsid w:val="00403578"/>
    <w:rsid w:val="0040381F"/>
    <w:rsid w:val="0040391A"/>
    <w:rsid w:val="004039CF"/>
    <w:rsid w:val="00403C1D"/>
    <w:rsid w:val="00403DA3"/>
    <w:rsid w:val="004040C9"/>
    <w:rsid w:val="004041B7"/>
    <w:rsid w:val="0040476D"/>
    <w:rsid w:val="004047CB"/>
    <w:rsid w:val="004049AE"/>
    <w:rsid w:val="00404A3B"/>
    <w:rsid w:val="00404BAA"/>
    <w:rsid w:val="00404BF1"/>
    <w:rsid w:val="00404BFA"/>
    <w:rsid w:val="00404C3A"/>
    <w:rsid w:val="00404CB8"/>
    <w:rsid w:val="00404D4F"/>
    <w:rsid w:val="00404E48"/>
    <w:rsid w:val="00405382"/>
    <w:rsid w:val="00405535"/>
    <w:rsid w:val="00405800"/>
    <w:rsid w:val="00405876"/>
    <w:rsid w:val="00405AD0"/>
    <w:rsid w:val="00405D4F"/>
    <w:rsid w:val="00405D9E"/>
    <w:rsid w:val="00405DA4"/>
    <w:rsid w:val="00405E32"/>
    <w:rsid w:val="00405FB9"/>
    <w:rsid w:val="0040632C"/>
    <w:rsid w:val="0040638D"/>
    <w:rsid w:val="004066B5"/>
    <w:rsid w:val="004066EE"/>
    <w:rsid w:val="00406755"/>
    <w:rsid w:val="004067C8"/>
    <w:rsid w:val="004068DC"/>
    <w:rsid w:val="00406C5D"/>
    <w:rsid w:val="00406D5C"/>
    <w:rsid w:val="004071FB"/>
    <w:rsid w:val="004072DB"/>
    <w:rsid w:val="00407883"/>
    <w:rsid w:val="004079B2"/>
    <w:rsid w:val="004079E7"/>
    <w:rsid w:val="00407A34"/>
    <w:rsid w:val="00407A9C"/>
    <w:rsid w:val="00407B14"/>
    <w:rsid w:val="00407C20"/>
    <w:rsid w:val="00407C65"/>
    <w:rsid w:val="00407FC6"/>
    <w:rsid w:val="00410104"/>
    <w:rsid w:val="004101DD"/>
    <w:rsid w:val="004102EE"/>
    <w:rsid w:val="00410613"/>
    <w:rsid w:val="004106B6"/>
    <w:rsid w:val="004106FA"/>
    <w:rsid w:val="004107E2"/>
    <w:rsid w:val="00410839"/>
    <w:rsid w:val="00410858"/>
    <w:rsid w:val="0041095D"/>
    <w:rsid w:val="00410B19"/>
    <w:rsid w:val="00410B94"/>
    <w:rsid w:val="00410BB5"/>
    <w:rsid w:val="00410F0F"/>
    <w:rsid w:val="00411079"/>
    <w:rsid w:val="004111FE"/>
    <w:rsid w:val="004113F5"/>
    <w:rsid w:val="004119F9"/>
    <w:rsid w:val="004120C5"/>
    <w:rsid w:val="004121DE"/>
    <w:rsid w:val="00412214"/>
    <w:rsid w:val="0041251C"/>
    <w:rsid w:val="004125A1"/>
    <w:rsid w:val="0041261F"/>
    <w:rsid w:val="004127EF"/>
    <w:rsid w:val="00412850"/>
    <w:rsid w:val="00412F48"/>
    <w:rsid w:val="00413245"/>
    <w:rsid w:val="00413273"/>
    <w:rsid w:val="00413312"/>
    <w:rsid w:val="0041334A"/>
    <w:rsid w:val="0041356C"/>
    <w:rsid w:val="0041360B"/>
    <w:rsid w:val="004137F3"/>
    <w:rsid w:val="004138C1"/>
    <w:rsid w:val="00413A81"/>
    <w:rsid w:val="00413BCC"/>
    <w:rsid w:val="00413C1D"/>
    <w:rsid w:val="00413F40"/>
    <w:rsid w:val="00413F7D"/>
    <w:rsid w:val="0041416E"/>
    <w:rsid w:val="00414259"/>
    <w:rsid w:val="00414512"/>
    <w:rsid w:val="004145B8"/>
    <w:rsid w:val="00414678"/>
    <w:rsid w:val="0041468D"/>
    <w:rsid w:val="00414DBE"/>
    <w:rsid w:val="00414ECE"/>
    <w:rsid w:val="00415299"/>
    <w:rsid w:val="0041531A"/>
    <w:rsid w:val="00415603"/>
    <w:rsid w:val="004159AB"/>
    <w:rsid w:val="00415B05"/>
    <w:rsid w:val="00415BB6"/>
    <w:rsid w:val="00415E42"/>
    <w:rsid w:val="00415F6F"/>
    <w:rsid w:val="00416035"/>
    <w:rsid w:val="004163D4"/>
    <w:rsid w:val="00416453"/>
    <w:rsid w:val="00416615"/>
    <w:rsid w:val="004166AA"/>
    <w:rsid w:val="004167E9"/>
    <w:rsid w:val="00416A0E"/>
    <w:rsid w:val="00416B70"/>
    <w:rsid w:val="00416E1F"/>
    <w:rsid w:val="004170E2"/>
    <w:rsid w:val="00417105"/>
    <w:rsid w:val="0041745E"/>
    <w:rsid w:val="00417502"/>
    <w:rsid w:val="00417609"/>
    <w:rsid w:val="004176DC"/>
    <w:rsid w:val="004177AA"/>
    <w:rsid w:val="0041784B"/>
    <w:rsid w:val="00417AF9"/>
    <w:rsid w:val="00417B79"/>
    <w:rsid w:val="00417CD5"/>
    <w:rsid w:val="00417F6D"/>
    <w:rsid w:val="004201A2"/>
    <w:rsid w:val="004204E4"/>
    <w:rsid w:val="0042054A"/>
    <w:rsid w:val="00420673"/>
    <w:rsid w:val="0042069D"/>
    <w:rsid w:val="004206F7"/>
    <w:rsid w:val="004207C2"/>
    <w:rsid w:val="00420907"/>
    <w:rsid w:val="004209B0"/>
    <w:rsid w:val="00420AC3"/>
    <w:rsid w:val="00420C75"/>
    <w:rsid w:val="00420C85"/>
    <w:rsid w:val="00420D39"/>
    <w:rsid w:val="00420D6E"/>
    <w:rsid w:val="00420F3B"/>
    <w:rsid w:val="00420F81"/>
    <w:rsid w:val="004211F4"/>
    <w:rsid w:val="00421385"/>
    <w:rsid w:val="004213CC"/>
    <w:rsid w:val="004213D5"/>
    <w:rsid w:val="0042140A"/>
    <w:rsid w:val="004214A2"/>
    <w:rsid w:val="004214BB"/>
    <w:rsid w:val="00421843"/>
    <w:rsid w:val="00421845"/>
    <w:rsid w:val="00421A96"/>
    <w:rsid w:val="00421C80"/>
    <w:rsid w:val="00421CDF"/>
    <w:rsid w:val="00421F13"/>
    <w:rsid w:val="00421FD9"/>
    <w:rsid w:val="00422153"/>
    <w:rsid w:val="00422409"/>
    <w:rsid w:val="004226BC"/>
    <w:rsid w:val="0042273C"/>
    <w:rsid w:val="0042288D"/>
    <w:rsid w:val="004228A3"/>
    <w:rsid w:val="004229CE"/>
    <w:rsid w:val="00422BC1"/>
    <w:rsid w:val="00422CB6"/>
    <w:rsid w:val="00422CE3"/>
    <w:rsid w:val="00422D02"/>
    <w:rsid w:val="00422DEB"/>
    <w:rsid w:val="00422E81"/>
    <w:rsid w:val="00423264"/>
    <w:rsid w:val="0042328B"/>
    <w:rsid w:val="00423442"/>
    <w:rsid w:val="00423748"/>
    <w:rsid w:val="004237DE"/>
    <w:rsid w:val="00423A06"/>
    <w:rsid w:val="00423BDC"/>
    <w:rsid w:val="00423CB2"/>
    <w:rsid w:val="00423D20"/>
    <w:rsid w:val="00423EEF"/>
    <w:rsid w:val="00423F16"/>
    <w:rsid w:val="00424162"/>
    <w:rsid w:val="004243FD"/>
    <w:rsid w:val="00424602"/>
    <w:rsid w:val="0042462F"/>
    <w:rsid w:val="004248B6"/>
    <w:rsid w:val="00424A48"/>
    <w:rsid w:val="00424DC2"/>
    <w:rsid w:val="00424FCB"/>
    <w:rsid w:val="0042502E"/>
    <w:rsid w:val="004251CE"/>
    <w:rsid w:val="004251CF"/>
    <w:rsid w:val="00425219"/>
    <w:rsid w:val="0042527B"/>
    <w:rsid w:val="0042543A"/>
    <w:rsid w:val="00425640"/>
    <w:rsid w:val="0042568A"/>
    <w:rsid w:val="0042568E"/>
    <w:rsid w:val="00425996"/>
    <w:rsid w:val="00425AF9"/>
    <w:rsid w:val="00425B67"/>
    <w:rsid w:val="00425BE1"/>
    <w:rsid w:val="00425E5B"/>
    <w:rsid w:val="0042604C"/>
    <w:rsid w:val="004264B1"/>
    <w:rsid w:val="0042667E"/>
    <w:rsid w:val="004267B7"/>
    <w:rsid w:val="004268A3"/>
    <w:rsid w:val="00426970"/>
    <w:rsid w:val="004269B7"/>
    <w:rsid w:val="00426B4B"/>
    <w:rsid w:val="00426C2C"/>
    <w:rsid w:val="00426D7C"/>
    <w:rsid w:val="00426EF1"/>
    <w:rsid w:val="00426FD6"/>
    <w:rsid w:val="004272BF"/>
    <w:rsid w:val="004273FA"/>
    <w:rsid w:val="0042751B"/>
    <w:rsid w:val="004275F2"/>
    <w:rsid w:val="00427669"/>
    <w:rsid w:val="004278A6"/>
    <w:rsid w:val="0042791A"/>
    <w:rsid w:val="004279AE"/>
    <w:rsid w:val="004279CA"/>
    <w:rsid w:val="004279EF"/>
    <w:rsid w:val="00427A55"/>
    <w:rsid w:val="00427B8E"/>
    <w:rsid w:val="00427D30"/>
    <w:rsid w:val="00427F4B"/>
    <w:rsid w:val="00429C5E"/>
    <w:rsid w:val="00430194"/>
    <w:rsid w:val="0043033A"/>
    <w:rsid w:val="00430347"/>
    <w:rsid w:val="004303BA"/>
    <w:rsid w:val="004303F4"/>
    <w:rsid w:val="00430484"/>
    <w:rsid w:val="004306DA"/>
    <w:rsid w:val="0043086B"/>
    <w:rsid w:val="00430CCC"/>
    <w:rsid w:val="00430ED3"/>
    <w:rsid w:val="00430F7A"/>
    <w:rsid w:val="004310D3"/>
    <w:rsid w:val="00431115"/>
    <w:rsid w:val="0043145B"/>
    <w:rsid w:val="004315D7"/>
    <w:rsid w:val="00431949"/>
    <w:rsid w:val="00431992"/>
    <w:rsid w:val="004319B7"/>
    <w:rsid w:val="00431AB5"/>
    <w:rsid w:val="00431B87"/>
    <w:rsid w:val="00431BBE"/>
    <w:rsid w:val="00431CB3"/>
    <w:rsid w:val="00431E53"/>
    <w:rsid w:val="00431E89"/>
    <w:rsid w:val="00431FB0"/>
    <w:rsid w:val="00432092"/>
    <w:rsid w:val="004323DA"/>
    <w:rsid w:val="0043244F"/>
    <w:rsid w:val="00432547"/>
    <w:rsid w:val="0043266E"/>
    <w:rsid w:val="004328A6"/>
    <w:rsid w:val="00432AEA"/>
    <w:rsid w:val="00433205"/>
    <w:rsid w:val="00433256"/>
    <w:rsid w:val="0043355C"/>
    <w:rsid w:val="004337D1"/>
    <w:rsid w:val="00433AB8"/>
    <w:rsid w:val="00433C1B"/>
    <w:rsid w:val="00433C31"/>
    <w:rsid w:val="00433D1E"/>
    <w:rsid w:val="00433DE1"/>
    <w:rsid w:val="00433E00"/>
    <w:rsid w:val="00433F05"/>
    <w:rsid w:val="004340D5"/>
    <w:rsid w:val="004342EC"/>
    <w:rsid w:val="004343BE"/>
    <w:rsid w:val="004345A1"/>
    <w:rsid w:val="00434613"/>
    <w:rsid w:val="004348CC"/>
    <w:rsid w:val="00434B44"/>
    <w:rsid w:val="00434C1C"/>
    <w:rsid w:val="00434D2B"/>
    <w:rsid w:val="00434EEF"/>
    <w:rsid w:val="0043505D"/>
    <w:rsid w:val="004350E5"/>
    <w:rsid w:val="00435267"/>
    <w:rsid w:val="0043529F"/>
    <w:rsid w:val="004354D3"/>
    <w:rsid w:val="004354FF"/>
    <w:rsid w:val="004355C1"/>
    <w:rsid w:val="004357B0"/>
    <w:rsid w:val="004358D3"/>
    <w:rsid w:val="00435B89"/>
    <w:rsid w:val="00435BB7"/>
    <w:rsid w:val="00435D64"/>
    <w:rsid w:val="00435E9F"/>
    <w:rsid w:val="00435EAB"/>
    <w:rsid w:val="0043672D"/>
    <w:rsid w:val="004368E8"/>
    <w:rsid w:val="004369F9"/>
    <w:rsid w:val="00436A5A"/>
    <w:rsid w:val="00436CFF"/>
    <w:rsid w:val="00436FEC"/>
    <w:rsid w:val="0043706A"/>
    <w:rsid w:val="00437567"/>
    <w:rsid w:val="00437620"/>
    <w:rsid w:val="0043778F"/>
    <w:rsid w:val="00437823"/>
    <w:rsid w:val="00437944"/>
    <w:rsid w:val="00437AB1"/>
    <w:rsid w:val="00437BCA"/>
    <w:rsid w:val="00437CB6"/>
    <w:rsid w:val="00437F05"/>
    <w:rsid w:val="004400DA"/>
    <w:rsid w:val="004401AF"/>
    <w:rsid w:val="00440239"/>
    <w:rsid w:val="004405EE"/>
    <w:rsid w:val="004409E6"/>
    <w:rsid w:val="00440A25"/>
    <w:rsid w:val="00440AF6"/>
    <w:rsid w:val="00440B27"/>
    <w:rsid w:val="00440B3F"/>
    <w:rsid w:val="00440DBE"/>
    <w:rsid w:val="00440E58"/>
    <w:rsid w:val="004411AF"/>
    <w:rsid w:val="0044135C"/>
    <w:rsid w:val="00441385"/>
    <w:rsid w:val="004414AA"/>
    <w:rsid w:val="004415F4"/>
    <w:rsid w:val="0044163E"/>
    <w:rsid w:val="00441801"/>
    <w:rsid w:val="0044183F"/>
    <w:rsid w:val="00441952"/>
    <w:rsid w:val="00441B7C"/>
    <w:rsid w:val="00441CC5"/>
    <w:rsid w:val="00441D84"/>
    <w:rsid w:val="00442150"/>
    <w:rsid w:val="004421FA"/>
    <w:rsid w:val="00442310"/>
    <w:rsid w:val="004425F5"/>
    <w:rsid w:val="00442703"/>
    <w:rsid w:val="0044274E"/>
    <w:rsid w:val="0044275B"/>
    <w:rsid w:val="004429EE"/>
    <w:rsid w:val="00442A1F"/>
    <w:rsid w:val="00442AD6"/>
    <w:rsid w:val="00442B98"/>
    <w:rsid w:val="00442C04"/>
    <w:rsid w:val="00442FFD"/>
    <w:rsid w:val="0044306A"/>
    <w:rsid w:val="004430CB"/>
    <w:rsid w:val="0044347B"/>
    <w:rsid w:val="00443613"/>
    <w:rsid w:val="00443650"/>
    <w:rsid w:val="004436F5"/>
    <w:rsid w:val="004437BA"/>
    <w:rsid w:val="004437C2"/>
    <w:rsid w:val="004437DC"/>
    <w:rsid w:val="00443B0B"/>
    <w:rsid w:val="00443B1B"/>
    <w:rsid w:val="00443D4C"/>
    <w:rsid w:val="00443DBA"/>
    <w:rsid w:val="00443FC1"/>
    <w:rsid w:val="00444011"/>
    <w:rsid w:val="00444122"/>
    <w:rsid w:val="0044432F"/>
    <w:rsid w:val="004443E9"/>
    <w:rsid w:val="0044446B"/>
    <w:rsid w:val="004444A4"/>
    <w:rsid w:val="004445B7"/>
    <w:rsid w:val="0044481F"/>
    <w:rsid w:val="00444897"/>
    <w:rsid w:val="00444905"/>
    <w:rsid w:val="00444960"/>
    <w:rsid w:val="004449A1"/>
    <w:rsid w:val="004449D5"/>
    <w:rsid w:val="00444AE9"/>
    <w:rsid w:val="00444B0E"/>
    <w:rsid w:val="00444EA3"/>
    <w:rsid w:val="00444F6D"/>
    <w:rsid w:val="00444FF4"/>
    <w:rsid w:val="004450A4"/>
    <w:rsid w:val="004450FF"/>
    <w:rsid w:val="00445182"/>
    <w:rsid w:val="004451DB"/>
    <w:rsid w:val="004451E7"/>
    <w:rsid w:val="004455DE"/>
    <w:rsid w:val="0044566B"/>
    <w:rsid w:val="00445702"/>
    <w:rsid w:val="00445806"/>
    <w:rsid w:val="0044586B"/>
    <w:rsid w:val="004459BB"/>
    <w:rsid w:val="00445CF6"/>
    <w:rsid w:val="00445DD5"/>
    <w:rsid w:val="00445E22"/>
    <w:rsid w:val="00445ED8"/>
    <w:rsid w:val="00445EF7"/>
    <w:rsid w:val="00445F17"/>
    <w:rsid w:val="00446146"/>
    <w:rsid w:val="00446267"/>
    <w:rsid w:val="00446297"/>
    <w:rsid w:val="00446738"/>
    <w:rsid w:val="0044673A"/>
    <w:rsid w:val="00446941"/>
    <w:rsid w:val="00446B08"/>
    <w:rsid w:val="00446C0C"/>
    <w:rsid w:val="00446D1D"/>
    <w:rsid w:val="00446E1F"/>
    <w:rsid w:val="00446F5A"/>
    <w:rsid w:val="00446F6A"/>
    <w:rsid w:val="00446F85"/>
    <w:rsid w:val="00446FA8"/>
    <w:rsid w:val="00447134"/>
    <w:rsid w:val="00447158"/>
    <w:rsid w:val="0044716F"/>
    <w:rsid w:val="004472AB"/>
    <w:rsid w:val="0044731F"/>
    <w:rsid w:val="004475C2"/>
    <w:rsid w:val="0044766B"/>
    <w:rsid w:val="004476B0"/>
    <w:rsid w:val="00447846"/>
    <w:rsid w:val="00447A5E"/>
    <w:rsid w:val="00447DC1"/>
    <w:rsid w:val="004503A0"/>
    <w:rsid w:val="00450699"/>
    <w:rsid w:val="0045078A"/>
    <w:rsid w:val="004508F9"/>
    <w:rsid w:val="0045096B"/>
    <w:rsid w:val="00450AFB"/>
    <w:rsid w:val="00450BB0"/>
    <w:rsid w:val="00450D92"/>
    <w:rsid w:val="00450DC0"/>
    <w:rsid w:val="00450EA8"/>
    <w:rsid w:val="00450EC1"/>
    <w:rsid w:val="00451227"/>
    <w:rsid w:val="00451317"/>
    <w:rsid w:val="004516E7"/>
    <w:rsid w:val="004517CC"/>
    <w:rsid w:val="0045187E"/>
    <w:rsid w:val="00451901"/>
    <w:rsid w:val="00451B72"/>
    <w:rsid w:val="00451B8F"/>
    <w:rsid w:val="00451BAB"/>
    <w:rsid w:val="00451D24"/>
    <w:rsid w:val="00451DA4"/>
    <w:rsid w:val="00451F7F"/>
    <w:rsid w:val="00451FF1"/>
    <w:rsid w:val="004522B3"/>
    <w:rsid w:val="004522BE"/>
    <w:rsid w:val="004523F1"/>
    <w:rsid w:val="0045268B"/>
    <w:rsid w:val="00452985"/>
    <w:rsid w:val="004529C3"/>
    <w:rsid w:val="00452B63"/>
    <w:rsid w:val="00452B84"/>
    <w:rsid w:val="00452D76"/>
    <w:rsid w:val="00452EA1"/>
    <w:rsid w:val="00452F34"/>
    <w:rsid w:val="004530A7"/>
    <w:rsid w:val="004533CF"/>
    <w:rsid w:val="00453421"/>
    <w:rsid w:val="00453424"/>
    <w:rsid w:val="00453748"/>
    <w:rsid w:val="00453FFB"/>
    <w:rsid w:val="00454103"/>
    <w:rsid w:val="00454175"/>
    <w:rsid w:val="0045456E"/>
    <w:rsid w:val="00454806"/>
    <w:rsid w:val="00454A0B"/>
    <w:rsid w:val="00454A46"/>
    <w:rsid w:val="00454C34"/>
    <w:rsid w:val="00454F7E"/>
    <w:rsid w:val="0045544A"/>
    <w:rsid w:val="004557BB"/>
    <w:rsid w:val="004557FD"/>
    <w:rsid w:val="0045588B"/>
    <w:rsid w:val="00455924"/>
    <w:rsid w:val="00455954"/>
    <w:rsid w:val="004559D9"/>
    <w:rsid w:val="00455A50"/>
    <w:rsid w:val="00455B45"/>
    <w:rsid w:val="00455E94"/>
    <w:rsid w:val="00455F0C"/>
    <w:rsid w:val="0045604D"/>
    <w:rsid w:val="004560C6"/>
    <w:rsid w:val="004561F7"/>
    <w:rsid w:val="0045643D"/>
    <w:rsid w:val="0045681E"/>
    <w:rsid w:val="00456B0F"/>
    <w:rsid w:val="00456EE9"/>
    <w:rsid w:val="0045704E"/>
    <w:rsid w:val="0045736E"/>
    <w:rsid w:val="00457481"/>
    <w:rsid w:val="00457487"/>
    <w:rsid w:val="004574C8"/>
    <w:rsid w:val="004575DE"/>
    <w:rsid w:val="004576C8"/>
    <w:rsid w:val="004577C5"/>
    <w:rsid w:val="00457A98"/>
    <w:rsid w:val="00457AF5"/>
    <w:rsid w:val="00457B8A"/>
    <w:rsid w:val="00457BBB"/>
    <w:rsid w:val="00457C36"/>
    <w:rsid w:val="00457D9C"/>
    <w:rsid w:val="00460414"/>
    <w:rsid w:val="004604EE"/>
    <w:rsid w:val="004608CE"/>
    <w:rsid w:val="004609E7"/>
    <w:rsid w:val="00460DF3"/>
    <w:rsid w:val="00460ED6"/>
    <w:rsid w:val="00460F42"/>
    <w:rsid w:val="00460FC0"/>
    <w:rsid w:val="00460FE9"/>
    <w:rsid w:val="00461068"/>
    <w:rsid w:val="004610E4"/>
    <w:rsid w:val="00461271"/>
    <w:rsid w:val="004612F2"/>
    <w:rsid w:val="0046136A"/>
    <w:rsid w:val="0046143C"/>
    <w:rsid w:val="004614F9"/>
    <w:rsid w:val="00461552"/>
    <w:rsid w:val="00461587"/>
    <w:rsid w:val="00461623"/>
    <w:rsid w:val="00461745"/>
    <w:rsid w:val="004617C4"/>
    <w:rsid w:val="00461818"/>
    <w:rsid w:val="00461AE4"/>
    <w:rsid w:val="00461CBE"/>
    <w:rsid w:val="00461DAE"/>
    <w:rsid w:val="00461E0A"/>
    <w:rsid w:val="00461E65"/>
    <w:rsid w:val="00461F5A"/>
    <w:rsid w:val="00462018"/>
    <w:rsid w:val="0046204E"/>
    <w:rsid w:val="004620DF"/>
    <w:rsid w:val="0046216F"/>
    <w:rsid w:val="00462504"/>
    <w:rsid w:val="004626A7"/>
    <w:rsid w:val="00462AEC"/>
    <w:rsid w:val="00462AFB"/>
    <w:rsid w:val="00462E19"/>
    <w:rsid w:val="00462F5B"/>
    <w:rsid w:val="004633A2"/>
    <w:rsid w:val="004633C9"/>
    <w:rsid w:val="00463751"/>
    <w:rsid w:val="004638DD"/>
    <w:rsid w:val="00463A1E"/>
    <w:rsid w:val="00463ABA"/>
    <w:rsid w:val="00463B28"/>
    <w:rsid w:val="00463D5F"/>
    <w:rsid w:val="00463DCF"/>
    <w:rsid w:val="00463F24"/>
    <w:rsid w:val="00464076"/>
    <w:rsid w:val="0046425E"/>
    <w:rsid w:val="004642DA"/>
    <w:rsid w:val="004642F0"/>
    <w:rsid w:val="0046435D"/>
    <w:rsid w:val="004644EF"/>
    <w:rsid w:val="00464673"/>
    <w:rsid w:val="0046491C"/>
    <w:rsid w:val="00464B5A"/>
    <w:rsid w:val="00464C6D"/>
    <w:rsid w:val="00464D01"/>
    <w:rsid w:val="00464DE7"/>
    <w:rsid w:val="00465085"/>
    <w:rsid w:val="004650AD"/>
    <w:rsid w:val="004650D5"/>
    <w:rsid w:val="004651C5"/>
    <w:rsid w:val="004652B5"/>
    <w:rsid w:val="004653F4"/>
    <w:rsid w:val="004654DC"/>
    <w:rsid w:val="004656AD"/>
    <w:rsid w:val="0046576E"/>
    <w:rsid w:val="004658C2"/>
    <w:rsid w:val="004658ED"/>
    <w:rsid w:val="0046592C"/>
    <w:rsid w:val="00465C9D"/>
    <w:rsid w:val="00465CD2"/>
    <w:rsid w:val="00465DBE"/>
    <w:rsid w:val="00465DF0"/>
    <w:rsid w:val="00466031"/>
    <w:rsid w:val="0046618E"/>
    <w:rsid w:val="0046623F"/>
    <w:rsid w:val="004663EC"/>
    <w:rsid w:val="0046651B"/>
    <w:rsid w:val="004665EF"/>
    <w:rsid w:val="0046668D"/>
    <w:rsid w:val="00466703"/>
    <w:rsid w:val="00466803"/>
    <w:rsid w:val="00466A11"/>
    <w:rsid w:val="00466A76"/>
    <w:rsid w:val="00466FEC"/>
    <w:rsid w:val="00467116"/>
    <w:rsid w:val="00467298"/>
    <w:rsid w:val="0046755F"/>
    <w:rsid w:val="00467897"/>
    <w:rsid w:val="00467CB3"/>
    <w:rsid w:val="00467E71"/>
    <w:rsid w:val="00467ED8"/>
    <w:rsid w:val="00467F3A"/>
    <w:rsid w:val="00467FB0"/>
    <w:rsid w:val="00467FFC"/>
    <w:rsid w:val="004702F1"/>
    <w:rsid w:val="00470445"/>
    <w:rsid w:val="004705B9"/>
    <w:rsid w:val="00470619"/>
    <w:rsid w:val="00470751"/>
    <w:rsid w:val="0047097F"/>
    <w:rsid w:val="00470AD4"/>
    <w:rsid w:val="00470C21"/>
    <w:rsid w:val="00470C22"/>
    <w:rsid w:val="00470E60"/>
    <w:rsid w:val="00470F73"/>
    <w:rsid w:val="00470F90"/>
    <w:rsid w:val="004710DF"/>
    <w:rsid w:val="00471302"/>
    <w:rsid w:val="004713DA"/>
    <w:rsid w:val="0047144F"/>
    <w:rsid w:val="004715BD"/>
    <w:rsid w:val="0047180D"/>
    <w:rsid w:val="0047196A"/>
    <w:rsid w:val="00471CBB"/>
    <w:rsid w:val="00471D4E"/>
    <w:rsid w:val="00471DEA"/>
    <w:rsid w:val="00471F6F"/>
    <w:rsid w:val="0047203F"/>
    <w:rsid w:val="00472341"/>
    <w:rsid w:val="004723A2"/>
    <w:rsid w:val="00472419"/>
    <w:rsid w:val="004724C1"/>
    <w:rsid w:val="00472602"/>
    <w:rsid w:val="00472E1D"/>
    <w:rsid w:val="00473056"/>
    <w:rsid w:val="00473140"/>
    <w:rsid w:val="00473389"/>
    <w:rsid w:val="00473429"/>
    <w:rsid w:val="004734A7"/>
    <w:rsid w:val="004735F8"/>
    <w:rsid w:val="0047368B"/>
    <w:rsid w:val="00473698"/>
    <w:rsid w:val="00473731"/>
    <w:rsid w:val="0047381D"/>
    <w:rsid w:val="004738D3"/>
    <w:rsid w:val="004739E3"/>
    <w:rsid w:val="004739F5"/>
    <w:rsid w:val="00473D4F"/>
    <w:rsid w:val="004740CD"/>
    <w:rsid w:val="00474248"/>
    <w:rsid w:val="00474261"/>
    <w:rsid w:val="00474649"/>
    <w:rsid w:val="00474895"/>
    <w:rsid w:val="004749B3"/>
    <w:rsid w:val="00474BCD"/>
    <w:rsid w:val="00474CAA"/>
    <w:rsid w:val="00474F37"/>
    <w:rsid w:val="0047500E"/>
    <w:rsid w:val="00475344"/>
    <w:rsid w:val="00475355"/>
    <w:rsid w:val="00475356"/>
    <w:rsid w:val="004753A8"/>
    <w:rsid w:val="004753AA"/>
    <w:rsid w:val="00475456"/>
    <w:rsid w:val="00475739"/>
    <w:rsid w:val="004758C9"/>
    <w:rsid w:val="00475991"/>
    <w:rsid w:val="004759D9"/>
    <w:rsid w:val="00475CC2"/>
    <w:rsid w:val="00475E2A"/>
    <w:rsid w:val="00475E4A"/>
    <w:rsid w:val="00475FAF"/>
    <w:rsid w:val="0047604B"/>
    <w:rsid w:val="004760A7"/>
    <w:rsid w:val="00476266"/>
    <w:rsid w:val="0047630D"/>
    <w:rsid w:val="0047671F"/>
    <w:rsid w:val="0047680A"/>
    <w:rsid w:val="00476847"/>
    <w:rsid w:val="00476AB8"/>
    <w:rsid w:val="00476B01"/>
    <w:rsid w:val="00476B46"/>
    <w:rsid w:val="00476B51"/>
    <w:rsid w:val="00476D13"/>
    <w:rsid w:val="00476E1A"/>
    <w:rsid w:val="0047703F"/>
    <w:rsid w:val="00477242"/>
    <w:rsid w:val="004772D1"/>
    <w:rsid w:val="00477321"/>
    <w:rsid w:val="00477322"/>
    <w:rsid w:val="0047737C"/>
    <w:rsid w:val="004773DE"/>
    <w:rsid w:val="004774E9"/>
    <w:rsid w:val="0047782A"/>
    <w:rsid w:val="00477891"/>
    <w:rsid w:val="004779B4"/>
    <w:rsid w:val="00477AA3"/>
    <w:rsid w:val="00477B1C"/>
    <w:rsid w:val="00477CCF"/>
    <w:rsid w:val="00477EDF"/>
    <w:rsid w:val="0047E4E8"/>
    <w:rsid w:val="004800FD"/>
    <w:rsid w:val="004801B4"/>
    <w:rsid w:val="0048039B"/>
    <w:rsid w:val="004804AA"/>
    <w:rsid w:val="0048051B"/>
    <w:rsid w:val="00480727"/>
    <w:rsid w:val="00480881"/>
    <w:rsid w:val="004808FF"/>
    <w:rsid w:val="00480ACE"/>
    <w:rsid w:val="00480DA0"/>
    <w:rsid w:val="00480F02"/>
    <w:rsid w:val="004813B6"/>
    <w:rsid w:val="004816D3"/>
    <w:rsid w:val="004816F3"/>
    <w:rsid w:val="004816F6"/>
    <w:rsid w:val="004818FC"/>
    <w:rsid w:val="00481910"/>
    <w:rsid w:val="0048196D"/>
    <w:rsid w:val="004819A2"/>
    <w:rsid w:val="00481A78"/>
    <w:rsid w:val="00481BE5"/>
    <w:rsid w:val="00481D1B"/>
    <w:rsid w:val="00481F00"/>
    <w:rsid w:val="00482127"/>
    <w:rsid w:val="004821D9"/>
    <w:rsid w:val="0048224F"/>
    <w:rsid w:val="0048238B"/>
    <w:rsid w:val="004823C3"/>
    <w:rsid w:val="004823E2"/>
    <w:rsid w:val="004823F6"/>
    <w:rsid w:val="004824DD"/>
    <w:rsid w:val="004825AA"/>
    <w:rsid w:val="00482797"/>
    <w:rsid w:val="00482868"/>
    <w:rsid w:val="00482877"/>
    <w:rsid w:val="0048287D"/>
    <w:rsid w:val="004828EA"/>
    <w:rsid w:val="00482918"/>
    <w:rsid w:val="00482B09"/>
    <w:rsid w:val="00482DB4"/>
    <w:rsid w:val="00482DBD"/>
    <w:rsid w:val="00482E8B"/>
    <w:rsid w:val="00482EC7"/>
    <w:rsid w:val="00482F3E"/>
    <w:rsid w:val="00483045"/>
    <w:rsid w:val="004830BD"/>
    <w:rsid w:val="00483423"/>
    <w:rsid w:val="0048372D"/>
    <w:rsid w:val="004837B1"/>
    <w:rsid w:val="004837DD"/>
    <w:rsid w:val="00483DFA"/>
    <w:rsid w:val="00483E71"/>
    <w:rsid w:val="00484188"/>
    <w:rsid w:val="004841EF"/>
    <w:rsid w:val="00484344"/>
    <w:rsid w:val="00484502"/>
    <w:rsid w:val="0048464E"/>
    <w:rsid w:val="00484815"/>
    <w:rsid w:val="0048484C"/>
    <w:rsid w:val="00484A9B"/>
    <w:rsid w:val="00484AD2"/>
    <w:rsid w:val="00484C06"/>
    <w:rsid w:val="00484CDE"/>
    <w:rsid w:val="00485276"/>
    <w:rsid w:val="0048549E"/>
    <w:rsid w:val="0048553C"/>
    <w:rsid w:val="00485976"/>
    <w:rsid w:val="00485AD8"/>
    <w:rsid w:val="00485C31"/>
    <w:rsid w:val="00485C71"/>
    <w:rsid w:val="0048611F"/>
    <w:rsid w:val="004863F2"/>
    <w:rsid w:val="00486619"/>
    <w:rsid w:val="00486E2E"/>
    <w:rsid w:val="00486F2B"/>
    <w:rsid w:val="00486FB3"/>
    <w:rsid w:val="004870E2"/>
    <w:rsid w:val="004873D9"/>
    <w:rsid w:val="004875AF"/>
    <w:rsid w:val="00487664"/>
    <w:rsid w:val="004877E7"/>
    <w:rsid w:val="00487972"/>
    <w:rsid w:val="00487E3E"/>
    <w:rsid w:val="00487ECA"/>
    <w:rsid w:val="00490235"/>
    <w:rsid w:val="004902F0"/>
    <w:rsid w:val="00490548"/>
    <w:rsid w:val="00490659"/>
    <w:rsid w:val="004906F5"/>
    <w:rsid w:val="004906FD"/>
    <w:rsid w:val="00490899"/>
    <w:rsid w:val="00490979"/>
    <w:rsid w:val="00490983"/>
    <w:rsid w:val="00490A86"/>
    <w:rsid w:val="00490D1C"/>
    <w:rsid w:val="00490E88"/>
    <w:rsid w:val="00490EBC"/>
    <w:rsid w:val="00490FA2"/>
    <w:rsid w:val="00491023"/>
    <w:rsid w:val="004911EA"/>
    <w:rsid w:val="00491263"/>
    <w:rsid w:val="004914C4"/>
    <w:rsid w:val="004915A4"/>
    <w:rsid w:val="0049183D"/>
    <w:rsid w:val="00491C84"/>
    <w:rsid w:val="00491CA2"/>
    <w:rsid w:val="00491CE9"/>
    <w:rsid w:val="00491E7D"/>
    <w:rsid w:val="00491F13"/>
    <w:rsid w:val="00491F92"/>
    <w:rsid w:val="00491FE1"/>
    <w:rsid w:val="004922F9"/>
    <w:rsid w:val="00492336"/>
    <w:rsid w:val="0049236A"/>
    <w:rsid w:val="00492394"/>
    <w:rsid w:val="00492498"/>
    <w:rsid w:val="004924A7"/>
    <w:rsid w:val="0049271D"/>
    <w:rsid w:val="004927E3"/>
    <w:rsid w:val="00492854"/>
    <w:rsid w:val="00492E02"/>
    <w:rsid w:val="00492FE0"/>
    <w:rsid w:val="00493061"/>
    <w:rsid w:val="004930A6"/>
    <w:rsid w:val="004930E8"/>
    <w:rsid w:val="0049332C"/>
    <w:rsid w:val="004933F3"/>
    <w:rsid w:val="0049360A"/>
    <w:rsid w:val="004938EC"/>
    <w:rsid w:val="004939D9"/>
    <w:rsid w:val="00493A41"/>
    <w:rsid w:val="00493A58"/>
    <w:rsid w:val="00493A76"/>
    <w:rsid w:val="00493E18"/>
    <w:rsid w:val="00493EF2"/>
    <w:rsid w:val="00493FBF"/>
    <w:rsid w:val="00494194"/>
    <w:rsid w:val="004946EC"/>
    <w:rsid w:val="004947C2"/>
    <w:rsid w:val="004949C3"/>
    <w:rsid w:val="004951AF"/>
    <w:rsid w:val="0049536F"/>
    <w:rsid w:val="0049555C"/>
    <w:rsid w:val="0049567F"/>
    <w:rsid w:val="00495687"/>
    <w:rsid w:val="004956DF"/>
    <w:rsid w:val="004957AF"/>
    <w:rsid w:val="00495826"/>
    <w:rsid w:val="00495954"/>
    <w:rsid w:val="00495AB7"/>
    <w:rsid w:val="00495D6F"/>
    <w:rsid w:val="00495EFC"/>
    <w:rsid w:val="00495F6B"/>
    <w:rsid w:val="00495FF4"/>
    <w:rsid w:val="0049600D"/>
    <w:rsid w:val="00496102"/>
    <w:rsid w:val="004962AE"/>
    <w:rsid w:val="004963A0"/>
    <w:rsid w:val="004963DD"/>
    <w:rsid w:val="0049641D"/>
    <w:rsid w:val="00496557"/>
    <w:rsid w:val="0049656F"/>
    <w:rsid w:val="00496A9A"/>
    <w:rsid w:val="00496B06"/>
    <w:rsid w:val="00496C74"/>
    <w:rsid w:val="00496E48"/>
    <w:rsid w:val="00496EA2"/>
    <w:rsid w:val="00496F8C"/>
    <w:rsid w:val="0049735A"/>
    <w:rsid w:val="004977BB"/>
    <w:rsid w:val="004978F2"/>
    <w:rsid w:val="00497AFF"/>
    <w:rsid w:val="00497BAF"/>
    <w:rsid w:val="00497BB3"/>
    <w:rsid w:val="00497C95"/>
    <w:rsid w:val="00497F76"/>
    <w:rsid w:val="00497FE8"/>
    <w:rsid w:val="004A000D"/>
    <w:rsid w:val="004A000E"/>
    <w:rsid w:val="004A022A"/>
    <w:rsid w:val="004A0235"/>
    <w:rsid w:val="004A0495"/>
    <w:rsid w:val="004A0593"/>
    <w:rsid w:val="004A05C0"/>
    <w:rsid w:val="004A065D"/>
    <w:rsid w:val="004A07F2"/>
    <w:rsid w:val="004A0864"/>
    <w:rsid w:val="004A09B9"/>
    <w:rsid w:val="004A0B56"/>
    <w:rsid w:val="004A0CF6"/>
    <w:rsid w:val="004A0D17"/>
    <w:rsid w:val="004A0D1A"/>
    <w:rsid w:val="004A0DE1"/>
    <w:rsid w:val="004A0EB4"/>
    <w:rsid w:val="004A0F1C"/>
    <w:rsid w:val="004A0FC7"/>
    <w:rsid w:val="004A10E3"/>
    <w:rsid w:val="004A1271"/>
    <w:rsid w:val="004A159D"/>
    <w:rsid w:val="004A15A3"/>
    <w:rsid w:val="004A1728"/>
    <w:rsid w:val="004A1AF3"/>
    <w:rsid w:val="004A1DD6"/>
    <w:rsid w:val="004A1DF6"/>
    <w:rsid w:val="004A20BE"/>
    <w:rsid w:val="004A216D"/>
    <w:rsid w:val="004A2274"/>
    <w:rsid w:val="004A22F5"/>
    <w:rsid w:val="004A2332"/>
    <w:rsid w:val="004A2488"/>
    <w:rsid w:val="004A2640"/>
    <w:rsid w:val="004A2A68"/>
    <w:rsid w:val="004A2A86"/>
    <w:rsid w:val="004A2C63"/>
    <w:rsid w:val="004A2D84"/>
    <w:rsid w:val="004A2EB1"/>
    <w:rsid w:val="004A2FAB"/>
    <w:rsid w:val="004A305A"/>
    <w:rsid w:val="004A3081"/>
    <w:rsid w:val="004A30A5"/>
    <w:rsid w:val="004A352A"/>
    <w:rsid w:val="004A35F0"/>
    <w:rsid w:val="004A37CD"/>
    <w:rsid w:val="004A3A33"/>
    <w:rsid w:val="004A3B04"/>
    <w:rsid w:val="004A3E47"/>
    <w:rsid w:val="004A415E"/>
    <w:rsid w:val="004A4223"/>
    <w:rsid w:val="004A4277"/>
    <w:rsid w:val="004A4311"/>
    <w:rsid w:val="004A4418"/>
    <w:rsid w:val="004A4505"/>
    <w:rsid w:val="004A48EF"/>
    <w:rsid w:val="004A4C07"/>
    <w:rsid w:val="004A4D42"/>
    <w:rsid w:val="004A51C1"/>
    <w:rsid w:val="004A522C"/>
    <w:rsid w:val="004A52E3"/>
    <w:rsid w:val="004A5484"/>
    <w:rsid w:val="004A5742"/>
    <w:rsid w:val="004A57F0"/>
    <w:rsid w:val="004A5A5C"/>
    <w:rsid w:val="004A5B1B"/>
    <w:rsid w:val="004A5BBC"/>
    <w:rsid w:val="004A5CAA"/>
    <w:rsid w:val="004A5DAC"/>
    <w:rsid w:val="004A5DFB"/>
    <w:rsid w:val="004A612D"/>
    <w:rsid w:val="004A6346"/>
    <w:rsid w:val="004A665F"/>
    <w:rsid w:val="004A67CF"/>
    <w:rsid w:val="004A67D4"/>
    <w:rsid w:val="004A68D1"/>
    <w:rsid w:val="004A6925"/>
    <w:rsid w:val="004A6BE4"/>
    <w:rsid w:val="004A6D3A"/>
    <w:rsid w:val="004A6E09"/>
    <w:rsid w:val="004A6E97"/>
    <w:rsid w:val="004A70B8"/>
    <w:rsid w:val="004A746E"/>
    <w:rsid w:val="004A750A"/>
    <w:rsid w:val="004A7667"/>
    <w:rsid w:val="004A7798"/>
    <w:rsid w:val="004A788D"/>
    <w:rsid w:val="004A7AEE"/>
    <w:rsid w:val="004A7AF1"/>
    <w:rsid w:val="004A7C44"/>
    <w:rsid w:val="004A7F19"/>
    <w:rsid w:val="004B0062"/>
    <w:rsid w:val="004B01A3"/>
    <w:rsid w:val="004B03A2"/>
    <w:rsid w:val="004B0639"/>
    <w:rsid w:val="004B0874"/>
    <w:rsid w:val="004B087D"/>
    <w:rsid w:val="004B0990"/>
    <w:rsid w:val="004B09EF"/>
    <w:rsid w:val="004B0A48"/>
    <w:rsid w:val="004B0AF3"/>
    <w:rsid w:val="004B0C26"/>
    <w:rsid w:val="004B0C87"/>
    <w:rsid w:val="004B0CEF"/>
    <w:rsid w:val="004B0F2B"/>
    <w:rsid w:val="004B1121"/>
    <w:rsid w:val="004B11D8"/>
    <w:rsid w:val="004B120D"/>
    <w:rsid w:val="004B172B"/>
    <w:rsid w:val="004B192F"/>
    <w:rsid w:val="004B1ADD"/>
    <w:rsid w:val="004B1B54"/>
    <w:rsid w:val="004B1D55"/>
    <w:rsid w:val="004B1D82"/>
    <w:rsid w:val="004B2184"/>
    <w:rsid w:val="004B22B7"/>
    <w:rsid w:val="004B2339"/>
    <w:rsid w:val="004B238B"/>
    <w:rsid w:val="004B2562"/>
    <w:rsid w:val="004B2645"/>
    <w:rsid w:val="004B28A0"/>
    <w:rsid w:val="004B298E"/>
    <w:rsid w:val="004B2B34"/>
    <w:rsid w:val="004B2B8F"/>
    <w:rsid w:val="004B2B9F"/>
    <w:rsid w:val="004B2FB0"/>
    <w:rsid w:val="004B2FBD"/>
    <w:rsid w:val="004B307D"/>
    <w:rsid w:val="004B319A"/>
    <w:rsid w:val="004B349D"/>
    <w:rsid w:val="004B3546"/>
    <w:rsid w:val="004B3893"/>
    <w:rsid w:val="004B38BF"/>
    <w:rsid w:val="004B397E"/>
    <w:rsid w:val="004B3B23"/>
    <w:rsid w:val="004B3B9C"/>
    <w:rsid w:val="004B3C62"/>
    <w:rsid w:val="004B3E21"/>
    <w:rsid w:val="004B3EB2"/>
    <w:rsid w:val="004B4121"/>
    <w:rsid w:val="004B4855"/>
    <w:rsid w:val="004B4894"/>
    <w:rsid w:val="004B490A"/>
    <w:rsid w:val="004B4914"/>
    <w:rsid w:val="004B4B05"/>
    <w:rsid w:val="004B4B6E"/>
    <w:rsid w:val="004B4C18"/>
    <w:rsid w:val="004B4D4F"/>
    <w:rsid w:val="004B4DC0"/>
    <w:rsid w:val="004B4FCE"/>
    <w:rsid w:val="004B50EF"/>
    <w:rsid w:val="004B51E1"/>
    <w:rsid w:val="004B5440"/>
    <w:rsid w:val="004B5945"/>
    <w:rsid w:val="004B5DA4"/>
    <w:rsid w:val="004B5F33"/>
    <w:rsid w:val="004B5FFF"/>
    <w:rsid w:val="004B604E"/>
    <w:rsid w:val="004B612D"/>
    <w:rsid w:val="004B61C3"/>
    <w:rsid w:val="004B6598"/>
    <w:rsid w:val="004B67AA"/>
    <w:rsid w:val="004B68CB"/>
    <w:rsid w:val="004B6AD1"/>
    <w:rsid w:val="004B6B6E"/>
    <w:rsid w:val="004B6BFC"/>
    <w:rsid w:val="004B6C48"/>
    <w:rsid w:val="004B6C75"/>
    <w:rsid w:val="004B6C87"/>
    <w:rsid w:val="004B6E8A"/>
    <w:rsid w:val="004B6F43"/>
    <w:rsid w:val="004B7259"/>
    <w:rsid w:val="004B72CC"/>
    <w:rsid w:val="004B783E"/>
    <w:rsid w:val="004B787F"/>
    <w:rsid w:val="004B789C"/>
    <w:rsid w:val="004B78BC"/>
    <w:rsid w:val="004B7956"/>
    <w:rsid w:val="004B7AB0"/>
    <w:rsid w:val="004B7AFC"/>
    <w:rsid w:val="004B7AFD"/>
    <w:rsid w:val="004B7D2E"/>
    <w:rsid w:val="004B7D75"/>
    <w:rsid w:val="004B7F1B"/>
    <w:rsid w:val="004C047E"/>
    <w:rsid w:val="004C0522"/>
    <w:rsid w:val="004C0601"/>
    <w:rsid w:val="004C085A"/>
    <w:rsid w:val="004C08AF"/>
    <w:rsid w:val="004C0A81"/>
    <w:rsid w:val="004C0BEC"/>
    <w:rsid w:val="004C0C99"/>
    <w:rsid w:val="004C0D44"/>
    <w:rsid w:val="004C0F98"/>
    <w:rsid w:val="004C1090"/>
    <w:rsid w:val="004C1309"/>
    <w:rsid w:val="004C13B7"/>
    <w:rsid w:val="004C13E0"/>
    <w:rsid w:val="004C1720"/>
    <w:rsid w:val="004C1732"/>
    <w:rsid w:val="004C1A79"/>
    <w:rsid w:val="004C1C7A"/>
    <w:rsid w:val="004C20BD"/>
    <w:rsid w:val="004C2374"/>
    <w:rsid w:val="004C23FC"/>
    <w:rsid w:val="004C24B7"/>
    <w:rsid w:val="004C24CC"/>
    <w:rsid w:val="004C24F4"/>
    <w:rsid w:val="004C260F"/>
    <w:rsid w:val="004C2633"/>
    <w:rsid w:val="004C2771"/>
    <w:rsid w:val="004C27C2"/>
    <w:rsid w:val="004C285D"/>
    <w:rsid w:val="004C2BE6"/>
    <w:rsid w:val="004C2CC0"/>
    <w:rsid w:val="004C2CFA"/>
    <w:rsid w:val="004C32DC"/>
    <w:rsid w:val="004C365F"/>
    <w:rsid w:val="004C376A"/>
    <w:rsid w:val="004C3774"/>
    <w:rsid w:val="004C3DAC"/>
    <w:rsid w:val="004C3E91"/>
    <w:rsid w:val="004C3EA9"/>
    <w:rsid w:val="004C3ED4"/>
    <w:rsid w:val="004C418A"/>
    <w:rsid w:val="004C4522"/>
    <w:rsid w:val="004C46F8"/>
    <w:rsid w:val="004C484C"/>
    <w:rsid w:val="004C488B"/>
    <w:rsid w:val="004C492B"/>
    <w:rsid w:val="004C4A0A"/>
    <w:rsid w:val="004C4D28"/>
    <w:rsid w:val="004C4EC9"/>
    <w:rsid w:val="004C51C3"/>
    <w:rsid w:val="004C52B0"/>
    <w:rsid w:val="004C534D"/>
    <w:rsid w:val="004C5780"/>
    <w:rsid w:val="004C5794"/>
    <w:rsid w:val="004C57B4"/>
    <w:rsid w:val="004C582D"/>
    <w:rsid w:val="004C5871"/>
    <w:rsid w:val="004C5899"/>
    <w:rsid w:val="004C58A7"/>
    <w:rsid w:val="004C5A36"/>
    <w:rsid w:val="004C5CC6"/>
    <w:rsid w:val="004C5F7F"/>
    <w:rsid w:val="004C5FAF"/>
    <w:rsid w:val="004C60DE"/>
    <w:rsid w:val="004C611B"/>
    <w:rsid w:val="004C622B"/>
    <w:rsid w:val="004C6420"/>
    <w:rsid w:val="004C65AB"/>
    <w:rsid w:val="004C668B"/>
    <w:rsid w:val="004C6831"/>
    <w:rsid w:val="004C68D3"/>
    <w:rsid w:val="004C6A4D"/>
    <w:rsid w:val="004C6ABF"/>
    <w:rsid w:val="004C6BCE"/>
    <w:rsid w:val="004C6E34"/>
    <w:rsid w:val="004C6E3B"/>
    <w:rsid w:val="004C7012"/>
    <w:rsid w:val="004C7118"/>
    <w:rsid w:val="004C7229"/>
    <w:rsid w:val="004C73F0"/>
    <w:rsid w:val="004C746D"/>
    <w:rsid w:val="004C74F7"/>
    <w:rsid w:val="004C75CD"/>
    <w:rsid w:val="004C7720"/>
    <w:rsid w:val="004C7739"/>
    <w:rsid w:val="004C7779"/>
    <w:rsid w:val="004C7805"/>
    <w:rsid w:val="004C7874"/>
    <w:rsid w:val="004C789C"/>
    <w:rsid w:val="004C78D1"/>
    <w:rsid w:val="004C79ED"/>
    <w:rsid w:val="004C7C9D"/>
    <w:rsid w:val="004C7E48"/>
    <w:rsid w:val="004C7EF1"/>
    <w:rsid w:val="004C7F29"/>
    <w:rsid w:val="004D0247"/>
    <w:rsid w:val="004D0321"/>
    <w:rsid w:val="004D0463"/>
    <w:rsid w:val="004D04C7"/>
    <w:rsid w:val="004D0614"/>
    <w:rsid w:val="004D0641"/>
    <w:rsid w:val="004D088A"/>
    <w:rsid w:val="004D09CB"/>
    <w:rsid w:val="004D0A2F"/>
    <w:rsid w:val="004D0D13"/>
    <w:rsid w:val="004D0E42"/>
    <w:rsid w:val="004D0E5C"/>
    <w:rsid w:val="004D0FDE"/>
    <w:rsid w:val="004D110B"/>
    <w:rsid w:val="004D1301"/>
    <w:rsid w:val="004D139A"/>
    <w:rsid w:val="004D13B6"/>
    <w:rsid w:val="004D1468"/>
    <w:rsid w:val="004D1504"/>
    <w:rsid w:val="004D1634"/>
    <w:rsid w:val="004D1665"/>
    <w:rsid w:val="004D1679"/>
    <w:rsid w:val="004D1732"/>
    <w:rsid w:val="004D182B"/>
    <w:rsid w:val="004D1923"/>
    <w:rsid w:val="004D1A35"/>
    <w:rsid w:val="004D1DAC"/>
    <w:rsid w:val="004D1FF8"/>
    <w:rsid w:val="004D202C"/>
    <w:rsid w:val="004D202D"/>
    <w:rsid w:val="004D2162"/>
    <w:rsid w:val="004D22E1"/>
    <w:rsid w:val="004D231C"/>
    <w:rsid w:val="004D247F"/>
    <w:rsid w:val="004D2522"/>
    <w:rsid w:val="004D282F"/>
    <w:rsid w:val="004D2966"/>
    <w:rsid w:val="004D2A37"/>
    <w:rsid w:val="004D2CBA"/>
    <w:rsid w:val="004D2CDD"/>
    <w:rsid w:val="004D2D56"/>
    <w:rsid w:val="004D2E0D"/>
    <w:rsid w:val="004D302F"/>
    <w:rsid w:val="004D3229"/>
    <w:rsid w:val="004D33A2"/>
    <w:rsid w:val="004D33F5"/>
    <w:rsid w:val="004D35C1"/>
    <w:rsid w:val="004D3833"/>
    <w:rsid w:val="004D38C0"/>
    <w:rsid w:val="004D392A"/>
    <w:rsid w:val="004D3AFB"/>
    <w:rsid w:val="004D3B77"/>
    <w:rsid w:val="004D3CAE"/>
    <w:rsid w:val="004D3D13"/>
    <w:rsid w:val="004D3D89"/>
    <w:rsid w:val="004D3DDC"/>
    <w:rsid w:val="004D4092"/>
    <w:rsid w:val="004D4191"/>
    <w:rsid w:val="004D41A1"/>
    <w:rsid w:val="004D4399"/>
    <w:rsid w:val="004D43B6"/>
    <w:rsid w:val="004D4798"/>
    <w:rsid w:val="004D47AC"/>
    <w:rsid w:val="004D4844"/>
    <w:rsid w:val="004D48AC"/>
    <w:rsid w:val="004D495A"/>
    <w:rsid w:val="004D4C7D"/>
    <w:rsid w:val="004D50ED"/>
    <w:rsid w:val="004D528B"/>
    <w:rsid w:val="004D52B1"/>
    <w:rsid w:val="004D531B"/>
    <w:rsid w:val="004D5498"/>
    <w:rsid w:val="004D56FB"/>
    <w:rsid w:val="004D5830"/>
    <w:rsid w:val="004D5B1E"/>
    <w:rsid w:val="004D5F3D"/>
    <w:rsid w:val="004D60AB"/>
    <w:rsid w:val="004D6422"/>
    <w:rsid w:val="004D648F"/>
    <w:rsid w:val="004D650F"/>
    <w:rsid w:val="004D6635"/>
    <w:rsid w:val="004D66A9"/>
    <w:rsid w:val="004D671B"/>
    <w:rsid w:val="004D67DD"/>
    <w:rsid w:val="004D67FE"/>
    <w:rsid w:val="004D6861"/>
    <w:rsid w:val="004D68B1"/>
    <w:rsid w:val="004D6A72"/>
    <w:rsid w:val="004D6B64"/>
    <w:rsid w:val="004D6BFD"/>
    <w:rsid w:val="004D6D86"/>
    <w:rsid w:val="004D6D91"/>
    <w:rsid w:val="004D6E02"/>
    <w:rsid w:val="004D6E48"/>
    <w:rsid w:val="004D718A"/>
    <w:rsid w:val="004D71BC"/>
    <w:rsid w:val="004D7725"/>
    <w:rsid w:val="004D7907"/>
    <w:rsid w:val="004D7A3D"/>
    <w:rsid w:val="004D7A5F"/>
    <w:rsid w:val="004D7EE4"/>
    <w:rsid w:val="004D7F58"/>
    <w:rsid w:val="004DC37B"/>
    <w:rsid w:val="004E00EC"/>
    <w:rsid w:val="004E0588"/>
    <w:rsid w:val="004E06FF"/>
    <w:rsid w:val="004E07C3"/>
    <w:rsid w:val="004E09B3"/>
    <w:rsid w:val="004E09DA"/>
    <w:rsid w:val="004E09E4"/>
    <w:rsid w:val="004E0C92"/>
    <w:rsid w:val="004E0D81"/>
    <w:rsid w:val="004E0FAE"/>
    <w:rsid w:val="004E128C"/>
    <w:rsid w:val="004E12A1"/>
    <w:rsid w:val="004E12F0"/>
    <w:rsid w:val="004E1796"/>
    <w:rsid w:val="004E17A4"/>
    <w:rsid w:val="004E1987"/>
    <w:rsid w:val="004E1989"/>
    <w:rsid w:val="004E1C16"/>
    <w:rsid w:val="004E1C3D"/>
    <w:rsid w:val="004E1CA3"/>
    <w:rsid w:val="004E1CA6"/>
    <w:rsid w:val="004E1CFE"/>
    <w:rsid w:val="004E20D7"/>
    <w:rsid w:val="004E2455"/>
    <w:rsid w:val="004E2457"/>
    <w:rsid w:val="004E268A"/>
    <w:rsid w:val="004E2736"/>
    <w:rsid w:val="004E2814"/>
    <w:rsid w:val="004E2B45"/>
    <w:rsid w:val="004E2C19"/>
    <w:rsid w:val="004E2CAA"/>
    <w:rsid w:val="004E3099"/>
    <w:rsid w:val="004E30BF"/>
    <w:rsid w:val="004E312B"/>
    <w:rsid w:val="004E3651"/>
    <w:rsid w:val="004E3A1B"/>
    <w:rsid w:val="004E3C8C"/>
    <w:rsid w:val="004E3D5C"/>
    <w:rsid w:val="004E3EDD"/>
    <w:rsid w:val="004E3F63"/>
    <w:rsid w:val="004E40E9"/>
    <w:rsid w:val="004E4104"/>
    <w:rsid w:val="004E413C"/>
    <w:rsid w:val="004E4245"/>
    <w:rsid w:val="004E42CA"/>
    <w:rsid w:val="004E444D"/>
    <w:rsid w:val="004E45C3"/>
    <w:rsid w:val="004E4763"/>
    <w:rsid w:val="004E4884"/>
    <w:rsid w:val="004E4B93"/>
    <w:rsid w:val="004E4C02"/>
    <w:rsid w:val="004E4D39"/>
    <w:rsid w:val="004E4DAC"/>
    <w:rsid w:val="004E4EC9"/>
    <w:rsid w:val="004E4F4B"/>
    <w:rsid w:val="004E53AC"/>
    <w:rsid w:val="004E560A"/>
    <w:rsid w:val="004E5678"/>
    <w:rsid w:val="004E567C"/>
    <w:rsid w:val="004E5709"/>
    <w:rsid w:val="004E57FC"/>
    <w:rsid w:val="004E5838"/>
    <w:rsid w:val="004E585A"/>
    <w:rsid w:val="004E5889"/>
    <w:rsid w:val="004E5938"/>
    <w:rsid w:val="004E5A3E"/>
    <w:rsid w:val="004E5DB6"/>
    <w:rsid w:val="004E5E93"/>
    <w:rsid w:val="004E5E9C"/>
    <w:rsid w:val="004E5F4E"/>
    <w:rsid w:val="004E61B3"/>
    <w:rsid w:val="004E6339"/>
    <w:rsid w:val="004E63BB"/>
    <w:rsid w:val="004E6417"/>
    <w:rsid w:val="004E65C0"/>
    <w:rsid w:val="004E6703"/>
    <w:rsid w:val="004E691E"/>
    <w:rsid w:val="004E6952"/>
    <w:rsid w:val="004E6976"/>
    <w:rsid w:val="004E6BAD"/>
    <w:rsid w:val="004E6C83"/>
    <w:rsid w:val="004E6D56"/>
    <w:rsid w:val="004E6E0B"/>
    <w:rsid w:val="004E6FCE"/>
    <w:rsid w:val="004E7341"/>
    <w:rsid w:val="004E739F"/>
    <w:rsid w:val="004E740B"/>
    <w:rsid w:val="004E740C"/>
    <w:rsid w:val="004E76D0"/>
    <w:rsid w:val="004E779F"/>
    <w:rsid w:val="004E781A"/>
    <w:rsid w:val="004E7895"/>
    <w:rsid w:val="004E78B0"/>
    <w:rsid w:val="004E7945"/>
    <w:rsid w:val="004E795F"/>
    <w:rsid w:val="004E7C7B"/>
    <w:rsid w:val="004E7E7D"/>
    <w:rsid w:val="004E7FE3"/>
    <w:rsid w:val="004F00E1"/>
    <w:rsid w:val="004F0152"/>
    <w:rsid w:val="004F02B4"/>
    <w:rsid w:val="004F0561"/>
    <w:rsid w:val="004F0609"/>
    <w:rsid w:val="004F0641"/>
    <w:rsid w:val="004F07F5"/>
    <w:rsid w:val="004F08F0"/>
    <w:rsid w:val="004F0994"/>
    <w:rsid w:val="004F0ADE"/>
    <w:rsid w:val="004F0B19"/>
    <w:rsid w:val="004F0CE9"/>
    <w:rsid w:val="004F0D55"/>
    <w:rsid w:val="004F0F4B"/>
    <w:rsid w:val="004F0F66"/>
    <w:rsid w:val="004F1063"/>
    <w:rsid w:val="004F10A6"/>
    <w:rsid w:val="004F1175"/>
    <w:rsid w:val="004F1193"/>
    <w:rsid w:val="004F1359"/>
    <w:rsid w:val="004F1519"/>
    <w:rsid w:val="004F16C2"/>
    <w:rsid w:val="004F183A"/>
    <w:rsid w:val="004F19EC"/>
    <w:rsid w:val="004F1A6D"/>
    <w:rsid w:val="004F1C26"/>
    <w:rsid w:val="004F1D45"/>
    <w:rsid w:val="004F1DAE"/>
    <w:rsid w:val="004F1EC2"/>
    <w:rsid w:val="004F1EFB"/>
    <w:rsid w:val="004F1F29"/>
    <w:rsid w:val="004F2646"/>
    <w:rsid w:val="004F26C7"/>
    <w:rsid w:val="004F27FD"/>
    <w:rsid w:val="004F2857"/>
    <w:rsid w:val="004F28F4"/>
    <w:rsid w:val="004F290D"/>
    <w:rsid w:val="004F2950"/>
    <w:rsid w:val="004F29E5"/>
    <w:rsid w:val="004F2A41"/>
    <w:rsid w:val="004F2B39"/>
    <w:rsid w:val="004F2C93"/>
    <w:rsid w:val="004F2D7D"/>
    <w:rsid w:val="004F2E2E"/>
    <w:rsid w:val="004F2EAD"/>
    <w:rsid w:val="004F2F22"/>
    <w:rsid w:val="004F2FC9"/>
    <w:rsid w:val="004F31B2"/>
    <w:rsid w:val="004F3368"/>
    <w:rsid w:val="004F351A"/>
    <w:rsid w:val="004F3530"/>
    <w:rsid w:val="004F3585"/>
    <w:rsid w:val="004F35C2"/>
    <w:rsid w:val="004F361B"/>
    <w:rsid w:val="004F361C"/>
    <w:rsid w:val="004F362C"/>
    <w:rsid w:val="004F3A1A"/>
    <w:rsid w:val="004F3A52"/>
    <w:rsid w:val="004F3A98"/>
    <w:rsid w:val="004F3AA1"/>
    <w:rsid w:val="004F3AEB"/>
    <w:rsid w:val="004F3B4F"/>
    <w:rsid w:val="004F3BA7"/>
    <w:rsid w:val="004F3F14"/>
    <w:rsid w:val="004F3F2E"/>
    <w:rsid w:val="004F420C"/>
    <w:rsid w:val="004F421B"/>
    <w:rsid w:val="004F4283"/>
    <w:rsid w:val="004F4396"/>
    <w:rsid w:val="004F43BD"/>
    <w:rsid w:val="004F43D5"/>
    <w:rsid w:val="004F4404"/>
    <w:rsid w:val="004F45DD"/>
    <w:rsid w:val="004F49DE"/>
    <w:rsid w:val="004F4A79"/>
    <w:rsid w:val="004F4BAF"/>
    <w:rsid w:val="004F4BD8"/>
    <w:rsid w:val="004F4D3E"/>
    <w:rsid w:val="004F4D47"/>
    <w:rsid w:val="004F4D4A"/>
    <w:rsid w:val="004F4DC2"/>
    <w:rsid w:val="004F4E28"/>
    <w:rsid w:val="004F4FD2"/>
    <w:rsid w:val="004F50D3"/>
    <w:rsid w:val="004F50FF"/>
    <w:rsid w:val="004F5171"/>
    <w:rsid w:val="004F5278"/>
    <w:rsid w:val="004F52CF"/>
    <w:rsid w:val="004F53CC"/>
    <w:rsid w:val="004F53FC"/>
    <w:rsid w:val="004F5493"/>
    <w:rsid w:val="004F55A8"/>
    <w:rsid w:val="004F5675"/>
    <w:rsid w:val="004F57E2"/>
    <w:rsid w:val="004F59A7"/>
    <w:rsid w:val="004F5A56"/>
    <w:rsid w:val="004F5DD4"/>
    <w:rsid w:val="004F5E16"/>
    <w:rsid w:val="004F5E82"/>
    <w:rsid w:val="004F5EFD"/>
    <w:rsid w:val="004F5F2C"/>
    <w:rsid w:val="004F5FE2"/>
    <w:rsid w:val="004F60B4"/>
    <w:rsid w:val="004F6164"/>
    <w:rsid w:val="004F6276"/>
    <w:rsid w:val="004F6378"/>
    <w:rsid w:val="004F67EB"/>
    <w:rsid w:val="004F6E1E"/>
    <w:rsid w:val="004F702F"/>
    <w:rsid w:val="004F70F3"/>
    <w:rsid w:val="004F7351"/>
    <w:rsid w:val="004F7455"/>
    <w:rsid w:val="004F7A06"/>
    <w:rsid w:val="004F7C6A"/>
    <w:rsid w:val="004F7C9F"/>
    <w:rsid w:val="004F7D5D"/>
    <w:rsid w:val="004F7D68"/>
    <w:rsid w:val="004F7E69"/>
    <w:rsid w:val="004F7E8A"/>
    <w:rsid w:val="0050026D"/>
    <w:rsid w:val="0050026E"/>
    <w:rsid w:val="0050038A"/>
    <w:rsid w:val="00500486"/>
    <w:rsid w:val="00500493"/>
    <w:rsid w:val="005004C2"/>
    <w:rsid w:val="00500510"/>
    <w:rsid w:val="005005F1"/>
    <w:rsid w:val="0050064B"/>
    <w:rsid w:val="005007AD"/>
    <w:rsid w:val="005007BD"/>
    <w:rsid w:val="005008A3"/>
    <w:rsid w:val="005009DC"/>
    <w:rsid w:val="00500FF0"/>
    <w:rsid w:val="0050118C"/>
    <w:rsid w:val="00501266"/>
    <w:rsid w:val="005013D1"/>
    <w:rsid w:val="005015B9"/>
    <w:rsid w:val="005015EA"/>
    <w:rsid w:val="00501A17"/>
    <w:rsid w:val="00501BDD"/>
    <w:rsid w:val="00501CDA"/>
    <w:rsid w:val="00501E4A"/>
    <w:rsid w:val="00501E98"/>
    <w:rsid w:val="00501F8A"/>
    <w:rsid w:val="005020F9"/>
    <w:rsid w:val="0050257F"/>
    <w:rsid w:val="005028BF"/>
    <w:rsid w:val="00502B18"/>
    <w:rsid w:val="00502EC7"/>
    <w:rsid w:val="005032AA"/>
    <w:rsid w:val="005033AF"/>
    <w:rsid w:val="00503431"/>
    <w:rsid w:val="00503606"/>
    <w:rsid w:val="005036E6"/>
    <w:rsid w:val="00503801"/>
    <w:rsid w:val="00503858"/>
    <w:rsid w:val="0050385A"/>
    <w:rsid w:val="00503993"/>
    <w:rsid w:val="00503BA6"/>
    <w:rsid w:val="00503E83"/>
    <w:rsid w:val="00503EB1"/>
    <w:rsid w:val="00503F4C"/>
    <w:rsid w:val="005040F0"/>
    <w:rsid w:val="005041FB"/>
    <w:rsid w:val="005042A7"/>
    <w:rsid w:val="00504481"/>
    <w:rsid w:val="005045D2"/>
    <w:rsid w:val="00504B4A"/>
    <w:rsid w:val="00504F24"/>
    <w:rsid w:val="0050535C"/>
    <w:rsid w:val="00505382"/>
    <w:rsid w:val="005053D6"/>
    <w:rsid w:val="0050543F"/>
    <w:rsid w:val="00505623"/>
    <w:rsid w:val="005058E2"/>
    <w:rsid w:val="00505AFC"/>
    <w:rsid w:val="00505F44"/>
    <w:rsid w:val="00505FCD"/>
    <w:rsid w:val="005061ED"/>
    <w:rsid w:val="0050639C"/>
    <w:rsid w:val="0050653B"/>
    <w:rsid w:val="005065EB"/>
    <w:rsid w:val="0050678F"/>
    <w:rsid w:val="0050683E"/>
    <w:rsid w:val="00506B49"/>
    <w:rsid w:val="00506B69"/>
    <w:rsid w:val="00506C9E"/>
    <w:rsid w:val="00506DD1"/>
    <w:rsid w:val="00506F61"/>
    <w:rsid w:val="00507108"/>
    <w:rsid w:val="00507170"/>
    <w:rsid w:val="0050740A"/>
    <w:rsid w:val="0050741A"/>
    <w:rsid w:val="00507600"/>
    <w:rsid w:val="0050763B"/>
    <w:rsid w:val="005077C4"/>
    <w:rsid w:val="00507B79"/>
    <w:rsid w:val="00507B94"/>
    <w:rsid w:val="00507D3E"/>
    <w:rsid w:val="00507D5A"/>
    <w:rsid w:val="00507E3B"/>
    <w:rsid w:val="00510084"/>
    <w:rsid w:val="00510102"/>
    <w:rsid w:val="00510500"/>
    <w:rsid w:val="00510636"/>
    <w:rsid w:val="0051080E"/>
    <w:rsid w:val="00510AAB"/>
    <w:rsid w:val="00510B85"/>
    <w:rsid w:val="00510C56"/>
    <w:rsid w:val="00511028"/>
    <w:rsid w:val="0051102C"/>
    <w:rsid w:val="00511132"/>
    <w:rsid w:val="005111F5"/>
    <w:rsid w:val="0051122D"/>
    <w:rsid w:val="005112BC"/>
    <w:rsid w:val="0051152E"/>
    <w:rsid w:val="0051162C"/>
    <w:rsid w:val="005116AE"/>
    <w:rsid w:val="005117F7"/>
    <w:rsid w:val="00511934"/>
    <w:rsid w:val="00511B0B"/>
    <w:rsid w:val="00511C0F"/>
    <w:rsid w:val="0051235C"/>
    <w:rsid w:val="0051237C"/>
    <w:rsid w:val="005127CA"/>
    <w:rsid w:val="00512857"/>
    <w:rsid w:val="00512C09"/>
    <w:rsid w:val="00512C75"/>
    <w:rsid w:val="0051317B"/>
    <w:rsid w:val="0051324F"/>
    <w:rsid w:val="00513459"/>
    <w:rsid w:val="005134EF"/>
    <w:rsid w:val="005135D9"/>
    <w:rsid w:val="00513746"/>
    <w:rsid w:val="005138B4"/>
    <w:rsid w:val="0051397A"/>
    <w:rsid w:val="00513AED"/>
    <w:rsid w:val="00513FE9"/>
    <w:rsid w:val="00514038"/>
    <w:rsid w:val="0051405E"/>
    <w:rsid w:val="005141BD"/>
    <w:rsid w:val="005141CC"/>
    <w:rsid w:val="00514426"/>
    <w:rsid w:val="00514488"/>
    <w:rsid w:val="0051456C"/>
    <w:rsid w:val="005146D5"/>
    <w:rsid w:val="00514781"/>
    <w:rsid w:val="005148E0"/>
    <w:rsid w:val="00514A31"/>
    <w:rsid w:val="00514CBF"/>
    <w:rsid w:val="00514D02"/>
    <w:rsid w:val="00514D20"/>
    <w:rsid w:val="00514E11"/>
    <w:rsid w:val="00514E1B"/>
    <w:rsid w:val="00514ED8"/>
    <w:rsid w:val="00514F92"/>
    <w:rsid w:val="00514FF2"/>
    <w:rsid w:val="005153B8"/>
    <w:rsid w:val="0051555E"/>
    <w:rsid w:val="00515794"/>
    <w:rsid w:val="0051593C"/>
    <w:rsid w:val="00515A53"/>
    <w:rsid w:val="00515CF8"/>
    <w:rsid w:val="00515D40"/>
    <w:rsid w:val="00515D8C"/>
    <w:rsid w:val="00515E60"/>
    <w:rsid w:val="00515F48"/>
    <w:rsid w:val="0051619D"/>
    <w:rsid w:val="005162CD"/>
    <w:rsid w:val="00516437"/>
    <w:rsid w:val="00516530"/>
    <w:rsid w:val="00516685"/>
    <w:rsid w:val="00516813"/>
    <w:rsid w:val="00516BE3"/>
    <w:rsid w:val="00516C71"/>
    <w:rsid w:val="00516D21"/>
    <w:rsid w:val="00516DD2"/>
    <w:rsid w:val="00516EB6"/>
    <w:rsid w:val="00516ED2"/>
    <w:rsid w:val="00516ED4"/>
    <w:rsid w:val="00516FC6"/>
    <w:rsid w:val="0051724A"/>
    <w:rsid w:val="005174BD"/>
    <w:rsid w:val="0051762A"/>
    <w:rsid w:val="005176FC"/>
    <w:rsid w:val="0051779E"/>
    <w:rsid w:val="00517AB6"/>
    <w:rsid w:val="00517AE8"/>
    <w:rsid w:val="00517C93"/>
    <w:rsid w:val="00517CCF"/>
    <w:rsid w:val="00517DF9"/>
    <w:rsid w:val="00517F68"/>
    <w:rsid w:val="00517FC6"/>
    <w:rsid w:val="00520024"/>
    <w:rsid w:val="00520186"/>
    <w:rsid w:val="005201CF"/>
    <w:rsid w:val="005201D7"/>
    <w:rsid w:val="00520553"/>
    <w:rsid w:val="0052064D"/>
    <w:rsid w:val="0052083F"/>
    <w:rsid w:val="00520940"/>
    <w:rsid w:val="00520A74"/>
    <w:rsid w:val="00520AA4"/>
    <w:rsid w:val="00520B8B"/>
    <w:rsid w:val="00520C19"/>
    <w:rsid w:val="00520DB7"/>
    <w:rsid w:val="00521124"/>
    <w:rsid w:val="0052124F"/>
    <w:rsid w:val="005216AF"/>
    <w:rsid w:val="00521789"/>
    <w:rsid w:val="0052184E"/>
    <w:rsid w:val="00521967"/>
    <w:rsid w:val="00521C43"/>
    <w:rsid w:val="00521C44"/>
    <w:rsid w:val="00521D68"/>
    <w:rsid w:val="00521E19"/>
    <w:rsid w:val="00521EF8"/>
    <w:rsid w:val="00521F7A"/>
    <w:rsid w:val="005220EB"/>
    <w:rsid w:val="00522107"/>
    <w:rsid w:val="00522204"/>
    <w:rsid w:val="00522360"/>
    <w:rsid w:val="005227C9"/>
    <w:rsid w:val="005228F5"/>
    <w:rsid w:val="0052297E"/>
    <w:rsid w:val="00522A95"/>
    <w:rsid w:val="00522ACE"/>
    <w:rsid w:val="00522B22"/>
    <w:rsid w:val="00522CA0"/>
    <w:rsid w:val="00522DDC"/>
    <w:rsid w:val="0052321F"/>
    <w:rsid w:val="00523259"/>
    <w:rsid w:val="00523321"/>
    <w:rsid w:val="0052345E"/>
    <w:rsid w:val="005234E0"/>
    <w:rsid w:val="00523900"/>
    <w:rsid w:val="00524079"/>
    <w:rsid w:val="0052445D"/>
    <w:rsid w:val="005245D2"/>
    <w:rsid w:val="00524646"/>
    <w:rsid w:val="00524734"/>
    <w:rsid w:val="00524AE3"/>
    <w:rsid w:val="00524B4D"/>
    <w:rsid w:val="00524D1D"/>
    <w:rsid w:val="00524EB8"/>
    <w:rsid w:val="005256AD"/>
    <w:rsid w:val="00525788"/>
    <w:rsid w:val="005259ED"/>
    <w:rsid w:val="00525A31"/>
    <w:rsid w:val="00525BEF"/>
    <w:rsid w:val="00525CD1"/>
    <w:rsid w:val="00525DC0"/>
    <w:rsid w:val="00525DDA"/>
    <w:rsid w:val="00525F61"/>
    <w:rsid w:val="00525FCB"/>
    <w:rsid w:val="00526013"/>
    <w:rsid w:val="00526343"/>
    <w:rsid w:val="00526397"/>
    <w:rsid w:val="005264DE"/>
    <w:rsid w:val="00526553"/>
    <w:rsid w:val="005265E8"/>
    <w:rsid w:val="00526671"/>
    <w:rsid w:val="00526679"/>
    <w:rsid w:val="00526883"/>
    <w:rsid w:val="00526912"/>
    <w:rsid w:val="00526925"/>
    <w:rsid w:val="00526A5B"/>
    <w:rsid w:val="00526C4E"/>
    <w:rsid w:val="00526EC4"/>
    <w:rsid w:val="005270E4"/>
    <w:rsid w:val="005272D9"/>
    <w:rsid w:val="005274D1"/>
    <w:rsid w:val="0052765A"/>
    <w:rsid w:val="0052777B"/>
    <w:rsid w:val="00527883"/>
    <w:rsid w:val="00527B0F"/>
    <w:rsid w:val="00527BBC"/>
    <w:rsid w:val="00527CC7"/>
    <w:rsid w:val="00527DE6"/>
    <w:rsid w:val="00527E90"/>
    <w:rsid w:val="00530097"/>
    <w:rsid w:val="00530414"/>
    <w:rsid w:val="00530417"/>
    <w:rsid w:val="00530430"/>
    <w:rsid w:val="0053043D"/>
    <w:rsid w:val="00530691"/>
    <w:rsid w:val="00530887"/>
    <w:rsid w:val="00530969"/>
    <w:rsid w:val="00530977"/>
    <w:rsid w:val="00530B8B"/>
    <w:rsid w:val="00530D32"/>
    <w:rsid w:val="00530E10"/>
    <w:rsid w:val="00530E26"/>
    <w:rsid w:val="00531315"/>
    <w:rsid w:val="005313C6"/>
    <w:rsid w:val="005314D2"/>
    <w:rsid w:val="005315F6"/>
    <w:rsid w:val="005319B9"/>
    <w:rsid w:val="00531B6A"/>
    <w:rsid w:val="00531C95"/>
    <w:rsid w:val="00531DA8"/>
    <w:rsid w:val="00531FF3"/>
    <w:rsid w:val="00532054"/>
    <w:rsid w:val="0053206E"/>
    <w:rsid w:val="005320BD"/>
    <w:rsid w:val="00532269"/>
    <w:rsid w:val="0053228B"/>
    <w:rsid w:val="0053232C"/>
    <w:rsid w:val="005325CA"/>
    <w:rsid w:val="00532600"/>
    <w:rsid w:val="0053261B"/>
    <w:rsid w:val="00532756"/>
    <w:rsid w:val="00532AF4"/>
    <w:rsid w:val="00532E12"/>
    <w:rsid w:val="00532E2A"/>
    <w:rsid w:val="00532FBC"/>
    <w:rsid w:val="00533028"/>
    <w:rsid w:val="005330B2"/>
    <w:rsid w:val="00533218"/>
    <w:rsid w:val="00533293"/>
    <w:rsid w:val="0053336C"/>
    <w:rsid w:val="005335D7"/>
    <w:rsid w:val="0053377C"/>
    <w:rsid w:val="00533882"/>
    <w:rsid w:val="005339CA"/>
    <w:rsid w:val="00533D4F"/>
    <w:rsid w:val="00533DC4"/>
    <w:rsid w:val="00533DFC"/>
    <w:rsid w:val="00533E42"/>
    <w:rsid w:val="005342F4"/>
    <w:rsid w:val="00534441"/>
    <w:rsid w:val="00534561"/>
    <w:rsid w:val="00534589"/>
    <w:rsid w:val="005346BD"/>
    <w:rsid w:val="005349D9"/>
    <w:rsid w:val="00534A68"/>
    <w:rsid w:val="00534D12"/>
    <w:rsid w:val="00534F36"/>
    <w:rsid w:val="00535354"/>
    <w:rsid w:val="00535802"/>
    <w:rsid w:val="005359AB"/>
    <w:rsid w:val="00535CF0"/>
    <w:rsid w:val="00535DC1"/>
    <w:rsid w:val="00536208"/>
    <w:rsid w:val="005363D3"/>
    <w:rsid w:val="005366BD"/>
    <w:rsid w:val="005367B6"/>
    <w:rsid w:val="00536A39"/>
    <w:rsid w:val="00536B06"/>
    <w:rsid w:val="00536C70"/>
    <w:rsid w:val="00536D7D"/>
    <w:rsid w:val="00536F65"/>
    <w:rsid w:val="005370DC"/>
    <w:rsid w:val="0053712F"/>
    <w:rsid w:val="00537160"/>
    <w:rsid w:val="00537247"/>
    <w:rsid w:val="0053724E"/>
    <w:rsid w:val="005372B7"/>
    <w:rsid w:val="0053753C"/>
    <w:rsid w:val="0053753D"/>
    <w:rsid w:val="005377FE"/>
    <w:rsid w:val="005378D3"/>
    <w:rsid w:val="00537D98"/>
    <w:rsid w:val="0054021E"/>
    <w:rsid w:val="00540376"/>
    <w:rsid w:val="005403B7"/>
    <w:rsid w:val="005403CA"/>
    <w:rsid w:val="0054059F"/>
    <w:rsid w:val="005405DF"/>
    <w:rsid w:val="005406FD"/>
    <w:rsid w:val="005407D9"/>
    <w:rsid w:val="00540896"/>
    <w:rsid w:val="0054096C"/>
    <w:rsid w:val="00540977"/>
    <w:rsid w:val="00540CE8"/>
    <w:rsid w:val="00540DE3"/>
    <w:rsid w:val="00540E00"/>
    <w:rsid w:val="00540F76"/>
    <w:rsid w:val="0054115F"/>
    <w:rsid w:val="00541196"/>
    <w:rsid w:val="0054135E"/>
    <w:rsid w:val="005414AC"/>
    <w:rsid w:val="0054172D"/>
    <w:rsid w:val="0054195C"/>
    <w:rsid w:val="00541B2E"/>
    <w:rsid w:val="00541D5C"/>
    <w:rsid w:val="00541D8A"/>
    <w:rsid w:val="0054200C"/>
    <w:rsid w:val="0054229E"/>
    <w:rsid w:val="005422B7"/>
    <w:rsid w:val="0054231F"/>
    <w:rsid w:val="005423A6"/>
    <w:rsid w:val="00542415"/>
    <w:rsid w:val="00542459"/>
    <w:rsid w:val="005429A0"/>
    <w:rsid w:val="00542ACE"/>
    <w:rsid w:val="00542BFA"/>
    <w:rsid w:val="00542DF2"/>
    <w:rsid w:val="00542E94"/>
    <w:rsid w:val="00542F52"/>
    <w:rsid w:val="00543096"/>
    <w:rsid w:val="00543200"/>
    <w:rsid w:val="0054323B"/>
    <w:rsid w:val="00543295"/>
    <w:rsid w:val="00543304"/>
    <w:rsid w:val="00543311"/>
    <w:rsid w:val="00543455"/>
    <w:rsid w:val="00543584"/>
    <w:rsid w:val="00543C4C"/>
    <w:rsid w:val="00543D13"/>
    <w:rsid w:val="0054408D"/>
    <w:rsid w:val="005440CA"/>
    <w:rsid w:val="00544111"/>
    <w:rsid w:val="005441FD"/>
    <w:rsid w:val="005442C0"/>
    <w:rsid w:val="005444C8"/>
    <w:rsid w:val="0054466C"/>
    <w:rsid w:val="005446AA"/>
    <w:rsid w:val="005447AF"/>
    <w:rsid w:val="005448F3"/>
    <w:rsid w:val="00544E55"/>
    <w:rsid w:val="00544EB4"/>
    <w:rsid w:val="00544F92"/>
    <w:rsid w:val="005458E7"/>
    <w:rsid w:val="00545937"/>
    <w:rsid w:val="00545B26"/>
    <w:rsid w:val="00545C0C"/>
    <w:rsid w:val="0054603D"/>
    <w:rsid w:val="00546186"/>
    <w:rsid w:val="00546258"/>
    <w:rsid w:val="005462CB"/>
    <w:rsid w:val="0054631E"/>
    <w:rsid w:val="00546775"/>
    <w:rsid w:val="00546886"/>
    <w:rsid w:val="00546D44"/>
    <w:rsid w:val="00546ED6"/>
    <w:rsid w:val="0054708F"/>
    <w:rsid w:val="0054739B"/>
    <w:rsid w:val="005476A2"/>
    <w:rsid w:val="005476B5"/>
    <w:rsid w:val="00547A53"/>
    <w:rsid w:val="00547B1F"/>
    <w:rsid w:val="00547B44"/>
    <w:rsid w:val="00547B8D"/>
    <w:rsid w:val="00547DBA"/>
    <w:rsid w:val="00547E6F"/>
    <w:rsid w:val="00547FB5"/>
    <w:rsid w:val="0055001F"/>
    <w:rsid w:val="005501B5"/>
    <w:rsid w:val="005501C2"/>
    <w:rsid w:val="00550230"/>
    <w:rsid w:val="005503E9"/>
    <w:rsid w:val="005505AB"/>
    <w:rsid w:val="0055063F"/>
    <w:rsid w:val="005506FE"/>
    <w:rsid w:val="0055082A"/>
    <w:rsid w:val="00550D14"/>
    <w:rsid w:val="00550E24"/>
    <w:rsid w:val="00550F53"/>
    <w:rsid w:val="005511CA"/>
    <w:rsid w:val="0055146F"/>
    <w:rsid w:val="00551548"/>
    <w:rsid w:val="0055166C"/>
    <w:rsid w:val="005516F7"/>
    <w:rsid w:val="00551BAF"/>
    <w:rsid w:val="00551C7D"/>
    <w:rsid w:val="00551C7F"/>
    <w:rsid w:val="00551D8C"/>
    <w:rsid w:val="00551E00"/>
    <w:rsid w:val="00551EC0"/>
    <w:rsid w:val="005521D8"/>
    <w:rsid w:val="005521DE"/>
    <w:rsid w:val="00552493"/>
    <w:rsid w:val="0055255D"/>
    <w:rsid w:val="00552908"/>
    <w:rsid w:val="00552AC7"/>
    <w:rsid w:val="00552BD6"/>
    <w:rsid w:val="00552DC4"/>
    <w:rsid w:val="00552E42"/>
    <w:rsid w:val="00552EAC"/>
    <w:rsid w:val="00552FA8"/>
    <w:rsid w:val="0055313D"/>
    <w:rsid w:val="00553277"/>
    <w:rsid w:val="005532AE"/>
    <w:rsid w:val="005534F2"/>
    <w:rsid w:val="00553567"/>
    <w:rsid w:val="005536F4"/>
    <w:rsid w:val="00553952"/>
    <w:rsid w:val="00553BE4"/>
    <w:rsid w:val="00553DB2"/>
    <w:rsid w:val="00554489"/>
    <w:rsid w:val="00554553"/>
    <w:rsid w:val="005545A0"/>
    <w:rsid w:val="005545ED"/>
    <w:rsid w:val="00554884"/>
    <w:rsid w:val="00554888"/>
    <w:rsid w:val="0055491B"/>
    <w:rsid w:val="00554B4A"/>
    <w:rsid w:val="00554C50"/>
    <w:rsid w:val="00554DAF"/>
    <w:rsid w:val="00554DBD"/>
    <w:rsid w:val="00554F01"/>
    <w:rsid w:val="005550CB"/>
    <w:rsid w:val="00555179"/>
    <w:rsid w:val="00555203"/>
    <w:rsid w:val="00555317"/>
    <w:rsid w:val="0055538F"/>
    <w:rsid w:val="0055540F"/>
    <w:rsid w:val="005554B1"/>
    <w:rsid w:val="0055584F"/>
    <w:rsid w:val="005558E2"/>
    <w:rsid w:val="005559B8"/>
    <w:rsid w:val="00555ACE"/>
    <w:rsid w:val="00555BF2"/>
    <w:rsid w:val="00555C22"/>
    <w:rsid w:val="00555D81"/>
    <w:rsid w:val="00555D9B"/>
    <w:rsid w:val="0055604C"/>
    <w:rsid w:val="005560DE"/>
    <w:rsid w:val="0055634F"/>
    <w:rsid w:val="0055645D"/>
    <w:rsid w:val="005564F8"/>
    <w:rsid w:val="005565A8"/>
    <w:rsid w:val="00556800"/>
    <w:rsid w:val="0055682F"/>
    <w:rsid w:val="00557050"/>
    <w:rsid w:val="005571A8"/>
    <w:rsid w:val="00557395"/>
    <w:rsid w:val="005577C7"/>
    <w:rsid w:val="00557854"/>
    <w:rsid w:val="00557947"/>
    <w:rsid w:val="005579CD"/>
    <w:rsid w:val="00557A28"/>
    <w:rsid w:val="00557AA6"/>
    <w:rsid w:val="00557ABB"/>
    <w:rsid w:val="00557BB2"/>
    <w:rsid w:val="00557DCF"/>
    <w:rsid w:val="00557E17"/>
    <w:rsid w:val="00557E83"/>
    <w:rsid w:val="00557EE0"/>
    <w:rsid w:val="00557EE2"/>
    <w:rsid w:val="00560090"/>
    <w:rsid w:val="0056009D"/>
    <w:rsid w:val="00560359"/>
    <w:rsid w:val="005603F9"/>
    <w:rsid w:val="00560433"/>
    <w:rsid w:val="00560540"/>
    <w:rsid w:val="00560A4E"/>
    <w:rsid w:val="00560B43"/>
    <w:rsid w:val="00560C3E"/>
    <w:rsid w:val="00560D5E"/>
    <w:rsid w:val="00561121"/>
    <w:rsid w:val="0056157B"/>
    <w:rsid w:val="00561591"/>
    <w:rsid w:val="00561609"/>
    <w:rsid w:val="0056175F"/>
    <w:rsid w:val="00561818"/>
    <w:rsid w:val="00561940"/>
    <w:rsid w:val="00561BD2"/>
    <w:rsid w:val="00561E5D"/>
    <w:rsid w:val="00561F93"/>
    <w:rsid w:val="0056229B"/>
    <w:rsid w:val="005624D4"/>
    <w:rsid w:val="0056250B"/>
    <w:rsid w:val="00562565"/>
    <w:rsid w:val="005625AC"/>
    <w:rsid w:val="005625E9"/>
    <w:rsid w:val="005627D0"/>
    <w:rsid w:val="00562A5C"/>
    <w:rsid w:val="00562B74"/>
    <w:rsid w:val="00562C7D"/>
    <w:rsid w:val="00562D57"/>
    <w:rsid w:val="005633BE"/>
    <w:rsid w:val="00563445"/>
    <w:rsid w:val="00563456"/>
    <w:rsid w:val="00563583"/>
    <w:rsid w:val="00563B64"/>
    <w:rsid w:val="00563FAB"/>
    <w:rsid w:val="00563FC1"/>
    <w:rsid w:val="005640FC"/>
    <w:rsid w:val="00564226"/>
    <w:rsid w:val="0056426E"/>
    <w:rsid w:val="00564298"/>
    <w:rsid w:val="00564357"/>
    <w:rsid w:val="00564397"/>
    <w:rsid w:val="00564453"/>
    <w:rsid w:val="00564599"/>
    <w:rsid w:val="00564702"/>
    <w:rsid w:val="0056471F"/>
    <w:rsid w:val="00564C85"/>
    <w:rsid w:val="00564C8C"/>
    <w:rsid w:val="00564CAE"/>
    <w:rsid w:val="00564EE6"/>
    <w:rsid w:val="005652C2"/>
    <w:rsid w:val="005652DF"/>
    <w:rsid w:val="00565605"/>
    <w:rsid w:val="005657D1"/>
    <w:rsid w:val="00565B05"/>
    <w:rsid w:val="00565B6A"/>
    <w:rsid w:val="00565BE6"/>
    <w:rsid w:val="00565D46"/>
    <w:rsid w:val="00565DA2"/>
    <w:rsid w:val="00565F5D"/>
    <w:rsid w:val="00565FD5"/>
    <w:rsid w:val="00566042"/>
    <w:rsid w:val="005661A1"/>
    <w:rsid w:val="00566263"/>
    <w:rsid w:val="0056658C"/>
    <w:rsid w:val="005666A0"/>
    <w:rsid w:val="00566894"/>
    <w:rsid w:val="005669EE"/>
    <w:rsid w:val="00566A6D"/>
    <w:rsid w:val="00566B21"/>
    <w:rsid w:val="00566C1E"/>
    <w:rsid w:val="00566EA4"/>
    <w:rsid w:val="00566FCA"/>
    <w:rsid w:val="00566FF7"/>
    <w:rsid w:val="0056713A"/>
    <w:rsid w:val="00567443"/>
    <w:rsid w:val="0056757C"/>
    <w:rsid w:val="005676B0"/>
    <w:rsid w:val="005676B3"/>
    <w:rsid w:val="005677FC"/>
    <w:rsid w:val="005678A9"/>
    <w:rsid w:val="00567977"/>
    <w:rsid w:val="00567B50"/>
    <w:rsid w:val="00567BC2"/>
    <w:rsid w:val="00567CF5"/>
    <w:rsid w:val="00567DFF"/>
    <w:rsid w:val="00570148"/>
    <w:rsid w:val="005703FE"/>
    <w:rsid w:val="0057077E"/>
    <w:rsid w:val="005707EB"/>
    <w:rsid w:val="005709CE"/>
    <w:rsid w:val="00570B32"/>
    <w:rsid w:val="00570C0A"/>
    <w:rsid w:val="00570C25"/>
    <w:rsid w:val="00570C82"/>
    <w:rsid w:val="00570CB7"/>
    <w:rsid w:val="00570CE6"/>
    <w:rsid w:val="00570D85"/>
    <w:rsid w:val="00570FC5"/>
    <w:rsid w:val="00570FC8"/>
    <w:rsid w:val="00571003"/>
    <w:rsid w:val="00571143"/>
    <w:rsid w:val="0057133D"/>
    <w:rsid w:val="00571606"/>
    <w:rsid w:val="00571887"/>
    <w:rsid w:val="005719C1"/>
    <w:rsid w:val="00571B81"/>
    <w:rsid w:val="00571EBE"/>
    <w:rsid w:val="00571F50"/>
    <w:rsid w:val="00571FEE"/>
    <w:rsid w:val="005723D4"/>
    <w:rsid w:val="005724BC"/>
    <w:rsid w:val="00572518"/>
    <w:rsid w:val="0057258B"/>
    <w:rsid w:val="005726DC"/>
    <w:rsid w:val="005726E4"/>
    <w:rsid w:val="0057293E"/>
    <w:rsid w:val="00572A8E"/>
    <w:rsid w:val="00572A9C"/>
    <w:rsid w:val="00572D57"/>
    <w:rsid w:val="005730C2"/>
    <w:rsid w:val="00573324"/>
    <w:rsid w:val="005734EB"/>
    <w:rsid w:val="005736FD"/>
    <w:rsid w:val="00573810"/>
    <w:rsid w:val="005738AE"/>
    <w:rsid w:val="00573CD0"/>
    <w:rsid w:val="00573CD6"/>
    <w:rsid w:val="00573E75"/>
    <w:rsid w:val="00573FCA"/>
    <w:rsid w:val="005740F5"/>
    <w:rsid w:val="00574178"/>
    <w:rsid w:val="005742E1"/>
    <w:rsid w:val="005743DD"/>
    <w:rsid w:val="0057458F"/>
    <w:rsid w:val="0057481D"/>
    <w:rsid w:val="00574832"/>
    <w:rsid w:val="005748D5"/>
    <w:rsid w:val="00574A69"/>
    <w:rsid w:val="00574A9C"/>
    <w:rsid w:val="00574BA6"/>
    <w:rsid w:val="00574FD5"/>
    <w:rsid w:val="00575081"/>
    <w:rsid w:val="0057516E"/>
    <w:rsid w:val="005751B6"/>
    <w:rsid w:val="005752CB"/>
    <w:rsid w:val="005752EC"/>
    <w:rsid w:val="005757B7"/>
    <w:rsid w:val="005757D9"/>
    <w:rsid w:val="0057593C"/>
    <w:rsid w:val="00575992"/>
    <w:rsid w:val="00575AE7"/>
    <w:rsid w:val="00575CB9"/>
    <w:rsid w:val="00575E1E"/>
    <w:rsid w:val="005763BD"/>
    <w:rsid w:val="0057667A"/>
    <w:rsid w:val="00576A17"/>
    <w:rsid w:val="00576AC5"/>
    <w:rsid w:val="00576C4E"/>
    <w:rsid w:val="00576C66"/>
    <w:rsid w:val="00576DCC"/>
    <w:rsid w:val="00576E82"/>
    <w:rsid w:val="00576E8F"/>
    <w:rsid w:val="005772D0"/>
    <w:rsid w:val="005772F0"/>
    <w:rsid w:val="0057739F"/>
    <w:rsid w:val="005773B7"/>
    <w:rsid w:val="005775C2"/>
    <w:rsid w:val="00577929"/>
    <w:rsid w:val="00577963"/>
    <w:rsid w:val="00577DC1"/>
    <w:rsid w:val="00577DEF"/>
    <w:rsid w:val="00577ECB"/>
    <w:rsid w:val="0058005B"/>
    <w:rsid w:val="0058013D"/>
    <w:rsid w:val="0058033E"/>
    <w:rsid w:val="0058069D"/>
    <w:rsid w:val="005806C2"/>
    <w:rsid w:val="0058092F"/>
    <w:rsid w:val="00580988"/>
    <w:rsid w:val="00580BFD"/>
    <w:rsid w:val="0058103C"/>
    <w:rsid w:val="0058110A"/>
    <w:rsid w:val="00581197"/>
    <w:rsid w:val="0058121A"/>
    <w:rsid w:val="0058130C"/>
    <w:rsid w:val="005814FE"/>
    <w:rsid w:val="00581538"/>
    <w:rsid w:val="00581715"/>
    <w:rsid w:val="00581A8C"/>
    <w:rsid w:val="00581AEA"/>
    <w:rsid w:val="00581AF7"/>
    <w:rsid w:val="00581D11"/>
    <w:rsid w:val="00581D43"/>
    <w:rsid w:val="00581E25"/>
    <w:rsid w:val="00581E69"/>
    <w:rsid w:val="00581F8B"/>
    <w:rsid w:val="0058209C"/>
    <w:rsid w:val="00582115"/>
    <w:rsid w:val="00582197"/>
    <w:rsid w:val="00582298"/>
    <w:rsid w:val="005825D1"/>
    <w:rsid w:val="00582777"/>
    <w:rsid w:val="005827A1"/>
    <w:rsid w:val="0058280A"/>
    <w:rsid w:val="0058298A"/>
    <w:rsid w:val="00582C87"/>
    <w:rsid w:val="0058318B"/>
    <w:rsid w:val="00583315"/>
    <w:rsid w:val="00583355"/>
    <w:rsid w:val="005836B0"/>
    <w:rsid w:val="005838C8"/>
    <w:rsid w:val="00583993"/>
    <w:rsid w:val="00583A4B"/>
    <w:rsid w:val="00583B4B"/>
    <w:rsid w:val="00583C75"/>
    <w:rsid w:val="00583ECF"/>
    <w:rsid w:val="00583EE4"/>
    <w:rsid w:val="00583F07"/>
    <w:rsid w:val="00583F62"/>
    <w:rsid w:val="00583F7C"/>
    <w:rsid w:val="00584227"/>
    <w:rsid w:val="00584241"/>
    <w:rsid w:val="00584273"/>
    <w:rsid w:val="00584307"/>
    <w:rsid w:val="0058438F"/>
    <w:rsid w:val="005843DB"/>
    <w:rsid w:val="00584468"/>
    <w:rsid w:val="00584486"/>
    <w:rsid w:val="005847C4"/>
    <w:rsid w:val="00584A77"/>
    <w:rsid w:val="00584B99"/>
    <w:rsid w:val="00584BA3"/>
    <w:rsid w:val="00584E63"/>
    <w:rsid w:val="00584FD9"/>
    <w:rsid w:val="005850A3"/>
    <w:rsid w:val="00585593"/>
    <w:rsid w:val="00585631"/>
    <w:rsid w:val="0058578C"/>
    <w:rsid w:val="005858C5"/>
    <w:rsid w:val="0058590F"/>
    <w:rsid w:val="00585B0C"/>
    <w:rsid w:val="00585B9B"/>
    <w:rsid w:val="00585C03"/>
    <w:rsid w:val="00585CBC"/>
    <w:rsid w:val="00585DA8"/>
    <w:rsid w:val="00585F31"/>
    <w:rsid w:val="00586042"/>
    <w:rsid w:val="005860DD"/>
    <w:rsid w:val="0058622C"/>
    <w:rsid w:val="0058638E"/>
    <w:rsid w:val="0058660D"/>
    <w:rsid w:val="0058663E"/>
    <w:rsid w:val="005866F1"/>
    <w:rsid w:val="0058670B"/>
    <w:rsid w:val="00586929"/>
    <w:rsid w:val="0058696A"/>
    <w:rsid w:val="00586AA2"/>
    <w:rsid w:val="00586B1F"/>
    <w:rsid w:val="005870FC"/>
    <w:rsid w:val="00587109"/>
    <w:rsid w:val="00587149"/>
    <w:rsid w:val="00587205"/>
    <w:rsid w:val="005873F2"/>
    <w:rsid w:val="00587402"/>
    <w:rsid w:val="00587493"/>
    <w:rsid w:val="0058762C"/>
    <w:rsid w:val="00587715"/>
    <w:rsid w:val="00587768"/>
    <w:rsid w:val="00587AF4"/>
    <w:rsid w:val="00587B38"/>
    <w:rsid w:val="00587BB9"/>
    <w:rsid w:val="00587CDA"/>
    <w:rsid w:val="00587CE7"/>
    <w:rsid w:val="00587CE9"/>
    <w:rsid w:val="00587CED"/>
    <w:rsid w:val="00587D30"/>
    <w:rsid w:val="00587E32"/>
    <w:rsid w:val="00587F77"/>
    <w:rsid w:val="005902AB"/>
    <w:rsid w:val="00590339"/>
    <w:rsid w:val="005905FC"/>
    <w:rsid w:val="005906B8"/>
    <w:rsid w:val="005907D9"/>
    <w:rsid w:val="005907EF"/>
    <w:rsid w:val="00590A52"/>
    <w:rsid w:val="00590D36"/>
    <w:rsid w:val="00590E4D"/>
    <w:rsid w:val="00590E7E"/>
    <w:rsid w:val="00590EE2"/>
    <w:rsid w:val="00590F70"/>
    <w:rsid w:val="0059124B"/>
    <w:rsid w:val="00591251"/>
    <w:rsid w:val="00591321"/>
    <w:rsid w:val="0059137D"/>
    <w:rsid w:val="005913AB"/>
    <w:rsid w:val="005914BC"/>
    <w:rsid w:val="0059157C"/>
    <w:rsid w:val="005915A0"/>
    <w:rsid w:val="005915D9"/>
    <w:rsid w:val="005916E0"/>
    <w:rsid w:val="005916ED"/>
    <w:rsid w:val="00591AE9"/>
    <w:rsid w:val="00591BAF"/>
    <w:rsid w:val="00591C6E"/>
    <w:rsid w:val="00591E13"/>
    <w:rsid w:val="00592011"/>
    <w:rsid w:val="005920D2"/>
    <w:rsid w:val="00592185"/>
    <w:rsid w:val="00592199"/>
    <w:rsid w:val="005921BC"/>
    <w:rsid w:val="005922C8"/>
    <w:rsid w:val="005922DA"/>
    <w:rsid w:val="00592349"/>
    <w:rsid w:val="005923F0"/>
    <w:rsid w:val="005924C5"/>
    <w:rsid w:val="005924E1"/>
    <w:rsid w:val="0059250F"/>
    <w:rsid w:val="005929C0"/>
    <w:rsid w:val="00592CCD"/>
    <w:rsid w:val="00592CE6"/>
    <w:rsid w:val="00592E0B"/>
    <w:rsid w:val="00592E7F"/>
    <w:rsid w:val="00592EC4"/>
    <w:rsid w:val="005930CC"/>
    <w:rsid w:val="005930FB"/>
    <w:rsid w:val="0059313B"/>
    <w:rsid w:val="00593230"/>
    <w:rsid w:val="005932A3"/>
    <w:rsid w:val="005932BA"/>
    <w:rsid w:val="005932D2"/>
    <w:rsid w:val="005936F2"/>
    <w:rsid w:val="0059388C"/>
    <w:rsid w:val="005938A0"/>
    <w:rsid w:val="0059395D"/>
    <w:rsid w:val="005939B3"/>
    <w:rsid w:val="00593A1C"/>
    <w:rsid w:val="00593B01"/>
    <w:rsid w:val="00593EB5"/>
    <w:rsid w:val="00593FD5"/>
    <w:rsid w:val="0059404F"/>
    <w:rsid w:val="005942FB"/>
    <w:rsid w:val="00594473"/>
    <w:rsid w:val="005945AD"/>
    <w:rsid w:val="005946B8"/>
    <w:rsid w:val="005946E9"/>
    <w:rsid w:val="00594890"/>
    <w:rsid w:val="00594991"/>
    <w:rsid w:val="005949EE"/>
    <w:rsid w:val="00594C0D"/>
    <w:rsid w:val="00594FFB"/>
    <w:rsid w:val="0059549D"/>
    <w:rsid w:val="00595753"/>
    <w:rsid w:val="00595764"/>
    <w:rsid w:val="005958BB"/>
    <w:rsid w:val="00595A4B"/>
    <w:rsid w:val="00595C24"/>
    <w:rsid w:val="00595E28"/>
    <w:rsid w:val="00595E9F"/>
    <w:rsid w:val="005960B9"/>
    <w:rsid w:val="005966D4"/>
    <w:rsid w:val="0059670C"/>
    <w:rsid w:val="0059685A"/>
    <w:rsid w:val="0059686F"/>
    <w:rsid w:val="00596BD9"/>
    <w:rsid w:val="005970D2"/>
    <w:rsid w:val="005971D6"/>
    <w:rsid w:val="00597245"/>
    <w:rsid w:val="0059751C"/>
    <w:rsid w:val="005975F6"/>
    <w:rsid w:val="00597622"/>
    <w:rsid w:val="0059797C"/>
    <w:rsid w:val="00597BC1"/>
    <w:rsid w:val="00597C18"/>
    <w:rsid w:val="00597E18"/>
    <w:rsid w:val="00597EF2"/>
    <w:rsid w:val="00597F49"/>
    <w:rsid w:val="005A01B6"/>
    <w:rsid w:val="005A0264"/>
    <w:rsid w:val="005A028F"/>
    <w:rsid w:val="005A0360"/>
    <w:rsid w:val="005A041E"/>
    <w:rsid w:val="005A04EC"/>
    <w:rsid w:val="005A0655"/>
    <w:rsid w:val="005A074C"/>
    <w:rsid w:val="005A0910"/>
    <w:rsid w:val="005A09FE"/>
    <w:rsid w:val="005A0A6B"/>
    <w:rsid w:val="005A0A99"/>
    <w:rsid w:val="005A0EB9"/>
    <w:rsid w:val="005A0EDE"/>
    <w:rsid w:val="005A0F19"/>
    <w:rsid w:val="005A0FC0"/>
    <w:rsid w:val="005A1162"/>
    <w:rsid w:val="005A119A"/>
    <w:rsid w:val="005A126A"/>
    <w:rsid w:val="005A12D6"/>
    <w:rsid w:val="005A131E"/>
    <w:rsid w:val="005A15B8"/>
    <w:rsid w:val="005A1631"/>
    <w:rsid w:val="005A19AD"/>
    <w:rsid w:val="005A1B89"/>
    <w:rsid w:val="005A1BFD"/>
    <w:rsid w:val="005A1C71"/>
    <w:rsid w:val="005A1D95"/>
    <w:rsid w:val="005A23F7"/>
    <w:rsid w:val="005A26C9"/>
    <w:rsid w:val="005A27E7"/>
    <w:rsid w:val="005A2848"/>
    <w:rsid w:val="005A2B0B"/>
    <w:rsid w:val="005A2B37"/>
    <w:rsid w:val="005A2C4F"/>
    <w:rsid w:val="005A2CF4"/>
    <w:rsid w:val="005A2DE8"/>
    <w:rsid w:val="005A2F48"/>
    <w:rsid w:val="005A2FD0"/>
    <w:rsid w:val="005A3140"/>
    <w:rsid w:val="005A318A"/>
    <w:rsid w:val="005A3253"/>
    <w:rsid w:val="005A32FE"/>
    <w:rsid w:val="005A3336"/>
    <w:rsid w:val="005A360D"/>
    <w:rsid w:val="005A3679"/>
    <w:rsid w:val="005A3848"/>
    <w:rsid w:val="005A3AEA"/>
    <w:rsid w:val="005A3BB3"/>
    <w:rsid w:val="005A3CEB"/>
    <w:rsid w:val="005A3D07"/>
    <w:rsid w:val="005A4393"/>
    <w:rsid w:val="005A45A0"/>
    <w:rsid w:val="005A47B0"/>
    <w:rsid w:val="005A48A1"/>
    <w:rsid w:val="005A48AB"/>
    <w:rsid w:val="005A48BD"/>
    <w:rsid w:val="005A4BE8"/>
    <w:rsid w:val="005A4BF8"/>
    <w:rsid w:val="005A4D63"/>
    <w:rsid w:val="005A50E9"/>
    <w:rsid w:val="005A5247"/>
    <w:rsid w:val="005A52AE"/>
    <w:rsid w:val="005A5472"/>
    <w:rsid w:val="005A55A1"/>
    <w:rsid w:val="005A5677"/>
    <w:rsid w:val="005A57BD"/>
    <w:rsid w:val="005A57CF"/>
    <w:rsid w:val="005A59A9"/>
    <w:rsid w:val="005A5B65"/>
    <w:rsid w:val="005A5C16"/>
    <w:rsid w:val="005A5DB3"/>
    <w:rsid w:val="005A603B"/>
    <w:rsid w:val="005A6296"/>
    <w:rsid w:val="005A673E"/>
    <w:rsid w:val="005A67EF"/>
    <w:rsid w:val="005A692A"/>
    <w:rsid w:val="005A69EE"/>
    <w:rsid w:val="005A6A47"/>
    <w:rsid w:val="005A6AA9"/>
    <w:rsid w:val="005A6C30"/>
    <w:rsid w:val="005A7046"/>
    <w:rsid w:val="005A70AB"/>
    <w:rsid w:val="005A70E5"/>
    <w:rsid w:val="005A72BE"/>
    <w:rsid w:val="005A73E5"/>
    <w:rsid w:val="005A7502"/>
    <w:rsid w:val="005A7670"/>
    <w:rsid w:val="005A76B1"/>
    <w:rsid w:val="005A7770"/>
    <w:rsid w:val="005A77BF"/>
    <w:rsid w:val="005A794C"/>
    <w:rsid w:val="005A79BD"/>
    <w:rsid w:val="005A7ACB"/>
    <w:rsid w:val="005A7EB2"/>
    <w:rsid w:val="005B00FE"/>
    <w:rsid w:val="005B0141"/>
    <w:rsid w:val="005B0191"/>
    <w:rsid w:val="005B01EB"/>
    <w:rsid w:val="005B03B7"/>
    <w:rsid w:val="005B040F"/>
    <w:rsid w:val="005B0488"/>
    <w:rsid w:val="005B0654"/>
    <w:rsid w:val="005B0B37"/>
    <w:rsid w:val="005B0B80"/>
    <w:rsid w:val="005B0C21"/>
    <w:rsid w:val="005B0CCD"/>
    <w:rsid w:val="005B0CD6"/>
    <w:rsid w:val="005B0CEE"/>
    <w:rsid w:val="005B0D41"/>
    <w:rsid w:val="005B0DFD"/>
    <w:rsid w:val="005B0F01"/>
    <w:rsid w:val="005B0F68"/>
    <w:rsid w:val="005B103C"/>
    <w:rsid w:val="005B10DD"/>
    <w:rsid w:val="005B11C2"/>
    <w:rsid w:val="005B11DC"/>
    <w:rsid w:val="005B1821"/>
    <w:rsid w:val="005B1918"/>
    <w:rsid w:val="005B1A5D"/>
    <w:rsid w:val="005B1D03"/>
    <w:rsid w:val="005B1D61"/>
    <w:rsid w:val="005B1EF3"/>
    <w:rsid w:val="005B2201"/>
    <w:rsid w:val="005B2208"/>
    <w:rsid w:val="005B22BF"/>
    <w:rsid w:val="005B259E"/>
    <w:rsid w:val="005B26B1"/>
    <w:rsid w:val="005B2982"/>
    <w:rsid w:val="005B29A2"/>
    <w:rsid w:val="005B2BA1"/>
    <w:rsid w:val="005B2C4F"/>
    <w:rsid w:val="005B2E23"/>
    <w:rsid w:val="005B304A"/>
    <w:rsid w:val="005B3094"/>
    <w:rsid w:val="005B3208"/>
    <w:rsid w:val="005B3384"/>
    <w:rsid w:val="005B34DB"/>
    <w:rsid w:val="005B35EA"/>
    <w:rsid w:val="005B38AF"/>
    <w:rsid w:val="005B38E0"/>
    <w:rsid w:val="005B3B55"/>
    <w:rsid w:val="005B3CCF"/>
    <w:rsid w:val="005B3CD8"/>
    <w:rsid w:val="005B3E0F"/>
    <w:rsid w:val="005B3E27"/>
    <w:rsid w:val="005B3ECA"/>
    <w:rsid w:val="005B4085"/>
    <w:rsid w:val="005B4197"/>
    <w:rsid w:val="005B42A9"/>
    <w:rsid w:val="005B42B2"/>
    <w:rsid w:val="005B42FD"/>
    <w:rsid w:val="005B4358"/>
    <w:rsid w:val="005B437C"/>
    <w:rsid w:val="005B4539"/>
    <w:rsid w:val="005B4603"/>
    <w:rsid w:val="005B460A"/>
    <w:rsid w:val="005B48B7"/>
    <w:rsid w:val="005B48BC"/>
    <w:rsid w:val="005B49AA"/>
    <w:rsid w:val="005B4A5F"/>
    <w:rsid w:val="005B4C0C"/>
    <w:rsid w:val="005B4E2C"/>
    <w:rsid w:val="005B4E53"/>
    <w:rsid w:val="005B4E93"/>
    <w:rsid w:val="005B4ED1"/>
    <w:rsid w:val="005B500B"/>
    <w:rsid w:val="005B501F"/>
    <w:rsid w:val="005B505F"/>
    <w:rsid w:val="005B50AE"/>
    <w:rsid w:val="005B51A7"/>
    <w:rsid w:val="005B5250"/>
    <w:rsid w:val="005B5342"/>
    <w:rsid w:val="005B5364"/>
    <w:rsid w:val="005B54FF"/>
    <w:rsid w:val="005B5610"/>
    <w:rsid w:val="005B5635"/>
    <w:rsid w:val="005B5832"/>
    <w:rsid w:val="005B5BB3"/>
    <w:rsid w:val="005B5D41"/>
    <w:rsid w:val="005B5FAB"/>
    <w:rsid w:val="005B60CD"/>
    <w:rsid w:val="005B6211"/>
    <w:rsid w:val="005B6216"/>
    <w:rsid w:val="005B6222"/>
    <w:rsid w:val="005B6250"/>
    <w:rsid w:val="005B62B9"/>
    <w:rsid w:val="005B64AB"/>
    <w:rsid w:val="005B65CC"/>
    <w:rsid w:val="005B65EA"/>
    <w:rsid w:val="005B693F"/>
    <w:rsid w:val="005B69D0"/>
    <w:rsid w:val="005B6B8A"/>
    <w:rsid w:val="005B6E7F"/>
    <w:rsid w:val="005B6FF4"/>
    <w:rsid w:val="005B744F"/>
    <w:rsid w:val="005B7614"/>
    <w:rsid w:val="005B762E"/>
    <w:rsid w:val="005B766A"/>
    <w:rsid w:val="005B7D6C"/>
    <w:rsid w:val="005B7DD7"/>
    <w:rsid w:val="005B7E61"/>
    <w:rsid w:val="005B7EFE"/>
    <w:rsid w:val="005B7FCE"/>
    <w:rsid w:val="005B7FDF"/>
    <w:rsid w:val="005C012A"/>
    <w:rsid w:val="005C0167"/>
    <w:rsid w:val="005C0197"/>
    <w:rsid w:val="005C021E"/>
    <w:rsid w:val="005C0333"/>
    <w:rsid w:val="005C03D8"/>
    <w:rsid w:val="005C040F"/>
    <w:rsid w:val="005C075C"/>
    <w:rsid w:val="005C08D7"/>
    <w:rsid w:val="005C0921"/>
    <w:rsid w:val="005C0A69"/>
    <w:rsid w:val="005C0B60"/>
    <w:rsid w:val="005C0C15"/>
    <w:rsid w:val="005C0D5F"/>
    <w:rsid w:val="005C0EE7"/>
    <w:rsid w:val="005C133A"/>
    <w:rsid w:val="005C1430"/>
    <w:rsid w:val="005C1505"/>
    <w:rsid w:val="005C15E6"/>
    <w:rsid w:val="005C1655"/>
    <w:rsid w:val="005C1680"/>
    <w:rsid w:val="005C169A"/>
    <w:rsid w:val="005C17B0"/>
    <w:rsid w:val="005C1831"/>
    <w:rsid w:val="005C1956"/>
    <w:rsid w:val="005C1AAB"/>
    <w:rsid w:val="005C1B5D"/>
    <w:rsid w:val="005C1CC0"/>
    <w:rsid w:val="005C1E2C"/>
    <w:rsid w:val="005C1E8B"/>
    <w:rsid w:val="005C20FD"/>
    <w:rsid w:val="005C217F"/>
    <w:rsid w:val="005C21A1"/>
    <w:rsid w:val="005C230E"/>
    <w:rsid w:val="005C2355"/>
    <w:rsid w:val="005C2383"/>
    <w:rsid w:val="005C27C0"/>
    <w:rsid w:val="005C2A55"/>
    <w:rsid w:val="005C2A9F"/>
    <w:rsid w:val="005C2B48"/>
    <w:rsid w:val="005C2B60"/>
    <w:rsid w:val="005C2F1F"/>
    <w:rsid w:val="005C3150"/>
    <w:rsid w:val="005C31F5"/>
    <w:rsid w:val="005C3332"/>
    <w:rsid w:val="005C348E"/>
    <w:rsid w:val="005C3635"/>
    <w:rsid w:val="005C36DC"/>
    <w:rsid w:val="005C374F"/>
    <w:rsid w:val="005C375D"/>
    <w:rsid w:val="005C3957"/>
    <w:rsid w:val="005C39BE"/>
    <w:rsid w:val="005C3A8E"/>
    <w:rsid w:val="005C403B"/>
    <w:rsid w:val="005C40CE"/>
    <w:rsid w:val="005C41C8"/>
    <w:rsid w:val="005C4362"/>
    <w:rsid w:val="005C4433"/>
    <w:rsid w:val="005C45F0"/>
    <w:rsid w:val="005C475A"/>
    <w:rsid w:val="005C47E8"/>
    <w:rsid w:val="005C48C0"/>
    <w:rsid w:val="005C492B"/>
    <w:rsid w:val="005C4B06"/>
    <w:rsid w:val="005C4CF8"/>
    <w:rsid w:val="005C4DAC"/>
    <w:rsid w:val="005C4E00"/>
    <w:rsid w:val="005C4E93"/>
    <w:rsid w:val="005C4EAB"/>
    <w:rsid w:val="005C4F97"/>
    <w:rsid w:val="005C507D"/>
    <w:rsid w:val="005C5160"/>
    <w:rsid w:val="005C54EE"/>
    <w:rsid w:val="005C551B"/>
    <w:rsid w:val="005C554B"/>
    <w:rsid w:val="005C554D"/>
    <w:rsid w:val="005C56E6"/>
    <w:rsid w:val="005C57C1"/>
    <w:rsid w:val="005C591A"/>
    <w:rsid w:val="005C5BF1"/>
    <w:rsid w:val="005C5BF7"/>
    <w:rsid w:val="005C5C24"/>
    <w:rsid w:val="005C5C40"/>
    <w:rsid w:val="005C5CE8"/>
    <w:rsid w:val="005C5D69"/>
    <w:rsid w:val="005C5F06"/>
    <w:rsid w:val="005C5F45"/>
    <w:rsid w:val="005C5F98"/>
    <w:rsid w:val="005C6145"/>
    <w:rsid w:val="005C681D"/>
    <w:rsid w:val="005C69C5"/>
    <w:rsid w:val="005C6A62"/>
    <w:rsid w:val="005C6DD1"/>
    <w:rsid w:val="005C6EB2"/>
    <w:rsid w:val="005C7048"/>
    <w:rsid w:val="005C7050"/>
    <w:rsid w:val="005C7109"/>
    <w:rsid w:val="005C714B"/>
    <w:rsid w:val="005C737E"/>
    <w:rsid w:val="005C73E6"/>
    <w:rsid w:val="005C78E0"/>
    <w:rsid w:val="005C7A76"/>
    <w:rsid w:val="005C7D2B"/>
    <w:rsid w:val="005CD405"/>
    <w:rsid w:val="005D00C8"/>
    <w:rsid w:val="005D014F"/>
    <w:rsid w:val="005D01C3"/>
    <w:rsid w:val="005D01E9"/>
    <w:rsid w:val="005D039E"/>
    <w:rsid w:val="005D04A4"/>
    <w:rsid w:val="005D0565"/>
    <w:rsid w:val="005D0583"/>
    <w:rsid w:val="005D0749"/>
    <w:rsid w:val="005D0812"/>
    <w:rsid w:val="005D0AE5"/>
    <w:rsid w:val="005D0AF6"/>
    <w:rsid w:val="005D0B8C"/>
    <w:rsid w:val="005D0CF0"/>
    <w:rsid w:val="005D0ED3"/>
    <w:rsid w:val="005D0FF8"/>
    <w:rsid w:val="005D113A"/>
    <w:rsid w:val="005D131C"/>
    <w:rsid w:val="005D14D2"/>
    <w:rsid w:val="005D150E"/>
    <w:rsid w:val="005D159A"/>
    <w:rsid w:val="005D16CB"/>
    <w:rsid w:val="005D17C2"/>
    <w:rsid w:val="005D17C7"/>
    <w:rsid w:val="005D1858"/>
    <w:rsid w:val="005D1A71"/>
    <w:rsid w:val="005D1B09"/>
    <w:rsid w:val="005D1B54"/>
    <w:rsid w:val="005D1CB5"/>
    <w:rsid w:val="005D1DDC"/>
    <w:rsid w:val="005D1E4A"/>
    <w:rsid w:val="005D2061"/>
    <w:rsid w:val="005D2156"/>
    <w:rsid w:val="005D2201"/>
    <w:rsid w:val="005D231B"/>
    <w:rsid w:val="005D2566"/>
    <w:rsid w:val="005D25B7"/>
    <w:rsid w:val="005D2680"/>
    <w:rsid w:val="005D2AA4"/>
    <w:rsid w:val="005D2BE3"/>
    <w:rsid w:val="005D2D06"/>
    <w:rsid w:val="005D2EF7"/>
    <w:rsid w:val="005D2EFF"/>
    <w:rsid w:val="005D2FC6"/>
    <w:rsid w:val="005D3148"/>
    <w:rsid w:val="005D31A9"/>
    <w:rsid w:val="005D321D"/>
    <w:rsid w:val="005D3392"/>
    <w:rsid w:val="005D3528"/>
    <w:rsid w:val="005D3576"/>
    <w:rsid w:val="005D3634"/>
    <w:rsid w:val="005D36E4"/>
    <w:rsid w:val="005D37DC"/>
    <w:rsid w:val="005D37EC"/>
    <w:rsid w:val="005D38A6"/>
    <w:rsid w:val="005D3CCE"/>
    <w:rsid w:val="005D3D77"/>
    <w:rsid w:val="005D3E1E"/>
    <w:rsid w:val="005D4138"/>
    <w:rsid w:val="005D4194"/>
    <w:rsid w:val="005D42E3"/>
    <w:rsid w:val="005D45A0"/>
    <w:rsid w:val="005D462E"/>
    <w:rsid w:val="005D4948"/>
    <w:rsid w:val="005D49E7"/>
    <w:rsid w:val="005D4B95"/>
    <w:rsid w:val="005D4BD9"/>
    <w:rsid w:val="005D4DA8"/>
    <w:rsid w:val="005D4DB6"/>
    <w:rsid w:val="005D4EB4"/>
    <w:rsid w:val="005D4ED9"/>
    <w:rsid w:val="005D5529"/>
    <w:rsid w:val="005D55D1"/>
    <w:rsid w:val="005D5811"/>
    <w:rsid w:val="005D58CE"/>
    <w:rsid w:val="005D58F9"/>
    <w:rsid w:val="005D5C7A"/>
    <w:rsid w:val="005D6034"/>
    <w:rsid w:val="005D621C"/>
    <w:rsid w:val="005D6623"/>
    <w:rsid w:val="005D68B9"/>
    <w:rsid w:val="005D6AFB"/>
    <w:rsid w:val="005D6DC5"/>
    <w:rsid w:val="005D70AD"/>
    <w:rsid w:val="005D7117"/>
    <w:rsid w:val="005D715E"/>
    <w:rsid w:val="005D720B"/>
    <w:rsid w:val="005D7367"/>
    <w:rsid w:val="005D7377"/>
    <w:rsid w:val="005D746B"/>
    <w:rsid w:val="005D74E0"/>
    <w:rsid w:val="005D756D"/>
    <w:rsid w:val="005D7669"/>
    <w:rsid w:val="005D767F"/>
    <w:rsid w:val="005D779B"/>
    <w:rsid w:val="005D7A0B"/>
    <w:rsid w:val="005D7AD8"/>
    <w:rsid w:val="005D7C53"/>
    <w:rsid w:val="005D7F12"/>
    <w:rsid w:val="005E0182"/>
    <w:rsid w:val="005E03C1"/>
    <w:rsid w:val="005E05FF"/>
    <w:rsid w:val="005E06CF"/>
    <w:rsid w:val="005E08A4"/>
    <w:rsid w:val="005E0E56"/>
    <w:rsid w:val="005E0E7B"/>
    <w:rsid w:val="005E12B4"/>
    <w:rsid w:val="005E13EB"/>
    <w:rsid w:val="005E15A2"/>
    <w:rsid w:val="005E164E"/>
    <w:rsid w:val="005E1676"/>
    <w:rsid w:val="005E1706"/>
    <w:rsid w:val="005E1763"/>
    <w:rsid w:val="005E187C"/>
    <w:rsid w:val="005E1AFA"/>
    <w:rsid w:val="005E1B8D"/>
    <w:rsid w:val="005E1DB5"/>
    <w:rsid w:val="005E208D"/>
    <w:rsid w:val="005E2090"/>
    <w:rsid w:val="005E21D9"/>
    <w:rsid w:val="005E2233"/>
    <w:rsid w:val="005E2263"/>
    <w:rsid w:val="005E22DE"/>
    <w:rsid w:val="005E2620"/>
    <w:rsid w:val="005E288A"/>
    <w:rsid w:val="005E2B6D"/>
    <w:rsid w:val="005E2BF5"/>
    <w:rsid w:val="005E2C1D"/>
    <w:rsid w:val="005E2D9D"/>
    <w:rsid w:val="005E315E"/>
    <w:rsid w:val="005E319F"/>
    <w:rsid w:val="005E3285"/>
    <w:rsid w:val="005E35B1"/>
    <w:rsid w:val="005E3703"/>
    <w:rsid w:val="005E375B"/>
    <w:rsid w:val="005E37E0"/>
    <w:rsid w:val="005E38BB"/>
    <w:rsid w:val="005E3909"/>
    <w:rsid w:val="005E3B36"/>
    <w:rsid w:val="005E3B55"/>
    <w:rsid w:val="005E3C6D"/>
    <w:rsid w:val="005E3F31"/>
    <w:rsid w:val="005E3F3D"/>
    <w:rsid w:val="005E4066"/>
    <w:rsid w:val="005E40B8"/>
    <w:rsid w:val="005E41CB"/>
    <w:rsid w:val="005E41FD"/>
    <w:rsid w:val="005E4369"/>
    <w:rsid w:val="005E43DA"/>
    <w:rsid w:val="005E43E9"/>
    <w:rsid w:val="005E4407"/>
    <w:rsid w:val="005E4472"/>
    <w:rsid w:val="005E47C2"/>
    <w:rsid w:val="005E4907"/>
    <w:rsid w:val="005E4A92"/>
    <w:rsid w:val="005E4AAF"/>
    <w:rsid w:val="005E4D5C"/>
    <w:rsid w:val="005E4E4A"/>
    <w:rsid w:val="005E4E4B"/>
    <w:rsid w:val="005E4F5B"/>
    <w:rsid w:val="005E4FCE"/>
    <w:rsid w:val="005E5073"/>
    <w:rsid w:val="005E509D"/>
    <w:rsid w:val="005E5176"/>
    <w:rsid w:val="005E5220"/>
    <w:rsid w:val="005E52A2"/>
    <w:rsid w:val="005E5342"/>
    <w:rsid w:val="005E54FA"/>
    <w:rsid w:val="005E5606"/>
    <w:rsid w:val="005E560C"/>
    <w:rsid w:val="005E5612"/>
    <w:rsid w:val="005E5797"/>
    <w:rsid w:val="005E5D97"/>
    <w:rsid w:val="005E5E6C"/>
    <w:rsid w:val="005E5F14"/>
    <w:rsid w:val="005E6118"/>
    <w:rsid w:val="005E62A9"/>
    <w:rsid w:val="005E62EB"/>
    <w:rsid w:val="005E63A7"/>
    <w:rsid w:val="005E648F"/>
    <w:rsid w:val="005E652A"/>
    <w:rsid w:val="005E66D5"/>
    <w:rsid w:val="005E677E"/>
    <w:rsid w:val="005E692E"/>
    <w:rsid w:val="005E6BE4"/>
    <w:rsid w:val="005E6CAB"/>
    <w:rsid w:val="005E6D91"/>
    <w:rsid w:val="005E6EC7"/>
    <w:rsid w:val="005E6FD6"/>
    <w:rsid w:val="005E7073"/>
    <w:rsid w:val="005E716E"/>
    <w:rsid w:val="005E71AC"/>
    <w:rsid w:val="005E71C7"/>
    <w:rsid w:val="005E7252"/>
    <w:rsid w:val="005E7407"/>
    <w:rsid w:val="005E7568"/>
    <w:rsid w:val="005E75F1"/>
    <w:rsid w:val="005E7643"/>
    <w:rsid w:val="005E789C"/>
    <w:rsid w:val="005E7973"/>
    <w:rsid w:val="005E79B4"/>
    <w:rsid w:val="005E7C76"/>
    <w:rsid w:val="005E7DAA"/>
    <w:rsid w:val="005E7E56"/>
    <w:rsid w:val="005F01F9"/>
    <w:rsid w:val="005F0309"/>
    <w:rsid w:val="005F0342"/>
    <w:rsid w:val="005F03E2"/>
    <w:rsid w:val="005F049B"/>
    <w:rsid w:val="005F0901"/>
    <w:rsid w:val="005F0A69"/>
    <w:rsid w:val="005F0C65"/>
    <w:rsid w:val="005F0EB2"/>
    <w:rsid w:val="005F1130"/>
    <w:rsid w:val="005F1339"/>
    <w:rsid w:val="005F1455"/>
    <w:rsid w:val="005F1507"/>
    <w:rsid w:val="005F1723"/>
    <w:rsid w:val="005F186A"/>
    <w:rsid w:val="005F189E"/>
    <w:rsid w:val="005F1A7C"/>
    <w:rsid w:val="005F1C8D"/>
    <w:rsid w:val="005F1CA1"/>
    <w:rsid w:val="005F1E86"/>
    <w:rsid w:val="005F1FA2"/>
    <w:rsid w:val="005F20AC"/>
    <w:rsid w:val="005F20DC"/>
    <w:rsid w:val="005F22A1"/>
    <w:rsid w:val="005F22BC"/>
    <w:rsid w:val="005F239F"/>
    <w:rsid w:val="005F2525"/>
    <w:rsid w:val="005F2735"/>
    <w:rsid w:val="005F2793"/>
    <w:rsid w:val="005F2933"/>
    <w:rsid w:val="005F29EE"/>
    <w:rsid w:val="005F2BAC"/>
    <w:rsid w:val="005F2C88"/>
    <w:rsid w:val="005F2E89"/>
    <w:rsid w:val="005F303C"/>
    <w:rsid w:val="005F3239"/>
    <w:rsid w:val="005F32B9"/>
    <w:rsid w:val="005F35A2"/>
    <w:rsid w:val="005F36F4"/>
    <w:rsid w:val="005F3AFD"/>
    <w:rsid w:val="005F3C04"/>
    <w:rsid w:val="005F3CE3"/>
    <w:rsid w:val="005F42A0"/>
    <w:rsid w:val="005F432A"/>
    <w:rsid w:val="005F4563"/>
    <w:rsid w:val="005F46BE"/>
    <w:rsid w:val="005F4911"/>
    <w:rsid w:val="005F4BD4"/>
    <w:rsid w:val="005F4C21"/>
    <w:rsid w:val="005F4C4A"/>
    <w:rsid w:val="005F4C4C"/>
    <w:rsid w:val="005F4DBE"/>
    <w:rsid w:val="005F4E35"/>
    <w:rsid w:val="005F4F42"/>
    <w:rsid w:val="005F5048"/>
    <w:rsid w:val="005F519A"/>
    <w:rsid w:val="005F556A"/>
    <w:rsid w:val="005F584F"/>
    <w:rsid w:val="005F58F6"/>
    <w:rsid w:val="005F5A2B"/>
    <w:rsid w:val="005F5B41"/>
    <w:rsid w:val="005F6067"/>
    <w:rsid w:val="005F617D"/>
    <w:rsid w:val="005F61A8"/>
    <w:rsid w:val="005F61B7"/>
    <w:rsid w:val="005F62A7"/>
    <w:rsid w:val="005F6342"/>
    <w:rsid w:val="005F63BA"/>
    <w:rsid w:val="005F6848"/>
    <w:rsid w:val="005F6A69"/>
    <w:rsid w:val="005F6AAF"/>
    <w:rsid w:val="005F6C6F"/>
    <w:rsid w:val="005F6CF9"/>
    <w:rsid w:val="005F6D9B"/>
    <w:rsid w:val="005F6E93"/>
    <w:rsid w:val="005F6F0B"/>
    <w:rsid w:val="005F70D6"/>
    <w:rsid w:val="005F71AB"/>
    <w:rsid w:val="005F7371"/>
    <w:rsid w:val="005F7433"/>
    <w:rsid w:val="005F743A"/>
    <w:rsid w:val="005F743C"/>
    <w:rsid w:val="005F750B"/>
    <w:rsid w:val="005F7586"/>
    <w:rsid w:val="005F76D9"/>
    <w:rsid w:val="005F77A7"/>
    <w:rsid w:val="005F7843"/>
    <w:rsid w:val="005F7CCA"/>
    <w:rsid w:val="005F7D1F"/>
    <w:rsid w:val="005F7E6A"/>
    <w:rsid w:val="0060015C"/>
    <w:rsid w:val="00600A3F"/>
    <w:rsid w:val="00600B10"/>
    <w:rsid w:val="00600C8E"/>
    <w:rsid w:val="00600E4F"/>
    <w:rsid w:val="006010E3"/>
    <w:rsid w:val="006010E8"/>
    <w:rsid w:val="0060120C"/>
    <w:rsid w:val="006012D7"/>
    <w:rsid w:val="006015CF"/>
    <w:rsid w:val="00601A48"/>
    <w:rsid w:val="00601A85"/>
    <w:rsid w:val="00601B05"/>
    <w:rsid w:val="00601CEA"/>
    <w:rsid w:val="00601DE1"/>
    <w:rsid w:val="0060208A"/>
    <w:rsid w:val="00602109"/>
    <w:rsid w:val="00602232"/>
    <w:rsid w:val="00602438"/>
    <w:rsid w:val="0060247D"/>
    <w:rsid w:val="0060260D"/>
    <w:rsid w:val="006026C6"/>
    <w:rsid w:val="00602A14"/>
    <w:rsid w:val="00602A76"/>
    <w:rsid w:val="00602BD1"/>
    <w:rsid w:val="00602C14"/>
    <w:rsid w:val="00602DB7"/>
    <w:rsid w:val="00602E01"/>
    <w:rsid w:val="00602EC5"/>
    <w:rsid w:val="006030B0"/>
    <w:rsid w:val="00603241"/>
    <w:rsid w:val="006032F1"/>
    <w:rsid w:val="00603444"/>
    <w:rsid w:val="006034F7"/>
    <w:rsid w:val="00603701"/>
    <w:rsid w:val="006039E8"/>
    <w:rsid w:val="00603A0E"/>
    <w:rsid w:val="00603A89"/>
    <w:rsid w:val="00603AD8"/>
    <w:rsid w:val="00603BFF"/>
    <w:rsid w:val="00603D94"/>
    <w:rsid w:val="0060421B"/>
    <w:rsid w:val="006042FA"/>
    <w:rsid w:val="00604477"/>
    <w:rsid w:val="006044FB"/>
    <w:rsid w:val="00604510"/>
    <w:rsid w:val="00604574"/>
    <w:rsid w:val="006046EC"/>
    <w:rsid w:val="0060480F"/>
    <w:rsid w:val="00604935"/>
    <w:rsid w:val="006049A4"/>
    <w:rsid w:val="00604BB8"/>
    <w:rsid w:val="00604CF0"/>
    <w:rsid w:val="00604E06"/>
    <w:rsid w:val="0060505A"/>
    <w:rsid w:val="006050CE"/>
    <w:rsid w:val="00605109"/>
    <w:rsid w:val="00605186"/>
    <w:rsid w:val="0060519A"/>
    <w:rsid w:val="00605268"/>
    <w:rsid w:val="00605312"/>
    <w:rsid w:val="0060533F"/>
    <w:rsid w:val="00605424"/>
    <w:rsid w:val="00605440"/>
    <w:rsid w:val="00605504"/>
    <w:rsid w:val="00605624"/>
    <w:rsid w:val="0060592E"/>
    <w:rsid w:val="00605AE9"/>
    <w:rsid w:val="00605B3B"/>
    <w:rsid w:val="00605B6B"/>
    <w:rsid w:val="00605D8F"/>
    <w:rsid w:val="00606011"/>
    <w:rsid w:val="00606049"/>
    <w:rsid w:val="0060673C"/>
    <w:rsid w:val="0060684D"/>
    <w:rsid w:val="006068E7"/>
    <w:rsid w:val="0060692A"/>
    <w:rsid w:val="006069BA"/>
    <w:rsid w:val="00606A8F"/>
    <w:rsid w:val="00606BB6"/>
    <w:rsid w:val="00606D49"/>
    <w:rsid w:val="00606DF2"/>
    <w:rsid w:val="00606EF7"/>
    <w:rsid w:val="00606F8A"/>
    <w:rsid w:val="006071E9"/>
    <w:rsid w:val="00607315"/>
    <w:rsid w:val="0060754A"/>
    <w:rsid w:val="0060769A"/>
    <w:rsid w:val="006077F4"/>
    <w:rsid w:val="0060780F"/>
    <w:rsid w:val="00607828"/>
    <w:rsid w:val="00607930"/>
    <w:rsid w:val="006079F2"/>
    <w:rsid w:val="00607AB5"/>
    <w:rsid w:val="00607ACC"/>
    <w:rsid w:val="00607BA9"/>
    <w:rsid w:val="00607D0D"/>
    <w:rsid w:val="00607FF7"/>
    <w:rsid w:val="0061018A"/>
    <w:rsid w:val="0061025D"/>
    <w:rsid w:val="0061032A"/>
    <w:rsid w:val="006103C3"/>
    <w:rsid w:val="0061041A"/>
    <w:rsid w:val="006107C4"/>
    <w:rsid w:val="006107EA"/>
    <w:rsid w:val="0061084C"/>
    <w:rsid w:val="006109E1"/>
    <w:rsid w:val="00610C34"/>
    <w:rsid w:val="00610D3C"/>
    <w:rsid w:val="00610D79"/>
    <w:rsid w:val="00610D97"/>
    <w:rsid w:val="00610EA3"/>
    <w:rsid w:val="006111EF"/>
    <w:rsid w:val="006112AB"/>
    <w:rsid w:val="00611320"/>
    <w:rsid w:val="006117A0"/>
    <w:rsid w:val="006117AA"/>
    <w:rsid w:val="00611804"/>
    <w:rsid w:val="00611B11"/>
    <w:rsid w:val="00611B9C"/>
    <w:rsid w:val="00611C83"/>
    <w:rsid w:val="00611D70"/>
    <w:rsid w:val="00611D86"/>
    <w:rsid w:val="00611E7B"/>
    <w:rsid w:val="00611F6D"/>
    <w:rsid w:val="006120FC"/>
    <w:rsid w:val="006122EB"/>
    <w:rsid w:val="0061232A"/>
    <w:rsid w:val="00612558"/>
    <w:rsid w:val="006125C2"/>
    <w:rsid w:val="006129B3"/>
    <w:rsid w:val="00612D5A"/>
    <w:rsid w:val="00612F96"/>
    <w:rsid w:val="00612FE1"/>
    <w:rsid w:val="00613018"/>
    <w:rsid w:val="00613088"/>
    <w:rsid w:val="00613171"/>
    <w:rsid w:val="006131A3"/>
    <w:rsid w:val="006132B2"/>
    <w:rsid w:val="00613457"/>
    <w:rsid w:val="006135C3"/>
    <w:rsid w:val="006136A3"/>
    <w:rsid w:val="00613B0C"/>
    <w:rsid w:val="00613BC8"/>
    <w:rsid w:val="00613CBF"/>
    <w:rsid w:val="00613FEF"/>
    <w:rsid w:val="0061408B"/>
    <w:rsid w:val="0061411D"/>
    <w:rsid w:val="006145D7"/>
    <w:rsid w:val="0061474C"/>
    <w:rsid w:val="00614752"/>
    <w:rsid w:val="00614AE2"/>
    <w:rsid w:val="00614F5D"/>
    <w:rsid w:val="00615156"/>
    <w:rsid w:val="006151ED"/>
    <w:rsid w:val="00615294"/>
    <w:rsid w:val="006154C3"/>
    <w:rsid w:val="0061585E"/>
    <w:rsid w:val="006159E4"/>
    <w:rsid w:val="00615B48"/>
    <w:rsid w:val="00615DE8"/>
    <w:rsid w:val="00615EF2"/>
    <w:rsid w:val="00615F33"/>
    <w:rsid w:val="00616007"/>
    <w:rsid w:val="006161D9"/>
    <w:rsid w:val="00616575"/>
    <w:rsid w:val="0061659D"/>
    <w:rsid w:val="0061688C"/>
    <w:rsid w:val="00616E04"/>
    <w:rsid w:val="00616F85"/>
    <w:rsid w:val="00617176"/>
    <w:rsid w:val="00617392"/>
    <w:rsid w:val="006179A4"/>
    <w:rsid w:val="00617A30"/>
    <w:rsid w:val="00617CEC"/>
    <w:rsid w:val="00617E4B"/>
    <w:rsid w:val="00617E6F"/>
    <w:rsid w:val="00620057"/>
    <w:rsid w:val="00620086"/>
    <w:rsid w:val="006200A3"/>
    <w:rsid w:val="006200F7"/>
    <w:rsid w:val="00620144"/>
    <w:rsid w:val="00620238"/>
    <w:rsid w:val="006204B6"/>
    <w:rsid w:val="006204E8"/>
    <w:rsid w:val="00620683"/>
    <w:rsid w:val="006207B2"/>
    <w:rsid w:val="006208FE"/>
    <w:rsid w:val="00620A59"/>
    <w:rsid w:val="00620B75"/>
    <w:rsid w:val="00620BD5"/>
    <w:rsid w:val="00620E10"/>
    <w:rsid w:val="00620F3F"/>
    <w:rsid w:val="006210FF"/>
    <w:rsid w:val="0062118E"/>
    <w:rsid w:val="0062126A"/>
    <w:rsid w:val="0062147D"/>
    <w:rsid w:val="006214EF"/>
    <w:rsid w:val="00621505"/>
    <w:rsid w:val="00621625"/>
    <w:rsid w:val="0062171E"/>
    <w:rsid w:val="006217B8"/>
    <w:rsid w:val="0062190B"/>
    <w:rsid w:val="006219F1"/>
    <w:rsid w:val="00621C04"/>
    <w:rsid w:val="00621CC4"/>
    <w:rsid w:val="00621EC3"/>
    <w:rsid w:val="00621FB3"/>
    <w:rsid w:val="00621FE7"/>
    <w:rsid w:val="00622091"/>
    <w:rsid w:val="006223ED"/>
    <w:rsid w:val="0062246A"/>
    <w:rsid w:val="006227F0"/>
    <w:rsid w:val="00622818"/>
    <w:rsid w:val="0062283A"/>
    <w:rsid w:val="006229B0"/>
    <w:rsid w:val="006229C3"/>
    <w:rsid w:val="00622A6B"/>
    <w:rsid w:val="00622D63"/>
    <w:rsid w:val="006232A3"/>
    <w:rsid w:val="006233C6"/>
    <w:rsid w:val="00623405"/>
    <w:rsid w:val="0062348F"/>
    <w:rsid w:val="006234AF"/>
    <w:rsid w:val="006234F7"/>
    <w:rsid w:val="00623525"/>
    <w:rsid w:val="006235FD"/>
    <w:rsid w:val="0062388D"/>
    <w:rsid w:val="00623900"/>
    <w:rsid w:val="00623A7D"/>
    <w:rsid w:val="00623B40"/>
    <w:rsid w:val="00623B65"/>
    <w:rsid w:val="00623BB3"/>
    <w:rsid w:val="006240F1"/>
    <w:rsid w:val="006241C8"/>
    <w:rsid w:val="006242FB"/>
    <w:rsid w:val="006243C2"/>
    <w:rsid w:val="00624474"/>
    <w:rsid w:val="006246E8"/>
    <w:rsid w:val="006246F5"/>
    <w:rsid w:val="006246F7"/>
    <w:rsid w:val="006247FA"/>
    <w:rsid w:val="006249CD"/>
    <w:rsid w:val="00624AE0"/>
    <w:rsid w:val="00624DAB"/>
    <w:rsid w:val="00624E12"/>
    <w:rsid w:val="0062507A"/>
    <w:rsid w:val="0062513A"/>
    <w:rsid w:val="0062596B"/>
    <w:rsid w:val="00625C57"/>
    <w:rsid w:val="00625DBC"/>
    <w:rsid w:val="00625E46"/>
    <w:rsid w:val="00625F46"/>
    <w:rsid w:val="00626193"/>
    <w:rsid w:val="0062622F"/>
    <w:rsid w:val="0062626D"/>
    <w:rsid w:val="006262DB"/>
    <w:rsid w:val="006263B3"/>
    <w:rsid w:val="00626927"/>
    <w:rsid w:val="00626964"/>
    <w:rsid w:val="00626B3B"/>
    <w:rsid w:val="00626D0D"/>
    <w:rsid w:val="00626D6C"/>
    <w:rsid w:val="00626F36"/>
    <w:rsid w:val="006272CE"/>
    <w:rsid w:val="0062734C"/>
    <w:rsid w:val="00627405"/>
    <w:rsid w:val="006274F5"/>
    <w:rsid w:val="006277ED"/>
    <w:rsid w:val="006278E2"/>
    <w:rsid w:val="00627C7C"/>
    <w:rsid w:val="00627D1B"/>
    <w:rsid w:val="00627EDE"/>
    <w:rsid w:val="00630640"/>
    <w:rsid w:val="00630998"/>
    <w:rsid w:val="00630A29"/>
    <w:rsid w:val="00630C39"/>
    <w:rsid w:val="00630D16"/>
    <w:rsid w:val="00630E0F"/>
    <w:rsid w:val="00630E41"/>
    <w:rsid w:val="00630E70"/>
    <w:rsid w:val="00630F94"/>
    <w:rsid w:val="00630FB9"/>
    <w:rsid w:val="00630FE2"/>
    <w:rsid w:val="0063130A"/>
    <w:rsid w:val="00631399"/>
    <w:rsid w:val="006314AB"/>
    <w:rsid w:val="0063179D"/>
    <w:rsid w:val="00631801"/>
    <w:rsid w:val="00631841"/>
    <w:rsid w:val="00631848"/>
    <w:rsid w:val="00631AD2"/>
    <w:rsid w:val="00631D13"/>
    <w:rsid w:val="00631D7F"/>
    <w:rsid w:val="00631EB1"/>
    <w:rsid w:val="00631F1A"/>
    <w:rsid w:val="006321A7"/>
    <w:rsid w:val="00632203"/>
    <w:rsid w:val="0063231A"/>
    <w:rsid w:val="00632409"/>
    <w:rsid w:val="00632611"/>
    <w:rsid w:val="0063294F"/>
    <w:rsid w:val="00632E6F"/>
    <w:rsid w:val="00632EE6"/>
    <w:rsid w:val="00632EEF"/>
    <w:rsid w:val="00632F59"/>
    <w:rsid w:val="00632F74"/>
    <w:rsid w:val="00632FB1"/>
    <w:rsid w:val="00632FD6"/>
    <w:rsid w:val="0063330D"/>
    <w:rsid w:val="0063375A"/>
    <w:rsid w:val="0063387F"/>
    <w:rsid w:val="006338CF"/>
    <w:rsid w:val="006339FB"/>
    <w:rsid w:val="00633A48"/>
    <w:rsid w:val="00633D34"/>
    <w:rsid w:val="00633D6C"/>
    <w:rsid w:val="00634241"/>
    <w:rsid w:val="006342F6"/>
    <w:rsid w:val="006343CC"/>
    <w:rsid w:val="0063458D"/>
    <w:rsid w:val="006345A0"/>
    <w:rsid w:val="006348F9"/>
    <w:rsid w:val="0063496D"/>
    <w:rsid w:val="00634995"/>
    <w:rsid w:val="00634A49"/>
    <w:rsid w:val="00634AB4"/>
    <w:rsid w:val="00634B8C"/>
    <w:rsid w:val="00634DC5"/>
    <w:rsid w:val="00635135"/>
    <w:rsid w:val="0063546E"/>
    <w:rsid w:val="00635707"/>
    <w:rsid w:val="0063595C"/>
    <w:rsid w:val="006359B3"/>
    <w:rsid w:val="00635A48"/>
    <w:rsid w:val="00635A92"/>
    <w:rsid w:val="00635B48"/>
    <w:rsid w:val="00635C0A"/>
    <w:rsid w:val="00635C59"/>
    <w:rsid w:val="00635E81"/>
    <w:rsid w:val="00635FE6"/>
    <w:rsid w:val="0063606E"/>
    <w:rsid w:val="00636112"/>
    <w:rsid w:val="00636162"/>
    <w:rsid w:val="0063646A"/>
    <w:rsid w:val="00636A54"/>
    <w:rsid w:val="00636A9F"/>
    <w:rsid w:val="00636BB3"/>
    <w:rsid w:val="00636CD8"/>
    <w:rsid w:val="00636D55"/>
    <w:rsid w:val="00636E30"/>
    <w:rsid w:val="00636ED7"/>
    <w:rsid w:val="00636F61"/>
    <w:rsid w:val="00636FA9"/>
    <w:rsid w:val="00637212"/>
    <w:rsid w:val="00637278"/>
    <w:rsid w:val="006374BD"/>
    <w:rsid w:val="006377AE"/>
    <w:rsid w:val="0063792E"/>
    <w:rsid w:val="00637A0B"/>
    <w:rsid w:val="00637A29"/>
    <w:rsid w:val="00637AEC"/>
    <w:rsid w:val="00637B28"/>
    <w:rsid w:val="00637EB1"/>
    <w:rsid w:val="00637F5A"/>
    <w:rsid w:val="00640127"/>
    <w:rsid w:val="006402CE"/>
    <w:rsid w:val="0064030D"/>
    <w:rsid w:val="00640557"/>
    <w:rsid w:val="00640679"/>
    <w:rsid w:val="006408A8"/>
    <w:rsid w:val="00640A40"/>
    <w:rsid w:val="00640B9F"/>
    <w:rsid w:val="00640D47"/>
    <w:rsid w:val="00640D50"/>
    <w:rsid w:val="00640DA6"/>
    <w:rsid w:val="00640DEC"/>
    <w:rsid w:val="0064118E"/>
    <w:rsid w:val="00641341"/>
    <w:rsid w:val="00641612"/>
    <w:rsid w:val="006416B2"/>
    <w:rsid w:val="00641968"/>
    <w:rsid w:val="0064198D"/>
    <w:rsid w:val="00641A41"/>
    <w:rsid w:val="00641AC5"/>
    <w:rsid w:val="00641C9D"/>
    <w:rsid w:val="00641D20"/>
    <w:rsid w:val="006423B8"/>
    <w:rsid w:val="00642665"/>
    <w:rsid w:val="00642670"/>
    <w:rsid w:val="00642685"/>
    <w:rsid w:val="00642AB9"/>
    <w:rsid w:val="00642B11"/>
    <w:rsid w:val="00642C4B"/>
    <w:rsid w:val="00642D99"/>
    <w:rsid w:val="00642EBF"/>
    <w:rsid w:val="00642FA8"/>
    <w:rsid w:val="00642FE2"/>
    <w:rsid w:val="00643194"/>
    <w:rsid w:val="0064338C"/>
    <w:rsid w:val="00643414"/>
    <w:rsid w:val="00643568"/>
    <w:rsid w:val="00643635"/>
    <w:rsid w:val="006438E8"/>
    <w:rsid w:val="006439DF"/>
    <w:rsid w:val="00643A2A"/>
    <w:rsid w:val="00643BEC"/>
    <w:rsid w:val="00643DAD"/>
    <w:rsid w:val="00643E11"/>
    <w:rsid w:val="00643E54"/>
    <w:rsid w:val="00643EF1"/>
    <w:rsid w:val="00643F52"/>
    <w:rsid w:val="00643FA9"/>
    <w:rsid w:val="0064401A"/>
    <w:rsid w:val="00644080"/>
    <w:rsid w:val="0064413A"/>
    <w:rsid w:val="0064422B"/>
    <w:rsid w:val="00644278"/>
    <w:rsid w:val="0064427C"/>
    <w:rsid w:val="006444D8"/>
    <w:rsid w:val="00644839"/>
    <w:rsid w:val="0064494C"/>
    <w:rsid w:val="00644C76"/>
    <w:rsid w:val="00644CA1"/>
    <w:rsid w:val="00644CAF"/>
    <w:rsid w:val="00644E42"/>
    <w:rsid w:val="00644EAA"/>
    <w:rsid w:val="00644F0D"/>
    <w:rsid w:val="00644FA6"/>
    <w:rsid w:val="00645325"/>
    <w:rsid w:val="00645554"/>
    <w:rsid w:val="006455FF"/>
    <w:rsid w:val="00645663"/>
    <w:rsid w:val="006457A3"/>
    <w:rsid w:val="00645953"/>
    <w:rsid w:val="00645A2F"/>
    <w:rsid w:val="00645A7F"/>
    <w:rsid w:val="00645B25"/>
    <w:rsid w:val="00645F7F"/>
    <w:rsid w:val="006460FF"/>
    <w:rsid w:val="00646485"/>
    <w:rsid w:val="00646599"/>
    <w:rsid w:val="00646817"/>
    <w:rsid w:val="0064681C"/>
    <w:rsid w:val="00646937"/>
    <w:rsid w:val="0064697E"/>
    <w:rsid w:val="006469CD"/>
    <w:rsid w:val="00646AD6"/>
    <w:rsid w:val="00646AF7"/>
    <w:rsid w:val="00646D0A"/>
    <w:rsid w:val="00646D89"/>
    <w:rsid w:val="00646DFA"/>
    <w:rsid w:val="006472A3"/>
    <w:rsid w:val="006473AC"/>
    <w:rsid w:val="006473DC"/>
    <w:rsid w:val="0064743F"/>
    <w:rsid w:val="00647574"/>
    <w:rsid w:val="006475B6"/>
    <w:rsid w:val="006475DF"/>
    <w:rsid w:val="006476E9"/>
    <w:rsid w:val="006477D0"/>
    <w:rsid w:val="00647878"/>
    <w:rsid w:val="00647BAB"/>
    <w:rsid w:val="00647BCC"/>
    <w:rsid w:val="00647F50"/>
    <w:rsid w:val="00647F9D"/>
    <w:rsid w:val="00650020"/>
    <w:rsid w:val="00650193"/>
    <w:rsid w:val="0065021A"/>
    <w:rsid w:val="006502EB"/>
    <w:rsid w:val="00650416"/>
    <w:rsid w:val="00650637"/>
    <w:rsid w:val="0065080A"/>
    <w:rsid w:val="0065088E"/>
    <w:rsid w:val="006508AF"/>
    <w:rsid w:val="006508C5"/>
    <w:rsid w:val="00650CE1"/>
    <w:rsid w:val="00650DB5"/>
    <w:rsid w:val="00650E3B"/>
    <w:rsid w:val="00650EFA"/>
    <w:rsid w:val="00650F4B"/>
    <w:rsid w:val="006512B4"/>
    <w:rsid w:val="006512D4"/>
    <w:rsid w:val="0065134B"/>
    <w:rsid w:val="00651360"/>
    <w:rsid w:val="0065139B"/>
    <w:rsid w:val="006513C5"/>
    <w:rsid w:val="006516C0"/>
    <w:rsid w:val="00651959"/>
    <w:rsid w:val="00651ABB"/>
    <w:rsid w:val="00651B3E"/>
    <w:rsid w:val="00651CC9"/>
    <w:rsid w:val="00651CCC"/>
    <w:rsid w:val="00651D58"/>
    <w:rsid w:val="00651DA2"/>
    <w:rsid w:val="00651DE9"/>
    <w:rsid w:val="006521BC"/>
    <w:rsid w:val="00652489"/>
    <w:rsid w:val="006529A3"/>
    <w:rsid w:val="006529B6"/>
    <w:rsid w:val="00652B6C"/>
    <w:rsid w:val="00652C4A"/>
    <w:rsid w:val="00652CC7"/>
    <w:rsid w:val="00652CE4"/>
    <w:rsid w:val="00652D03"/>
    <w:rsid w:val="00652FC8"/>
    <w:rsid w:val="00653083"/>
    <w:rsid w:val="006530E9"/>
    <w:rsid w:val="00653475"/>
    <w:rsid w:val="006534BB"/>
    <w:rsid w:val="0065371E"/>
    <w:rsid w:val="006537A4"/>
    <w:rsid w:val="00653CCC"/>
    <w:rsid w:val="00653D4F"/>
    <w:rsid w:val="00653DAF"/>
    <w:rsid w:val="00654129"/>
    <w:rsid w:val="0065418A"/>
    <w:rsid w:val="00654385"/>
    <w:rsid w:val="00654932"/>
    <w:rsid w:val="006549A9"/>
    <w:rsid w:val="00654A92"/>
    <w:rsid w:val="00654F2F"/>
    <w:rsid w:val="00654F33"/>
    <w:rsid w:val="0065532A"/>
    <w:rsid w:val="00655385"/>
    <w:rsid w:val="006556F0"/>
    <w:rsid w:val="0065579F"/>
    <w:rsid w:val="006557A5"/>
    <w:rsid w:val="0065596C"/>
    <w:rsid w:val="00655C27"/>
    <w:rsid w:val="00655E5D"/>
    <w:rsid w:val="00655EDE"/>
    <w:rsid w:val="006560BE"/>
    <w:rsid w:val="006561BD"/>
    <w:rsid w:val="00656257"/>
    <w:rsid w:val="0065641B"/>
    <w:rsid w:val="006567B4"/>
    <w:rsid w:val="006568B8"/>
    <w:rsid w:val="00656931"/>
    <w:rsid w:val="0065694F"/>
    <w:rsid w:val="00656BC5"/>
    <w:rsid w:val="00656C75"/>
    <w:rsid w:val="00656F3D"/>
    <w:rsid w:val="0065705B"/>
    <w:rsid w:val="006574CE"/>
    <w:rsid w:val="006575A9"/>
    <w:rsid w:val="00657811"/>
    <w:rsid w:val="00657822"/>
    <w:rsid w:val="006578E2"/>
    <w:rsid w:val="00657973"/>
    <w:rsid w:val="00657A16"/>
    <w:rsid w:val="00657B89"/>
    <w:rsid w:val="00657CF4"/>
    <w:rsid w:val="00657F0B"/>
    <w:rsid w:val="0066005B"/>
    <w:rsid w:val="00660463"/>
    <w:rsid w:val="00660678"/>
    <w:rsid w:val="00660724"/>
    <w:rsid w:val="006609B9"/>
    <w:rsid w:val="00660A94"/>
    <w:rsid w:val="00660F05"/>
    <w:rsid w:val="00660F76"/>
    <w:rsid w:val="006610FA"/>
    <w:rsid w:val="00661164"/>
    <w:rsid w:val="0066117C"/>
    <w:rsid w:val="006611AE"/>
    <w:rsid w:val="006612D1"/>
    <w:rsid w:val="006612E5"/>
    <w:rsid w:val="006612FE"/>
    <w:rsid w:val="00661319"/>
    <w:rsid w:val="0066138D"/>
    <w:rsid w:val="00661557"/>
    <w:rsid w:val="006618C7"/>
    <w:rsid w:val="00661AF2"/>
    <w:rsid w:val="00661CDA"/>
    <w:rsid w:val="00661E53"/>
    <w:rsid w:val="00661E96"/>
    <w:rsid w:val="00661EFE"/>
    <w:rsid w:val="00661F5B"/>
    <w:rsid w:val="0066219A"/>
    <w:rsid w:val="006622ED"/>
    <w:rsid w:val="0066248F"/>
    <w:rsid w:val="00662683"/>
    <w:rsid w:val="0066276F"/>
    <w:rsid w:val="006627EE"/>
    <w:rsid w:val="006627FA"/>
    <w:rsid w:val="00662815"/>
    <w:rsid w:val="006628A8"/>
    <w:rsid w:val="0066292F"/>
    <w:rsid w:val="00662C3E"/>
    <w:rsid w:val="00662F1D"/>
    <w:rsid w:val="00662F7C"/>
    <w:rsid w:val="0066329F"/>
    <w:rsid w:val="00663389"/>
    <w:rsid w:val="00663398"/>
    <w:rsid w:val="00663570"/>
    <w:rsid w:val="006635A3"/>
    <w:rsid w:val="006635C6"/>
    <w:rsid w:val="0066376B"/>
    <w:rsid w:val="006637CF"/>
    <w:rsid w:val="00663855"/>
    <w:rsid w:val="00663E50"/>
    <w:rsid w:val="00663E6F"/>
    <w:rsid w:val="00663E8F"/>
    <w:rsid w:val="0066414D"/>
    <w:rsid w:val="006643AF"/>
    <w:rsid w:val="006643EB"/>
    <w:rsid w:val="00664542"/>
    <w:rsid w:val="00664651"/>
    <w:rsid w:val="006646D5"/>
    <w:rsid w:val="006647F7"/>
    <w:rsid w:val="00664BC1"/>
    <w:rsid w:val="00664CC5"/>
    <w:rsid w:val="00664E1E"/>
    <w:rsid w:val="00664F38"/>
    <w:rsid w:val="00664FC0"/>
    <w:rsid w:val="00664FFE"/>
    <w:rsid w:val="00665013"/>
    <w:rsid w:val="006652B3"/>
    <w:rsid w:val="006652CE"/>
    <w:rsid w:val="00665335"/>
    <w:rsid w:val="006655F7"/>
    <w:rsid w:val="006656DD"/>
    <w:rsid w:val="0066582F"/>
    <w:rsid w:val="00665919"/>
    <w:rsid w:val="00665AE4"/>
    <w:rsid w:val="00665B0B"/>
    <w:rsid w:val="00665B70"/>
    <w:rsid w:val="00665D0A"/>
    <w:rsid w:val="00665E38"/>
    <w:rsid w:val="00666070"/>
    <w:rsid w:val="0066635F"/>
    <w:rsid w:val="00666520"/>
    <w:rsid w:val="00666843"/>
    <w:rsid w:val="00666852"/>
    <w:rsid w:val="0066688D"/>
    <w:rsid w:val="006669E1"/>
    <w:rsid w:val="00666B23"/>
    <w:rsid w:val="00666C6B"/>
    <w:rsid w:val="0066709B"/>
    <w:rsid w:val="00667129"/>
    <w:rsid w:val="00667432"/>
    <w:rsid w:val="006675B2"/>
    <w:rsid w:val="00667850"/>
    <w:rsid w:val="00667A42"/>
    <w:rsid w:val="00667BAF"/>
    <w:rsid w:val="0066DF94"/>
    <w:rsid w:val="0067012E"/>
    <w:rsid w:val="00670189"/>
    <w:rsid w:val="0067038E"/>
    <w:rsid w:val="00670587"/>
    <w:rsid w:val="006705DA"/>
    <w:rsid w:val="00670694"/>
    <w:rsid w:val="006706A7"/>
    <w:rsid w:val="00670ACD"/>
    <w:rsid w:val="00670C59"/>
    <w:rsid w:val="00670C74"/>
    <w:rsid w:val="00670C7E"/>
    <w:rsid w:val="00670F3B"/>
    <w:rsid w:val="006711A3"/>
    <w:rsid w:val="00671339"/>
    <w:rsid w:val="006715CE"/>
    <w:rsid w:val="00671887"/>
    <w:rsid w:val="006718AA"/>
    <w:rsid w:val="006719CB"/>
    <w:rsid w:val="00671A23"/>
    <w:rsid w:val="00671AAB"/>
    <w:rsid w:val="00671DD2"/>
    <w:rsid w:val="00672533"/>
    <w:rsid w:val="0067277A"/>
    <w:rsid w:val="0067288A"/>
    <w:rsid w:val="006728DB"/>
    <w:rsid w:val="00672ADC"/>
    <w:rsid w:val="00672B10"/>
    <w:rsid w:val="00672BCC"/>
    <w:rsid w:val="00672D55"/>
    <w:rsid w:val="00672EAB"/>
    <w:rsid w:val="00672EF8"/>
    <w:rsid w:val="00673059"/>
    <w:rsid w:val="00673788"/>
    <w:rsid w:val="00673A59"/>
    <w:rsid w:val="00673AF0"/>
    <w:rsid w:val="00673C5E"/>
    <w:rsid w:val="00673EC7"/>
    <w:rsid w:val="00673FCF"/>
    <w:rsid w:val="0067460B"/>
    <w:rsid w:val="0067473B"/>
    <w:rsid w:val="00674B7C"/>
    <w:rsid w:val="00674F70"/>
    <w:rsid w:val="00674F77"/>
    <w:rsid w:val="00675232"/>
    <w:rsid w:val="0067544C"/>
    <w:rsid w:val="006755BF"/>
    <w:rsid w:val="0067574D"/>
    <w:rsid w:val="0067578F"/>
    <w:rsid w:val="006757B4"/>
    <w:rsid w:val="006757C5"/>
    <w:rsid w:val="006757D7"/>
    <w:rsid w:val="006759C0"/>
    <w:rsid w:val="00675A2D"/>
    <w:rsid w:val="00675A54"/>
    <w:rsid w:val="00675BD7"/>
    <w:rsid w:val="00675CAA"/>
    <w:rsid w:val="00675D02"/>
    <w:rsid w:val="00675EAC"/>
    <w:rsid w:val="00676074"/>
    <w:rsid w:val="0067608D"/>
    <w:rsid w:val="006760FF"/>
    <w:rsid w:val="0067612A"/>
    <w:rsid w:val="006761BF"/>
    <w:rsid w:val="006761E8"/>
    <w:rsid w:val="006762AD"/>
    <w:rsid w:val="00676380"/>
    <w:rsid w:val="006764DD"/>
    <w:rsid w:val="00676535"/>
    <w:rsid w:val="00676B5E"/>
    <w:rsid w:val="00676BEC"/>
    <w:rsid w:val="00676C06"/>
    <w:rsid w:val="00676E99"/>
    <w:rsid w:val="00676EFA"/>
    <w:rsid w:val="00677045"/>
    <w:rsid w:val="00677290"/>
    <w:rsid w:val="00677302"/>
    <w:rsid w:val="00677633"/>
    <w:rsid w:val="006776E9"/>
    <w:rsid w:val="006776FE"/>
    <w:rsid w:val="00677762"/>
    <w:rsid w:val="00677808"/>
    <w:rsid w:val="00677B6F"/>
    <w:rsid w:val="00677BCC"/>
    <w:rsid w:val="00677C99"/>
    <w:rsid w:val="00677DCE"/>
    <w:rsid w:val="00680008"/>
    <w:rsid w:val="0068030A"/>
    <w:rsid w:val="00680363"/>
    <w:rsid w:val="0068037D"/>
    <w:rsid w:val="006805D7"/>
    <w:rsid w:val="006805E7"/>
    <w:rsid w:val="00680AA9"/>
    <w:rsid w:val="00680CD9"/>
    <w:rsid w:val="00680D6A"/>
    <w:rsid w:val="00680E5F"/>
    <w:rsid w:val="00680EF0"/>
    <w:rsid w:val="00680FFE"/>
    <w:rsid w:val="0068113F"/>
    <w:rsid w:val="006811CF"/>
    <w:rsid w:val="006812FB"/>
    <w:rsid w:val="0068143C"/>
    <w:rsid w:val="00681447"/>
    <w:rsid w:val="00681563"/>
    <w:rsid w:val="006818DD"/>
    <w:rsid w:val="006818F8"/>
    <w:rsid w:val="00681ED8"/>
    <w:rsid w:val="00682094"/>
    <w:rsid w:val="00682099"/>
    <w:rsid w:val="006820ED"/>
    <w:rsid w:val="00682172"/>
    <w:rsid w:val="00682273"/>
    <w:rsid w:val="00682347"/>
    <w:rsid w:val="00682416"/>
    <w:rsid w:val="006825E1"/>
    <w:rsid w:val="006828E9"/>
    <w:rsid w:val="00682925"/>
    <w:rsid w:val="0068297D"/>
    <w:rsid w:val="00682A66"/>
    <w:rsid w:val="00682ACF"/>
    <w:rsid w:val="00682AD1"/>
    <w:rsid w:val="00682AD2"/>
    <w:rsid w:val="00682D3B"/>
    <w:rsid w:val="00682E9B"/>
    <w:rsid w:val="00682F37"/>
    <w:rsid w:val="00682FFA"/>
    <w:rsid w:val="006832C1"/>
    <w:rsid w:val="006834DD"/>
    <w:rsid w:val="00683719"/>
    <w:rsid w:val="0068389D"/>
    <w:rsid w:val="006838AE"/>
    <w:rsid w:val="00683921"/>
    <w:rsid w:val="006839A8"/>
    <w:rsid w:val="00683C09"/>
    <w:rsid w:val="00683C2D"/>
    <w:rsid w:val="00683C6F"/>
    <w:rsid w:val="00683D5B"/>
    <w:rsid w:val="00683F2F"/>
    <w:rsid w:val="0068435B"/>
    <w:rsid w:val="00684699"/>
    <w:rsid w:val="00684790"/>
    <w:rsid w:val="00684BFC"/>
    <w:rsid w:val="00684D1F"/>
    <w:rsid w:val="00684EFC"/>
    <w:rsid w:val="00684F1D"/>
    <w:rsid w:val="006850E1"/>
    <w:rsid w:val="00685106"/>
    <w:rsid w:val="00685122"/>
    <w:rsid w:val="0068559B"/>
    <w:rsid w:val="00685898"/>
    <w:rsid w:val="0068597E"/>
    <w:rsid w:val="00685A6E"/>
    <w:rsid w:val="00685DEE"/>
    <w:rsid w:val="00685EDC"/>
    <w:rsid w:val="006860CA"/>
    <w:rsid w:val="00686434"/>
    <w:rsid w:val="006864D0"/>
    <w:rsid w:val="00686525"/>
    <w:rsid w:val="006865A9"/>
    <w:rsid w:val="006866AA"/>
    <w:rsid w:val="00686758"/>
    <w:rsid w:val="00686792"/>
    <w:rsid w:val="0068684D"/>
    <w:rsid w:val="006868B6"/>
    <w:rsid w:val="00686A19"/>
    <w:rsid w:val="00686B06"/>
    <w:rsid w:val="00686B47"/>
    <w:rsid w:val="00686BCC"/>
    <w:rsid w:val="00686D08"/>
    <w:rsid w:val="006870DB"/>
    <w:rsid w:val="0068716D"/>
    <w:rsid w:val="006874D8"/>
    <w:rsid w:val="006876F7"/>
    <w:rsid w:val="0068772A"/>
    <w:rsid w:val="0068779D"/>
    <w:rsid w:val="006878AE"/>
    <w:rsid w:val="0068792D"/>
    <w:rsid w:val="00687965"/>
    <w:rsid w:val="00687A46"/>
    <w:rsid w:val="00690089"/>
    <w:rsid w:val="006900EA"/>
    <w:rsid w:val="006901B4"/>
    <w:rsid w:val="00690304"/>
    <w:rsid w:val="00690429"/>
    <w:rsid w:val="00690437"/>
    <w:rsid w:val="006904C5"/>
    <w:rsid w:val="00690811"/>
    <w:rsid w:val="00690942"/>
    <w:rsid w:val="00690955"/>
    <w:rsid w:val="00690A04"/>
    <w:rsid w:val="00690A24"/>
    <w:rsid w:val="00690C80"/>
    <w:rsid w:val="00690DEA"/>
    <w:rsid w:val="00691320"/>
    <w:rsid w:val="0069134D"/>
    <w:rsid w:val="006913C6"/>
    <w:rsid w:val="006914DB"/>
    <w:rsid w:val="006916A0"/>
    <w:rsid w:val="00691740"/>
    <w:rsid w:val="0069183C"/>
    <w:rsid w:val="0069185A"/>
    <w:rsid w:val="006918DC"/>
    <w:rsid w:val="00691AC0"/>
    <w:rsid w:val="00691E1D"/>
    <w:rsid w:val="00692014"/>
    <w:rsid w:val="0069205A"/>
    <w:rsid w:val="006920DA"/>
    <w:rsid w:val="00692116"/>
    <w:rsid w:val="006921B2"/>
    <w:rsid w:val="006921DF"/>
    <w:rsid w:val="00692336"/>
    <w:rsid w:val="006927C2"/>
    <w:rsid w:val="00692833"/>
    <w:rsid w:val="00692916"/>
    <w:rsid w:val="006929B3"/>
    <w:rsid w:val="00692A4A"/>
    <w:rsid w:val="00692AA4"/>
    <w:rsid w:val="00692AE9"/>
    <w:rsid w:val="00692AFA"/>
    <w:rsid w:val="00692F49"/>
    <w:rsid w:val="0069300C"/>
    <w:rsid w:val="006933C6"/>
    <w:rsid w:val="006934CA"/>
    <w:rsid w:val="006934ED"/>
    <w:rsid w:val="00693630"/>
    <w:rsid w:val="00693AA8"/>
    <w:rsid w:val="00693B3D"/>
    <w:rsid w:val="00693D2C"/>
    <w:rsid w:val="00693FC1"/>
    <w:rsid w:val="00694026"/>
    <w:rsid w:val="0069422A"/>
    <w:rsid w:val="00694257"/>
    <w:rsid w:val="00694333"/>
    <w:rsid w:val="006943D2"/>
    <w:rsid w:val="0069443F"/>
    <w:rsid w:val="006947A7"/>
    <w:rsid w:val="0069485B"/>
    <w:rsid w:val="00694B61"/>
    <w:rsid w:val="00694CDC"/>
    <w:rsid w:val="00694D7A"/>
    <w:rsid w:val="00694DC3"/>
    <w:rsid w:val="00694EC1"/>
    <w:rsid w:val="00694FDD"/>
    <w:rsid w:val="006953DA"/>
    <w:rsid w:val="006954EE"/>
    <w:rsid w:val="00695702"/>
    <w:rsid w:val="00695718"/>
    <w:rsid w:val="00695795"/>
    <w:rsid w:val="00695850"/>
    <w:rsid w:val="0069597E"/>
    <w:rsid w:val="00695A16"/>
    <w:rsid w:val="00695A6C"/>
    <w:rsid w:val="00695A96"/>
    <w:rsid w:val="00695D8C"/>
    <w:rsid w:val="0069624E"/>
    <w:rsid w:val="00696335"/>
    <w:rsid w:val="006963D6"/>
    <w:rsid w:val="006963F0"/>
    <w:rsid w:val="0069643D"/>
    <w:rsid w:val="006965AB"/>
    <w:rsid w:val="006966BE"/>
    <w:rsid w:val="0069699F"/>
    <w:rsid w:val="006969FC"/>
    <w:rsid w:val="00696B1C"/>
    <w:rsid w:val="00696F87"/>
    <w:rsid w:val="0069722A"/>
    <w:rsid w:val="006972A4"/>
    <w:rsid w:val="0069749A"/>
    <w:rsid w:val="00697593"/>
    <w:rsid w:val="00697693"/>
    <w:rsid w:val="006976DC"/>
    <w:rsid w:val="0069792C"/>
    <w:rsid w:val="006979CB"/>
    <w:rsid w:val="00697C5D"/>
    <w:rsid w:val="00697D40"/>
    <w:rsid w:val="00697D78"/>
    <w:rsid w:val="00697EEE"/>
    <w:rsid w:val="00697FE1"/>
    <w:rsid w:val="006A002A"/>
    <w:rsid w:val="006A0191"/>
    <w:rsid w:val="006A02CB"/>
    <w:rsid w:val="006A032E"/>
    <w:rsid w:val="006A0359"/>
    <w:rsid w:val="006A051E"/>
    <w:rsid w:val="006A0737"/>
    <w:rsid w:val="006A0897"/>
    <w:rsid w:val="006A0980"/>
    <w:rsid w:val="006A09D2"/>
    <w:rsid w:val="006A0A9C"/>
    <w:rsid w:val="006A0ACB"/>
    <w:rsid w:val="006A0AD5"/>
    <w:rsid w:val="006A0D33"/>
    <w:rsid w:val="006A0FFA"/>
    <w:rsid w:val="006A12CE"/>
    <w:rsid w:val="006A1368"/>
    <w:rsid w:val="006A1532"/>
    <w:rsid w:val="006A1643"/>
    <w:rsid w:val="006A1723"/>
    <w:rsid w:val="006A177F"/>
    <w:rsid w:val="006A1940"/>
    <w:rsid w:val="006A1A0D"/>
    <w:rsid w:val="006A1ADE"/>
    <w:rsid w:val="006A1BC4"/>
    <w:rsid w:val="006A1CB3"/>
    <w:rsid w:val="006A1FC3"/>
    <w:rsid w:val="006A20A7"/>
    <w:rsid w:val="006A227F"/>
    <w:rsid w:val="006A2475"/>
    <w:rsid w:val="006A271D"/>
    <w:rsid w:val="006A2875"/>
    <w:rsid w:val="006A2AF6"/>
    <w:rsid w:val="006A2B15"/>
    <w:rsid w:val="006A2C89"/>
    <w:rsid w:val="006A2DE4"/>
    <w:rsid w:val="006A2E25"/>
    <w:rsid w:val="006A2F29"/>
    <w:rsid w:val="006A2FAE"/>
    <w:rsid w:val="006A3078"/>
    <w:rsid w:val="006A3690"/>
    <w:rsid w:val="006A36F4"/>
    <w:rsid w:val="006A3837"/>
    <w:rsid w:val="006A387D"/>
    <w:rsid w:val="006A3BEB"/>
    <w:rsid w:val="006A3D74"/>
    <w:rsid w:val="006A3DB6"/>
    <w:rsid w:val="006A4153"/>
    <w:rsid w:val="006A41BA"/>
    <w:rsid w:val="006A4239"/>
    <w:rsid w:val="006A43BD"/>
    <w:rsid w:val="006A4669"/>
    <w:rsid w:val="006A47B3"/>
    <w:rsid w:val="006A4981"/>
    <w:rsid w:val="006A4CB6"/>
    <w:rsid w:val="006A4CD5"/>
    <w:rsid w:val="006A4F9C"/>
    <w:rsid w:val="006A4FB3"/>
    <w:rsid w:val="006A514D"/>
    <w:rsid w:val="006A5192"/>
    <w:rsid w:val="006A51C4"/>
    <w:rsid w:val="006A5477"/>
    <w:rsid w:val="006A54CC"/>
    <w:rsid w:val="006A5691"/>
    <w:rsid w:val="006A5999"/>
    <w:rsid w:val="006A5AB1"/>
    <w:rsid w:val="006A5AED"/>
    <w:rsid w:val="006A5C43"/>
    <w:rsid w:val="006A5C72"/>
    <w:rsid w:val="006A5F1E"/>
    <w:rsid w:val="006A61AF"/>
    <w:rsid w:val="006A62DC"/>
    <w:rsid w:val="006A6360"/>
    <w:rsid w:val="006A64FC"/>
    <w:rsid w:val="006A676B"/>
    <w:rsid w:val="006A68A3"/>
    <w:rsid w:val="006A6DD4"/>
    <w:rsid w:val="006A6E19"/>
    <w:rsid w:val="006A6E83"/>
    <w:rsid w:val="006A700B"/>
    <w:rsid w:val="006A7133"/>
    <w:rsid w:val="006A7174"/>
    <w:rsid w:val="006A71E5"/>
    <w:rsid w:val="006A71FD"/>
    <w:rsid w:val="006A7231"/>
    <w:rsid w:val="006A731A"/>
    <w:rsid w:val="006A7682"/>
    <w:rsid w:val="006A782C"/>
    <w:rsid w:val="006A791F"/>
    <w:rsid w:val="006A7950"/>
    <w:rsid w:val="006A7BF4"/>
    <w:rsid w:val="006A7DD7"/>
    <w:rsid w:val="006A7E64"/>
    <w:rsid w:val="006B0036"/>
    <w:rsid w:val="006B00DC"/>
    <w:rsid w:val="006B02D8"/>
    <w:rsid w:val="006B051D"/>
    <w:rsid w:val="006B055B"/>
    <w:rsid w:val="006B075F"/>
    <w:rsid w:val="006B0A10"/>
    <w:rsid w:val="006B0D00"/>
    <w:rsid w:val="006B0DBC"/>
    <w:rsid w:val="006B10A4"/>
    <w:rsid w:val="006B1374"/>
    <w:rsid w:val="006B1566"/>
    <w:rsid w:val="006B15B5"/>
    <w:rsid w:val="006B15C5"/>
    <w:rsid w:val="006B161F"/>
    <w:rsid w:val="006B1652"/>
    <w:rsid w:val="006B16D9"/>
    <w:rsid w:val="006B1862"/>
    <w:rsid w:val="006B1949"/>
    <w:rsid w:val="006B1C98"/>
    <w:rsid w:val="006B1E43"/>
    <w:rsid w:val="006B236E"/>
    <w:rsid w:val="006B2520"/>
    <w:rsid w:val="006B259A"/>
    <w:rsid w:val="006B2762"/>
    <w:rsid w:val="006B285A"/>
    <w:rsid w:val="006B2879"/>
    <w:rsid w:val="006B2981"/>
    <w:rsid w:val="006B29B0"/>
    <w:rsid w:val="006B29E8"/>
    <w:rsid w:val="006B2A1D"/>
    <w:rsid w:val="006B2A5F"/>
    <w:rsid w:val="006B2DD8"/>
    <w:rsid w:val="006B2EB7"/>
    <w:rsid w:val="006B3168"/>
    <w:rsid w:val="006B3198"/>
    <w:rsid w:val="006B31D1"/>
    <w:rsid w:val="006B329F"/>
    <w:rsid w:val="006B332F"/>
    <w:rsid w:val="006B33D4"/>
    <w:rsid w:val="006B3477"/>
    <w:rsid w:val="006B3584"/>
    <w:rsid w:val="006B35C1"/>
    <w:rsid w:val="006B37B7"/>
    <w:rsid w:val="006B37C6"/>
    <w:rsid w:val="006B39C2"/>
    <w:rsid w:val="006B3A26"/>
    <w:rsid w:val="006B3ECF"/>
    <w:rsid w:val="006B4065"/>
    <w:rsid w:val="006B4100"/>
    <w:rsid w:val="006B42F2"/>
    <w:rsid w:val="006B44D9"/>
    <w:rsid w:val="006B45BA"/>
    <w:rsid w:val="006B461B"/>
    <w:rsid w:val="006B4655"/>
    <w:rsid w:val="006B4681"/>
    <w:rsid w:val="006B4B9F"/>
    <w:rsid w:val="006B4C2D"/>
    <w:rsid w:val="006B4C92"/>
    <w:rsid w:val="006B4F65"/>
    <w:rsid w:val="006B5214"/>
    <w:rsid w:val="006B52E3"/>
    <w:rsid w:val="006B53F4"/>
    <w:rsid w:val="006B5611"/>
    <w:rsid w:val="006B57C0"/>
    <w:rsid w:val="006B57EF"/>
    <w:rsid w:val="006B5858"/>
    <w:rsid w:val="006B58C9"/>
    <w:rsid w:val="006B59C4"/>
    <w:rsid w:val="006B5D5F"/>
    <w:rsid w:val="006B5E29"/>
    <w:rsid w:val="006B5F6E"/>
    <w:rsid w:val="006B5FE5"/>
    <w:rsid w:val="006B60A3"/>
    <w:rsid w:val="006B61AD"/>
    <w:rsid w:val="006B62E1"/>
    <w:rsid w:val="006B6368"/>
    <w:rsid w:val="006B6908"/>
    <w:rsid w:val="006B6BE5"/>
    <w:rsid w:val="006B6C14"/>
    <w:rsid w:val="006B6CD2"/>
    <w:rsid w:val="006B6E65"/>
    <w:rsid w:val="006B701F"/>
    <w:rsid w:val="006B7354"/>
    <w:rsid w:val="006B742F"/>
    <w:rsid w:val="006B74E9"/>
    <w:rsid w:val="006B77F3"/>
    <w:rsid w:val="006B784B"/>
    <w:rsid w:val="006B78A3"/>
    <w:rsid w:val="006B7A76"/>
    <w:rsid w:val="006B7DA1"/>
    <w:rsid w:val="006B7E5D"/>
    <w:rsid w:val="006B7ED6"/>
    <w:rsid w:val="006B7FEA"/>
    <w:rsid w:val="006C00ED"/>
    <w:rsid w:val="006C02BC"/>
    <w:rsid w:val="006C032D"/>
    <w:rsid w:val="006C0666"/>
    <w:rsid w:val="006C078E"/>
    <w:rsid w:val="006C0800"/>
    <w:rsid w:val="006C08E7"/>
    <w:rsid w:val="006C0910"/>
    <w:rsid w:val="006C095D"/>
    <w:rsid w:val="006C0F40"/>
    <w:rsid w:val="006C1220"/>
    <w:rsid w:val="006C1380"/>
    <w:rsid w:val="006C1547"/>
    <w:rsid w:val="006C1560"/>
    <w:rsid w:val="006C17A6"/>
    <w:rsid w:val="006C19C6"/>
    <w:rsid w:val="006C1D07"/>
    <w:rsid w:val="006C1E93"/>
    <w:rsid w:val="006C1EC4"/>
    <w:rsid w:val="006C1FC7"/>
    <w:rsid w:val="006C2241"/>
    <w:rsid w:val="006C2362"/>
    <w:rsid w:val="006C2383"/>
    <w:rsid w:val="006C2539"/>
    <w:rsid w:val="006C26F2"/>
    <w:rsid w:val="006C2C65"/>
    <w:rsid w:val="006C2EB0"/>
    <w:rsid w:val="006C3042"/>
    <w:rsid w:val="006C3112"/>
    <w:rsid w:val="006C31B5"/>
    <w:rsid w:val="006C3418"/>
    <w:rsid w:val="006C353A"/>
    <w:rsid w:val="006C35A0"/>
    <w:rsid w:val="006C36CE"/>
    <w:rsid w:val="006C3809"/>
    <w:rsid w:val="006C398F"/>
    <w:rsid w:val="006C3BA2"/>
    <w:rsid w:val="006C3BB5"/>
    <w:rsid w:val="006C3F97"/>
    <w:rsid w:val="006C40A3"/>
    <w:rsid w:val="006C40D6"/>
    <w:rsid w:val="006C4697"/>
    <w:rsid w:val="006C46D3"/>
    <w:rsid w:val="006C48A2"/>
    <w:rsid w:val="006C4A5A"/>
    <w:rsid w:val="006C4A93"/>
    <w:rsid w:val="006C4C0A"/>
    <w:rsid w:val="006C4DA9"/>
    <w:rsid w:val="006C4DBD"/>
    <w:rsid w:val="006C5035"/>
    <w:rsid w:val="006C503C"/>
    <w:rsid w:val="006C50AF"/>
    <w:rsid w:val="006C5140"/>
    <w:rsid w:val="006C539B"/>
    <w:rsid w:val="006C55E2"/>
    <w:rsid w:val="006C57A6"/>
    <w:rsid w:val="006C59D7"/>
    <w:rsid w:val="006C59FD"/>
    <w:rsid w:val="006C5AC2"/>
    <w:rsid w:val="006C5B6A"/>
    <w:rsid w:val="006C5BA8"/>
    <w:rsid w:val="006C5CFA"/>
    <w:rsid w:val="006C5DA4"/>
    <w:rsid w:val="006C5F34"/>
    <w:rsid w:val="006C6096"/>
    <w:rsid w:val="006C62BB"/>
    <w:rsid w:val="006C6493"/>
    <w:rsid w:val="006C64CF"/>
    <w:rsid w:val="006C659C"/>
    <w:rsid w:val="006C66DA"/>
    <w:rsid w:val="006C676F"/>
    <w:rsid w:val="006C689D"/>
    <w:rsid w:val="006C6A12"/>
    <w:rsid w:val="006C6BC0"/>
    <w:rsid w:val="006C6C8F"/>
    <w:rsid w:val="006C6D60"/>
    <w:rsid w:val="006C6E09"/>
    <w:rsid w:val="006C709B"/>
    <w:rsid w:val="006C70B9"/>
    <w:rsid w:val="006C7184"/>
    <w:rsid w:val="006C7204"/>
    <w:rsid w:val="006C74E0"/>
    <w:rsid w:val="006C75BD"/>
    <w:rsid w:val="006C75EC"/>
    <w:rsid w:val="006C7627"/>
    <w:rsid w:val="006C77EB"/>
    <w:rsid w:val="006C7833"/>
    <w:rsid w:val="006C78C1"/>
    <w:rsid w:val="006C78D6"/>
    <w:rsid w:val="006C7C93"/>
    <w:rsid w:val="006C7CD5"/>
    <w:rsid w:val="006C7DF5"/>
    <w:rsid w:val="006C7E1E"/>
    <w:rsid w:val="006D008B"/>
    <w:rsid w:val="006D03F4"/>
    <w:rsid w:val="006D056B"/>
    <w:rsid w:val="006D079E"/>
    <w:rsid w:val="006D08EF"/>
    <w:rsid w:val="006D0AE3"/>
    <w:rsid w:val="006D0EBB"/>
    <w:rsid w:val="006D0EF9"/>
    <w:rsid w:val="006D12BB"/>
    <w:rsid w:val="006D142F"/>
    <w:rsid w:val="006D1640"/>
    <w:rsid w:val="006D1748"/>
    <w:rsid w:val="006D1B00"/>
    <w:rsid w:val="006D1B62"/>
    <w:rsid w:val="006D1E6C"/>
    <w:rsid w:val="006D1E84"/>
    <w:rsid w:val="006D1F74"/>
    <w:rsid w:val="006D203A"/>
    <w:rsid w:val="006D22CB"/>
    <w:rsid w:val="006D2463"/>
    <w:rsid w:val="006D24B3"/>
    <w:rsid w:val="006D256E"/>
    <w:rsid w:val="006D25CF"/>
    <w:rsid w:val="006D2605"/>
    <w:rsid w:val="006D2670"/>
    <w:rsid w:val="006D26AC"/>
    <w:rsid w:val="006D27C4"/>
    <w:rsid w:val="006D28C9"/>
    <w:rsid w:val="006D2969"/>
    <w:rsid w:val="006D2998"/>
    <w:rsid w:val="006D29D1"/>
    <w:rsid w:val="006D29D4"/>
    <w:rsid w:val="006D2A1E"/>
    <w:rsid w:val="006D2AE6"/>
    <w:rsid w:val="006D2AF5"/>
    <w:rsid w:val="006D2BD8"/>
    <w:rsid w:val="006D2FCA"/>
    <w:rsid w:val="006D30AC"/>
    <w:rsid w:val="006D31B0"/>
    <w:rsid w:val="006D33FC"/>
    <w:rsid w:val="006D35F0"/>
    <w:rsid w:val="006D38F3"/>
    <w:rsid w:val="006D39E1"/>
    <w:rsid w:val="006D3A8F"/>
    <w:rsid w:val="006D3B7A"/>
    <w:rsid w:val="006D3CAD"/>
    <w:rsid w:val="006D3EA9"/>
    <w:rsid w:val="006D41F2"/>
    <w:rsid w:val="006D42FF"/>
    <w:rsid w:val="006D4555"/>
    <w:rsid w:val="006D45AC"/>
    <w:rsid w:val="006D4661"/>
    <w:rsid w:val="006D4841"/>
    <w:rsid w:val="006D4C88"/>
    <w:rsid w:val="006D4F4E"/>
    <w:rsid w:val="006D4FCD"/>
    <w:rsid w:val="006D50EE"/>
    <w:rsid w:val="006D51E1"/>
    <w:rsid w:val="006D531B"/>
    <w:rsid w:val="006D597F"/>
    <w:rsid w:val="006D59C7"/>
    <w:rsid w:val="006D5A39"/>
    <w:rsid w:val="006D5A9C"/>
    <w:rsid w:val="006D5B44"/>
    <w:rsid w:val="006D5E0E"/>
    <w:rsid w:val="006D630B"/>
    <w:rsid w:val="006D6488"/>
    <w:rsid w:val="006D64BD"/>
    <w:rsid w:val="006D67EF"/>
    <w:rsid w:val="006D684D"/>
    <w:rsid w:val="006D6C2C"/>
    <w:rsid w:val="006D6E42"/>
    <w:rsid w:val="006D6F3A"/>
    <w:rsid w:val="006D6F58"/>
    <w:rsid w:val="006D7047"/>
    <w:rsid w:val="006D71A1"/>
    <w:rsid w:val="006D7280"/>
    <w:rsid w:val="006D7435"/>
    <w:rsid w:val="006D7494"/>
    <w:rsid w:val="006D74D7"/>
    <w:rsid w:val="006D753A"/>
    <w:rsid w:val="006D769E"/>
    <w:rsid w:val="006D7915"/>
    <w:rsid w:val="006D796C"/>
    <w:rsid w:val="006D79DD"/>
    <w:rsid w:val="006D7B3E"/>
    <w:rsid w:val="006D7CA9"/>
    <w:rsid w:val="006D7D19"/>
    <w:rsid w:val="006D7E3F"/>
    <w:rsid w:val="006E0017"/>
    <w:rsid w:val="006E023F"/>
    <w:rsid w:val="006E02E6"/>
    <w:rsid w:val="006E0321"/>
    <w:rsid w:val="006E03E9"/>
    <w:rsid w:val="006E095A"/>
    <w:rsid w:val="006E09A2"/>
    <w:rsid w:val="006E09C0"/>
    <w:rsid w:val="006E09DD"/>
    <w:rsid w:val="006E09E2"/>
    <w:rsid w:val="006E0A7E"/>
    <w:rsid w:val="006E0CA3"/>
    <w:rsid w:val="006E0ED3"/>
    <w:rsid w:val="006E1119"/>
    <w:rsid w:val="006E113F"/>
    <w:rsid w:val="006E12FB"/>
    <w:rsid w:val="006E1312"/>
    <w:rsid w:val="006E1357"/>
    <w:rsid w:val="006E1449"/>
    <w:rsid w:val="006E162F"/>
    <w:rsid w:val="006E1722"/>
    <w:rsid w:val="006E17A2"/>
    <w:rsid w:val="006E1949"/>
    <w:rsid w:val="006E1ACA"/>
    <w:rsid w:val="006E1DFE"/>
    <w:rsid w:val="006E1FB7"/>
    <w:rsid w:val="006E1FEE"/>
    <w:rsid w:val="006E2139"/>
    <w:rsid w:val="006E2160"/>
    <w:rsid w:val="006E2209"/>
    <w:rsid w:val="006E22CD"/>
    <w:rsid w:val="006E263E"/>
    <w:rsid w:val="006E2739"/>
    <w:rsid w:val="006E282A"/>
    <w:rsid w:val="006E287D"/>
    <w:rsid w:val="006E289C"/>
    <w:rsid w:val="006E2A27"/>
    <w:rsid w:val="006E2A65"/>
    <w:rsid w:val="006E2B93"/>
    <w:rsid w:val="006E2D81"/>
    <w:rsid w:val="006E2E1F"/>
    <w:rsid w:val="006E2E75"/>
    <w:rsid w:val="006E2EC2"/>
    <w:rsid w:val="006E33F4"/>
    <w:rsid w:val="006E342C"/>
    <w:rsid w:val="006E3855"/>
    <w:rsid w:val="006E394D"/>
    <w:rsid w:val="006E3960"/>
    <w:rsid w:val="006E3A6B"/>
    <w:rsid w:val="006E3AA9"/>
    <w:rsid w:val="006E3AC4"/>
    <w:rsid w:val="006E3D0E"/>
    <w:rsid w:val="006E3D21"/>
    <w:rsid w:val="006E3E2B"/>
    <w:rsid w:val="006E3F40"/>
    <w:rsid w:val="006E3F6E"/>
    <w:rsid w:val="006E4021"/>
    <w:rsid w:val="006E4052"/>
    <w:rsid w:val="006E407D"/>
    <w:rsid w:val="006E40AE"/>
    <w:rsid w:val="006E40B2"/>
    <w:rsid w:val="006E40F5"/>
    <w:rsid w:val="006E434F"/>
    <w:rsid w:val="006E438E"/>
    <w:rsid w:val="006E46BA"/>
    <w:rsid w:val="006E4762"/>
    <w:rsid w:val="006E47C8"/>
    <w:rsid w:val="006E490F"/>
    <w:rsid w:val="006E4B2C"/>
    <w:rsid w:val="006E4B4F"/>
    <w:rsid w:val="006E4C5D"/>
    <w:rsid w:val="006E4D3F"/>
    <w:rsid w:val="006E4DFE"/>
    <w:rsid w:val="006E4EA8"/>
    <w:rsid w:val="006E4EC7"/>
    <w:rsid w:val="006E4FF8"/>
    <w:rsid w:val="006E51E5"/>
    <w:rsid w:val="006E5306"/>
    <w:rsid w:val="006E56D7"/>
    <w:rsid w:val="006E5733"/>
    <w:rsid w:val="006E5819"/>
    <w:rsid w:val="006E5925"/>
    <w:rsid w:val="006E5949"/>
    <w:rsid w:val="006E5A9C"/>
    <w:rsid w:val="006E5BC3"/>
    <w:rsid w:val="006E601A"/>
    <w:rsid w:val="006E6068"/>
    <w:rsid w:val="006E6251"/>
    <w:rsid w:val="006E625A"/>
    <w:rsid w:val="006E6598"/>
    <w:rsid w:val="006E66E4"/>
    <w:rsid w:val="006E680C"/>
    <w:rsid w:val="006E68D9"/>
    <w:rsid w:val="006E6972"/>
    <w:rsid w:val="006E6AFE"/>
    <w:rsid w:val="006E6BA5"/>
    <w:rsid w:val="006E6F91"/>
    <w:rsid w:val="006E7065"/>
    <w:rsid w:val="006E71B9"/>
    <w:rsid w:val="006E722B"/>
    <w:rsid w:val="006E7279"/>
    <w:rsid w:val="006E728E"/>
    <w:rsid w:val="006E7379"/>
    <w:rsid w:val="006E7404"/>
    <w:rsid w:val="006E7571"/>
    <w:rsid w:val="006E7579"/>
    <w:rsid w:val="006E7655"/>
    <w:rsid w:val="006E7904"/>
    <w:rsid w:val="006E79B2"/>
    <w:rsid w:val="006E7A42"/>
    <w:rsid w:val="006E7AC5"/>
    <w:rsid w:val="006E7AE9"/>
    <w:rsid w:val="006E7B35"/>
    <w:rsid w:val="006E7C03"/>
    <w:rsid w:val="006E7C91"/>
    <w:rsid w:val="006E7D21"/>
    <w:rsid w:val="006E7E14"/>
    <w:rsid w:val="006E7E36"/>
    <w:rsid w:val="006E7F26"/>
    <w:rsid w:val="006F0105"/>
    <w:rsid w:val="006F032B"/>
    <w:rsid w:val="006F03B7"/>
    <w:rsid w:val="006F0494"/>
    <w:rsid w:val="006F053B"/>
    <w:rsid w:val="006F092A"/>
    <w:rsid w:val="006F0AEE"/>
    <w:rsid w:val="006F0C17"/>
    <w:rsid w:val="006F0C8F"/>
    <w:rsid w:val="006F0CCB"/>
    <w:rsid w:val="006F0D58"/>
    <w:rsid w:val="006F0E9E"/>
    <w:rsid w:val="006F102E"/>
    <w:rsid w:val="006F1425"/>
    <w:rsid w:val="006F1500"/>
    <w:rsid w:val="006F1953"/>
    <w:rsid w:val="006F1A3E"/>
    <w:rsid w:val="006F1A5D"/>
    <w:rsid w:val="006F1E6F"/>
    <w:rsid w:val="006F2300"/>
    <w:rsid w:val="006F2325"/>
    <w:rsid w:val="006F27AB"/>
    <w:rsid w:val="006F28FE"/>
    <w:rsid w:val="006F2F8A"/>
    <w:rsid w:val="006F31E4"/>
    <w:rsid w:val="006F31E5"/>
    <w:rsid w:val="006F325F"/>
    <w:rsid w:val="006F3282"/>
    <w:rsid w:val="006F365E"/>
    <w:rsid w:val="006F3A15"/>
    <w:rsid w:val="006F3A8A"/>
    <w:rsid w:val="006F3BE5"/>
    <w:rsid w:val="006F3CB3"/>
    <w:rsid w:val="006F3CD7"/>
    <w:rsid w:val="006F3E14"/>
    <w:rsid w:val="006F3F4F"/>
    <w:rsid w:val="006F4231"/>
    <w:rsid w:val="006F4323"/>
    <w:rsid w:val="006F437C"/>
    <w:rsid w:val="006F438A"/>
    <w:rsid w:val="006F4424"/>
    <w:rsid w:val="006F4549"/>
    <w:rsid w:val="006F4678"/>
    <w:rsid w:val="006F48F3"/>
    <w:rsid w:val="006F49C0"/>
    <w:rsid w:val="006F4A18"/>
    <w:rsid w:val="006F50F4"/>
    <w:rsid w:val="006F5261"/>
    <w:rsid w:val="006F52AB"/>
    <w:rsid w:val="006F52AF"/>
    <w:rsid w:val="006F52DE"/>
    <w:rsid w:val="006F53CD"/>
    <w:rsid w:val="006F544B"/>
    <w:rsid w:val="006F5562"/>
    <w:rsid w:val="006F5926"/>
    <w:rsid w:val="006F5980"/>
    <w:rsid w:val="006F5A0B"/>
    <w:rsid w:val="006F5AD6"/>
    <w:rsid w:val="006F5C80"/>
    <w:rsid w:val="006F5C9C"/>
    <w:rsid w:val="006F5DE4"/>
    <w:rsid w:val="006F5DFE"/>
    <w:rsid w:val="006F5ED3"/>
    <w:rsid w:val="006F5F35"/>
    <w:rsid w:val="006F5F86"/>
    <w:rsid w:val="006F610E"/>
    <w:rsid w:val="006F6159"/>
    <w:rsid w:val="006F63C7"/>
    <w:rsid w:val="006F65B4"/>
    <w:rsid w:val="006F6677"/>
    <w:rsid w:val="006F68E7"/>
    <w:rsid w:val="006F6B35"/>
    <w:rsid w:val="006F6BCA"/>
    <w:rsid w:val="006F6BE8"/>
    <w:rsid w:val="006F6CF4"/>
    <w:rsid w:val="006F6D7D"/>
    <w:rsid w:val="006F6E0D"/>
    <w:rsid w:val="006F7106"/>
    <w:rsid w:val="006F71D3"/>
    <w:rsid w:val="006F72D8"/>
    <w:rsid w:val="006F736C"/>
    <w:rsid w:val="006F7521"/>
    <w:rsid w:val="006F758B"/>
    <w:rsid w:val="006F7637"/>
    <w:rsid w:val="006F79B3"/>
    <w:rsid w:val="006F7A0C"/>
    <w:rsid w:val="006F7B3F"/>
    <w:rsid w:val="006F7BAB"/>
    <w:rsid w:val="006F7C9C"/>
    <w:rsid w:val="006F7F54"/>
    <w:rsid w:val="006F7FFC"/>
    <w:rsid w:val="00700043"/>
    <w:rsid w:val="00700628"/>
    <w:rsid w:val="0070096C"/>
    <w:rsid w:val="00700D13"/>
    <w:rsid w:val="00700D4D"/>
    <w:rsid w:val="00700E73"/>
    <w:rsid w:val="00701011"/>
    <w:rsid w:val="0070132C"/>
    <w:rsid w:val="00701420"/>
    <w:rsid w:val="0070145E"/>
    <w:rsid w:val="00701509"/>
    <w:rsid w:val="00701816"/>
    <w:rsid w:val="007019AA"/>
    <w:rsid w:val="00701AF0"/>
    <w:rsid w:val="00701B11"/>
    <w:rsid w:val="00701EDB"/>
    <w:rsid w:val="00701F25"/>
    <w:rsid w:val="00701F33"/>
    <w:rsid w:val="00702019"/>
    <w:rsid w:val="00702115"/>
    <w:rsid w:val="0070223B"/>
    <w:rsid w:val="00702244"/>
    <w:rsid w:val="00702252"/>
    <w:rsid w:val="00702348"/>
    <w:rsid w:val="00702398"/>
    <w:rsid w:val="00702423"/>
    <w:rsid w:val="0070261F"/>
    <w:rsid w:val="00702709"/>
    <w:rsid w:val="00702860"/>
    <w:rsid w:val="00702970"/>
    <w:rsid w:val="00702A16"/>
    <w:rsid w:val="00702A2D"/>
    <w:rsid w:val="00702AC8"/>
    <w:rsid w:val="00702C08"/>
    <w:rsid w:val="00702CE6"/>
    <w:rsid w:val="00702D1D"/>
    <w:rsid w:val="00702F92"/>
    <w:rsid w:val="00702FFF"/>
    <w:rsid w:val="007031CC"/>
    <w:rsid w:val="007032E5"/>
    <w:rsid w:val="007036B6"/>
    <w:rsid w:val="0070372D"/>
    <w:rsid w:val="00703847"/>
    <w:rsid w:val="00703A9C"/>
    <w:rsid w:val="00703C73"/>
    <w:rsid w:val="00703DBF"/>
    <w:rsid w:val="00703FA5"/>
    <w:rsid w:val="007040FA"/>
    <w:rsid w:val="0070437C"/>
    <w:rsid w:val="00704493"/>
    <w:rsid w:val="007044DC"/>
    <w:rsid w:val="0070462C"/>
    <w:rsid w:val="0070463E"/>
    <w:rsid w:val="00704939"/>
    <w:rsid w:val="0070497A"/>
    <w:rsid w:val="00704B7F"/>
    <w:rsid w:val="00704ED8"/>
    <w:rsid w:val="007050E9"/>
    <w:rsid w:val="0070536F"/>
    <w:rsid w:val="00705525"/>
    <w:rsid w:val="00705710"/>
    <w:rsid w:val="007057F6"/>
    <w:rsid w:val="00705937"/>
    <w:rsid w:val="00705A47"/>
    <w:rsid w:val="00705C71"/>
    <w:rsid w:val="00705D92"/>
    <w:rsid w:val="00705DBA"/>
    <w:rsid w:val="00705EB4"/>
    <w:rsid w:val="00705FED"/>
    <w:rsid w:val="0070609D"/>
    <w:rsid w:val="007062CE"/>
    <w:rsid w:val="00706352"/>
    <w:rsid w:val="0070639B"/>
    <w:rsid w:val="007065A1"/>
    <w:rsid w:val="00706869"/>
    <w:rsid w:val="0070695B"/>
    <w:rsid w:val="0070699E"/>
    <w:rsid w:val="007069E6"/>
    <w:rsid w:val="00706B5A"/>
    <w:rsid w:val="00706B91"/>
    <w:rsid w:val="00706BE7"/>
    <w:rsid w:val="00707114"/>
    <w:rsid w:val="007071DB"/>
    <w:rsid w:val="007071EB"/>
    <w:rsid w:val="00707222"/>
    <w:rsid w:val="007072A9"/>
    <w:rsid w:val="0070759F"/>
    <w:rsid w:val="007075CE"/>
    <w:rsid w:val="007077DC"/>
    <w:rsid w:val="00707C1C"/>
    <w:rsid w:val="00707C7B"/>
    <w:rsid w:val="00707D29"/>
    <w:rsid w:val="00707F05"/>
    <w:rsid w:val="0070B7C5"/>
    <w:rsid w:val="00710092"/>
    <w:rsid w:val="007105B3"/>
    <w:rsid w:val="007106D6"/>
    <w:rsid w:val="00710702"/>
    <w:rsid w:val="007107DF"/>
    <w:rsid w:val="00710AA1"/>
    <w:rsid w:val="00710AA5"/>
    <w:rsid w:val="00710D44"/>
    <w:rsid w:val="00710EA1"/>
    <w:rsid w:val="00710EA6"/>
    <w:rsid w:val="00711058"/>
    <w:rsid w:val="007110D3"/>
    <w:rsid w:val="0071128E"/>
    <w:rsid w:val="007112F1"/>
    <w:rsid w:val="007113FF"/>
    <w:rsid w:val="0071146C"/>
    <w:rsid w:val="00711621"/>
    <w:rsid w:val="007116C7"/>
    <w:rsid w:val="0071192B"/>
    <w:rsid w:val="0071199A"/>
    <w:rsid w:val="00711B19"/>
    <w:rsid w:val="00711BB7"/>
    <w:rsid w:val="00711F98"/>
    <w:rsid w:val="00712558"/>
    <w:rsid w:val="007125F5"/>
    <w:rsid w:val="007128C8"/>
    <w:rsid w:val="007128FE"/>
    <w:rsid w:val="0071293B"/>
    <w:rsid w:val="00712AD2"/>
    <w:rsid w:val="00712C0D"/>
    <w:rsid w:val="00712C3D"/>
    <w:rsid w:val="00712FC8"/>
    <w:rsid w:val="00712FCA"/>
    <w:rsid w:val="007131D4"/>
    <w:rsid w:val="007131DF"/>
    <w:rsid w:val="00713308"/>
    <w:rsid w:val="0071336F"/>
    <w:rsid w:val="00713683"/>
    <w:rsid w:val="0071372F"/>
    <w:rsid w:val="007137EA"/>
    <w:rsid w:val="0071386C"/>
    <w:rsid w:val="00713A2A"/>
    <w:rsid w:val="00713A8A"/>
    <w:rsid w:val="00713B1F"/>
    <w:rsid w:val="00713B52"/>
    <w:rsid w:val="00713D41"/>
    <w:rsid w:val="00713DDC"/>
    <w:rsid w:val="00713EA8"/>
    <w:rsid w:val="00713FF4"/>
    <w:rsid w:val="0071400E"/>
    <w:rsid w:val="007140FB"/>
    <w:rsid w:val="00714346"/>
    <w:rsid w:val="0071442C"/>
    <w:rsid w:val="00714593"/>
    <w:rsid w:val="007145D8"/>
    <w:rsid w:val="00714652"/>
    <w:rsid w:val="00714710"/>
    <w:rsid w:val="0071489F"/>
    <w:rsid w:val="00714B6F"/>
    <w:rsid w:val="00714D81"/>
    <w:rsid w:val="00714F63"/>
    <w:rsid w:val="00715017"/>
    <w:rsid w:val="0071509B"/>
    <w:rsid w:val="0071536D"/>
    <w:rsid w:val="007153F9"/>
    <w:rsid w:val="007154B3"/>
    <w:rsid w:val="007158F5"/>
    <w:rsid w:val="0071590B"/>
    <w:rsid w:val="00715A0A"/>
    <w:rsid w:val="00715ADA"/>
    <w:rsid w:val="00715B6A"/>
    <w:rsid w:val="00715B82"/>
    <w:rsid w:val="00715B99"/>
    <w:rsid w:val="00715CB1"/>
    <w:rsid w:val="00715D15"/>
    <w:rsid w:val="00715DA7"/>
    <w:rsid w:val="00715E85"/>
    <w:rsid w:val="007160B1"/>
    <w:rsid w:val="007161FE"/>
    <w:rsid w:val="00716276"/>
    <w:rsid w:val="00716313"/>
    <w:rsid w:val="00716501"/>
    <w:rsid w:val="00716544"/>
    <w:rsid w:val="0071677F"/>
    <w:rsid w:val="0071689F"/>
    <w:rsid w:val="007168ED"/>
    <w:rsid w:val="00716A6A"/>
    <w:rsid w:val="00716EFD"/>
    <w:rsid w:val="00716F9C"/>
    <w:rsid w:val="007171EA"/>
    <w:rsid w:val="00717371"/>
    <w:rsid w:val="007173BD"/>
    <w:rsid w:val="00717404"/>
    <w:rsid w:val="0071741B"/>
    <w:rsid w:val="00717483"/>
    <w:rsid w:val="0071748C"/>
    <w:rsid w:val="0071765E"/>
    <w:rsid w:val="00717845"/>
    <w:rsid w:val="00717876"/>
    <w:rsid w:val="0071793D"/>
    <w:rsid w:val="00717AFA"/>
    <w:rsid w:val="00717B14"/>
    <w:rsid w:val="00717C78"/>
    <w:rsid w:val="00717FBB"/>
    <w:rsid w:val="0072016C"/>
    <w:rsid w:val="00720371"/>
    <w:rsid w:val="007203CB"/>
    <w:rsid w:val="00720594"/>
    <w:rsid w:val="007207B6"/>
    <w:rsid w:val="007207C7"/>
    <w:rsid w:val="00720936"/>
    <w:rsid w:val="00720951"/>
    <w:rsid w:val="007209B7"/>
    <w:rsid w:val="00720D1E"/>
    <w:rsid w:val="00720FA1"/>
    <w:rsid w:val="00721010"/>
    <w:rsid w:val="00721076"/>
    <w:rsid w:val="00721227"/>
    <w:rsid w:val="007213F7"/>
    <w:rsid w:val="0072183F"/>
    <w:rsid w:val="007218B8"/>
    <w:rsid w:val="007219A2"/>
    <w:rsid w:val="007219EE"/>
    <w:rsid w:val="00721A17"/>
    <w:rsid w:val="00721BE0"/>
    <w:rsid w:val="00721C3A"/>
    <w:rsid w:val="00721C4A"/>
    <w:rsid w:val="00721F12"/>
    <w:rsid w:val="007221DB"/>
    <w:rsid w:val="007223A3"/>
    <w:rsid w:val="00722400"/>
    <w:rsid w:val="007224EC"/>
    <w:rsid w:val="00722517"/>
    <w:rsid w:val="007227B2"/>
    <w:rsid w:val="007228E7"/>
    <w:rsid w:val="007228EC"/>
    <w:rsid w:val="00722BE5"/>
    <w:rsid w:val="00722F19"/>
    <w:rsid w:val="00722FB4"/>
    <w:rsid w:val="00723105"/>
    <w:rsid w:val="0072338C"/>
    <w:rsid w:val="007233E5"/>
    <w:rsid w:val="007235C5"/>
    <w:rsid w:val="00723608"/>
    <w:rsid w:val="007237CD"/>
    <w:rsid w:val="0072380C"/>
    <w:rsid w:val="0072385D"/>
    <w:rsid w:val="007238DC"/>
    <w:rsid w:val="00723904"/>
    <w:rsid w:val="00723C15"/>
    <w:rsid w:val="0072400B"/>
    <w:rsid w:val="00724059"/>
    <w:rsid w:val="007240F1"/>
    <w:rsid w:val="0072417C"/>
    <w:rsid w:val="007242B5"/>
    <w:rsid w:val="00724437"/>
    <w:rsid w:val="00724441"/>
    <w:rsid w:val="007246CA"/>
    <w:rsid w:val="0072487B"/>
    <w:rsid w:val="00724A10"/>
    <w:rsid w:val="00724A1B"/>
    <w:rsid w:val="00724B40"/>
    <w:rsid w:val="00724B61"/>
    <w:rsid w:val="00724C0B"/>
    <w:rsid w:val="00724D76"/>
    <w:rsid w:val="00724F0C"/>
    <w:rsid w:val="00724F6A"/>
    <w:rsid w:val="0072521A"/>
    <w:rsid w:val="00725251"/>
    <w:rsid w:val="0072543D"/>
    <w:rsid w:val="007254A7"/>
    <w:rsid w:val="00725554"/>
    <w:rsid w:val="007255BD"/>
    <w:rsid w:val="0072563D"/>
    <w:rsid w:val="00725927"/>
    <w:rsid w:val="00725B3A"/>
    <w:rsid w:val="00725CCA"/>
    <w:rsid w:val="00725D32"/>
    <w:rsid w:val="00725EDD"/>
    <w:rsid w:val="007260EA"/>
    <w:rsid w:val="007261B4"/>
    <w:rsid w:val="007262DF"/>
    <w:rsid w:val="00726356"/>
    <w:rsid w:val="00726438"/>
    <w:rsid w:val="007264D1"/>
    <w:rsid w:val="0072663C"/>
    <w:rsid w:val="007267FB"/>
    <w:rsid w:val="00726A57"/>
    <w:rsid w:val="00726D24"/>
    <w:rsid w:val="00726E8E"/>
    <w:rsid w:val="00726FFD"/>
    <w:rsid w:val="0072710F"/>
    <w:rsid w:val="00727387"/>
    <w:rsid w:val="007275DF"/>
    <w:rsid w:val="007275F8"/>
    <w:rsid w:val="00727A7E"/>
    <w:rsid w:val="00727BAE"/>
    <w:rsid w:val="00727BD6"/>
    <w:rsid w:val="00727CE6"/>
    <w:rsid w:val="00727D78"/>
    <w:rsid w:val="00727DE3"/>
    <w:rsid w:val="00727F62"/>
    <w:rsid w:val="007302FB"/>
    <w:rsid w:val="007304EF"/>
    <w:rsid w:val="00730585"/>
    <w:rsid w:val="00730588"/>
    <w:rsid w:val="007306D0"/>
    <w:rsid w:val="00730BEF"/>
    <w:rsid w:val="00730D27"/>
    <w:rsid w:val="00730F4D"/>
    <w:rsid w:val="007311B8"/>
    <w:rsid w:val="007312CE"/>
    <w:rsid w:val="007313BF"/>
    <w:rsid w:val="00731713"/>
    <w:rsid w:val="007319FA"/>
    <w:rsid w:val="00731B25"/>
    <w:rsid w:val="00731B46"/>
    <w:rsid w:val="00731BEA"/>
    <w:rsid w:val="0073207A"/>
    <w:rsid w:val="007320D2"/>
    <w:rsid w:val="0073213E"/>
    <w:rsid w:val="0073218C"/>
    <w:rsid w:val="007322AE"/>
    <w:rsid w:val="00732317"/>
    <w:rsid w:val="0073244B"/>
    <w:rsid w:val="0073292D"/>
    <w:rsid w:val="00732ACC"/>
    <w:rsid w:val="00732ADB"/>
    <w:rsid w:val="00732D31"/>
    <w:rsid w:val="00732DA3"/>
    <w:rsid w:val="00732E48"/>
    <w:rsid w:val="00733312"/>
    <w:rsid w:val="00733370"/>
    <w:rsid w:val="007333D4"/>
    <w:rsid w:val="0073344E"/>
    <w:rsid w:val="007334F3"/>
    <w:rsid w:val="007335B8"/>
    <w:rsid w:val="00733A79"/>
    <w:rsid w:val="00733CE2"/>
    <w:rsid w:val="00733F56"/>
    <w:rsid w:val="00734067"/>
    <w:rsid w:val="007341EC"/>
    <w:rsid w:val="007342C8"/>
    <w:rsid w:val="007345A8"/>
    <w:rsid w:val="007346B3"/>
    <w:rsid w:val="00734838"/>
    <w:rsid w:val="00734973"/>
    <w:rsid w:val="00734BD2"/>
    <w:rsid w:val="00734CC9"/>
    <w:rsid w:val="00734D2B"/>
    <w:rsid w:val="00734E1E"/>
    <w:rsid w:val="00735194"/>
    <w:rsid w:val="00735572"/>
    <w:rsid w:val="0073567B"/>
    <w:rsid w:val="00735823"/>
    <w:rsid w:val="0073594C"/>
    <w:rsid w:val="00735A26"/>
    <w:rsid w:val="00735B43"/>
    <w:rsid w:val="00735B49"/>
    <w:rsid w:val="00735CF3"/>
    <w:rsid w:val="00735D28"/>
    <w:rsid w:val="007363D6"/>
    <w:rsid w:val="007363E1"/>
    <w:rsid w:val="00736449"/>
    <w:rsid w:val="007364FC"/>
    <w:rsid w:val="0073654E"/>
    <w:rsid w:val="00736596"/>
    <w:rsid w:val="007369B9"/>
    <w:rsid w:val="00737112"/>
    <w:rsid w:val="0073712C"/>
    <w:rsid w:val="00737299"/>
    <w:rsid w:val="007374C9"/>
    <w:rsid w:val="00737724"/>
    <w:rsid w:val="00737A28"/>
    <w:rsid w:val="00740102"/>
    <w:rsid w:val="00740175"/>
    <w:rsid w:val="00740189"/>
    <w:rsid w:val="007403B1"/>
    <w:rsid w:val="007404E5"/>
    <w:rsid w:val="007405A8"/>
    <w:rsid w:val="007406D7"/>
    <w:rsid w:val="00740B0C"/>
    <w:rsid w:val="00740B62"/>
    <w:rsid w:val="00740BD9"/>
    <w:rsid w:val="00740CC5"/>
    <w:rsid w:val="00740F97"/>
    <w:rsid w:val="007411CD"/>
    <w:rsid w:val="00741378"/>
    <w:rsid w:val="00741383"/>
    <w:rsid w:val="00741481"/>
    <w:rsid w:val="0074149F"/>
    <w:rsid w:val="00741727"/>
    <w:rsid w:val="007419F9"/>
    <w:rsid w:val="00741CE7"/>
    <w:rsid w:val="00741D24"/>
    <w:rsid w:val="00741D72"/>
    <w:rsid w:val="00741ED9"/>
    <w:rsid w:val="00741F72"/>
    <w:rsid w:val="0074218B"/>
    <w:rsid w:val="007421C7"/>
    <w:rsid w:val="00742225"/>
    <w:rsid w:val="00742268"/>
    <w:rsid w:val="00742435"/>
    <w:rsid w:val="00742486"/>
    <w:rsid w:val="007427F0"/>
    <w:rsid w:val="0074281B"/>
    <w:rsid w:val="0074285C"/>
    <w:rsid w:val="0074291C"/>
    <w:rsid w:val="00742B1F"/>
    <w:rsid w:val="00742DFE"/>
    <w:rsid w:val="00742F67"/>
    <w:rsid w:val="00743090"/>
    <w:rsid w:val="00743134"/>
    <w:rsid w:val="00743264"/>
    <w:rsid w:val="007432F8"/>
    <w:rsid w:val="00743396"/>
    <w:rsid w:val="00743624"/>
    <w:rsid w:val="00743755"/>
    <w:rsid w:val="007437B2"/>
    <w:rsid w:val="0074381F"/>
    <w:rsid w:val="00743821"/>
    <w:rsid w:val="0074389A"/>
    <w:rsid w:val="007439BE"/>
    <w:rsid w:val="00743A1D"/>
    <w:rsid w:val="00743B62"/>
    <w:rsid w:val="00743D06"/>
    <w:rsid w:val="00743E5E"/>
    <w:rsid w:val="00743F6A"/>
    <w:rsid w:val="0074401A"/>
    <w:rsid w:val="00744076"/>
    <w:rsid w:val="00744113"/>
    <w:rsid w:val="00744441"/>
    <w:rsid w:val="007444E8"/>
    <w:rsid w:val="0074453D"/>
    <w:rsid w:val="0074455D"/>
    <w:rsid w:val="00744757"/>
    <w:rsid w:val="00744863"/>
    <w:rsid w:val="0074487E"/>
    <w:rsid w:val="0074502E"/>
    <w:rsid w:val="007450BE"/>
    <w:rsid w:val="007450CA"/>
    <w:rsid w:val="00745266"/>
    <w:rsid w:val="00745566"/>
    <w:rsid w:val="0074558D"/>
    <w:rsid w:val="00745636"/>
    <w:rsid w:val="007456CE"/>
    <w:rsid w:val="007456D8"/>
    <w:rsid w:val="00745A6A"/>
    <w:rsid w:val="00745B4C"/>
    <w:rsid w:val="00745B61"/>
    <w:rsid w:val="00745D0A"/>
    <w:rsid w:val="00745DBC"/>
    <w:rsid w:val="00746318"/>
    <w:rsid w:val="0074635F"/>
    <w:rsid w:val="007464FF"/>
    <w:rsid w:val="00746505"/>
    <w:rsid w:val="00746565"/>
    <w:rsid w:val="00746605"/>
    <w:rsid w:val="00746606"/>
    <w:rsid w:val="0074664A"/>
    <w:rsid w:val="00746A17"/>
    <w:rsid w:val="00746B40"/>
    <w:rsid w:val="007470A0"/>
    <w:rsid w:val="00747105"/>
    <w:rsid w:val="0074711D"/>
    <w:rsid w:val="007471A8"/>
    <w:rsid w:val="007471DF"/>
    <w:rsid w:val="00747237"/>
    <w:rsid w:val="00747371"/>
    <w:rsid w:val="0074738C"/>
    <w:rsid w:val="007473A9"/>
    <w:rsid w:val="0074742E"/>
    <w:rsid w:val="00747539"/>
    <w:rsid w:val="007475AB"/>
    <w:rsid w:val="00747715"/>
    <w:rsid w:val="007477A9"/>
    <w:rsid w:val="007477E3"/>
    <w:rsid w:val="00747856"/>
    <w:rsid w:val="00747923"/>
    <w:rsid w:val="00747A36"/>
    <w:rsid w:val="00747A9D"/>
    <w:rsid w:val="00747E90"/>
    <w:rsid w:val="00747E93"/>
    <w:rsid w:val="00747FD1"/>
    <w:rsid w:val="00750024"/>
    <w:rsid w:val="0075015D"/>
    <w:rsid w:val="007501E2"/>
    <w:rsid w:val="007503B8"/>
    <w:rsid w:val="00750419"/>
    <w:rsid w:val="0075073A"/>
    <w:rsid w:val="00750750"/>
    <w:rsid w:val="00750951"/>
    <w:rsid w:val="00750988"/>
    <w:rsid w:val="007509F9"/>
    <w:rsid w:val="00750A60"/>
    <w:rsid w:val="00750B42"/>
    <w:rsid w:val="00750B9C"/>
    <w:rsid w:val="00750D79"/>
    <w:rsid w:val="0075140B"/>
    <w:rsid w:val="00751527"/>
    <w:rsid w:val="00751809"/>
    <w:rsid w:val="00751A98"/>
    <w:rsid w:val="00751B4A"/>
    <w:rsid w:val="00751CFD"/>
    <w:rsid w:val="00752312"/>
    <w:rsid w:val="00752342"/>
    <w:rsid w:val="00752579"/>
    <w:rsid w:val="007528B1"/>
    <w:rsid w:val="00752A05"/>
    <w:rsid w:val="00752B31"/>
    <w:rsid w:val="00752C1F"/>
    <w:rsid w:val="00752CC7"/>
    <w:rsid w:val="00753181"/>
    <w:rsid w:val="0075318A"/>
    <w:rsid w:val="007533ED"/>
    <w:rsid w:val="00753688"/>
    <w:rsid w:val="0075369E"/>
    <w:rsid w:val="007536F7"/>
    <w:rsid w:val="00753881"/>
    <w:rsid w:val="00753A4B"/>
    <w:rsid w:val="00753BCA"/>
    <w:rsid w:val="00753CEA"/>
    <w:rsid w:val="00754091"/>
    <w:rsid w:val="0075412B"/>
    <w:rsid w:val="007541B3"/>
    <w:rsid w:val="0075445A"/>
    <w:rsid w:val="00754684"/>
    <w:rsid w:val="00754F4A"/>
    <w:rsid w:val="00754FB8"/>
    <w:rsid w:val="0075528C"/>
    <w:rsid w:val="0075547A"/>
    <w:rsid w:val="00755B88"/>
    <w:rsid w:val="00756075"/>
    <w:rsid w:val="007560FE"/>
    <w:rsid w:val="00756155"/>
    <w:rsid w:val="007563F0"/>
    <w:rsid w:val="00756491"/>
    <w:rsid w:val="00756658"/>
    <w:rsid w:val="00756849"/>
    <w:rsid w:val="007568CF"/>
    <w:rsid w:val="0075696E"/>
    <w:rsid w:val="007569D8"/>
    <w:rsid w:val="00756AC9"/>
    <w:rsid w:val="00756AFE"/>
    <w:rsid w:val="00756C3A"/>
    <w:rsid w:val="00756D12"/>
    <w:rsid w:val="00756EBB"/>
    <w:rsid w:val="00757173"/>
    <w:rsid w:val="00757176"/>
    <w:rsid w:val="0075718B"/>
    <w:rsid w:val="00757388"/>
    <w:rsid w:val="0075766B"/>
    <w:rsid w:val="00757697"/>
    <w:rsid w:val="00757863"/>
    <w:rsid w:val="0075794F"/>
    <w:rsid w:val="00757959"/>
    <w:rsid w:val="00757A21"/>
    <w:rsid w:val="00757B29"/>
    <w:rsid w:val="00757C1B"/>
    <w:rsid w:val="00757DB1"/>
    <w:rsid w:val="00757E7B"/>
    <w:rsid w:val="00757F51"/>
    <w:rsid w:val="00757FBD"/>
    <w:rsid w:val="00760240"/>
    <w:rsid w:val="0076058B"/>
    <w:rsid w:val="00760A90"/>
    <w:rsid w:val="00760B92"/>
    <w:rsid w:val="00760C3B"/>
    <w:rsid w:val="00760C7A"/>
    <w:rsid w:val="00760EC5"/>
    <w:rsid w:val="00760FB3"/>
    <w:rsid w:val="007612BE"/>
    <w:rsid w:val="0076155F"/>
    <w:rsid w:val="0076167C"/>
    <w:rsid w:val="007618B6"/>
    <w:rsid w:val="007618D6"/>
    <w:rsid w:val="00761B21"/>
    <w:rsid w:val="00761E10"/>
    <w:rsid w:val="00762453"/>
    <w:rsid w:val="0076281C"/>
    <w:rsid w:val="0076295F"/>
    <w:rsid w:val="00762A76"/>
    <w:rsid w:val="00762AD8"/>
    <w:rsid w:val="00762D71"/>
    <w:rsid w:val="00762D76"/>
    <w:rsid w:val="00762D98"/>
    <w:rsid w:val="00763081"/>
    <w:rsid w:val="007630B7"/>
    <w:rsid w:val="00763141"/>
    <w:rsid w:val="0076315E"/>
    <w:rsid w:val="007632D2"/>
    <w:rsid w:val="007634EE"/>
    <w:rsid w:val="007635C9"/>
    <w:rsid w:val="00763A8E"/>
    <w:rsid w:val="00763B3A"/>
    <w:rsid w:val="00763C7A"/>
    <w:rsid w:val="00763C8C"/>
    <w:rsid w:val="0076401A"/>
    <w:rsid w:val="00764183"/>
    <w:rsid w:val="007641AB"/>
    <w:rsid w:val="007646BF"/>
    <w:rsid w:val="00764722"/>
    <w:rsid w:val="007648CD"/>
    <w:rsid w:val="007649A8"/>
    <w:rsid w:val="00764A86"/>
    <w:rsid w:val="00764D08"/>
    <w:rsid w:val="00764ECE"/>
    <w:rsid w:val="00764FA9"/>
    <w:rsid w:val="00764FEA"/>
    <w:rsid w:val="00764FEF"/>
    <w:rsid w:val="0076503F"/>
    <w:rsid w:val="00765494"/>
    <w:rsid w:val="007655FB"/>
    <w:rsid w:val="00765803"/>
    <w:rsid w:val="00765863"/>
    <w:rsid w:val="00765C5B"/>
    <w:rsid w:val="007661D6"/>
    <w:rsid w:val="00766393"/>
    <w:rsid w:val="0076666C"/>
    <w:rsid w:val="00766847"/>
    <w:rsid w:val="0076688C"/>
    <w:rsid w:val="0076690B"/>
    <w:rsid w:val="00766F5E"/>
    <w:rsid w:val="0076704C"/>
    <w:rsid w:val="007670FC"/>
    <w:rsid w:val="007671A5"/>
    <w:rsid w:val="0076725E"/>
    <w:rsid w:val="007673B3"/>
    <w:rsid w:val="007675F2"/>
    <w:rsid w:val="0076788D"/>
    <w:rsid w:val="007678DD"/>
    <w:rsid w:val="007679BB"/>
    <w:rsid w:val="00767C95"/>
    <w:rsid w:val="00767D7C"/>
    <w:rsid w:val="00767E0E"/>
    <w:rsid w:val="00767E97"/>
    <w:rsid w:val="00770180"/>
    <w:rsid w:val="00770269"/>
    <w:rsid w:val="007702C8"/>
    <w:rsid w:val="007705EC"/>
    <w:rsid w:val="00770642"/>
    <w:rsid w:val="007706E5"/>
    <w:rsid w:val="00770740"/>
    <w:rsid w:val="00770AE9"/>
    <w:rsid w:val="00770BC9"/>
    <w:rsid w:val="00770C61"/>
    <w:rsid w:val="00770C68"/>
    <w:rsid w:val="00770CA9"/>
    <w:rsid w:val="00771481"/>
    <w:rsid w:val="007714DB"/>
    <w:rsid w:val="00771556"/>
    <w:rsid w:val="007715F4"/>
    <w:rsid w:val="007717B8"/>
    <w:rsid w:val="007717C6"/>
    <w:rsid w:val="007718BB"/>
    <w:rsid w:val="00771B34"/>
    <w:rsid w:val="00771D81"/>
    <w:rsid w:val="00771DE4"/>
    <w:rsid w:val="00771DEB"/>
    <w:rsid w:val="00771E5D"/>
    <w:rsid w:val="00771E7B"/>
    <w:rsid w:val="00771F57"/>
    <w:rsid w:val="00771F7A"/>
    <w:rsid w:val="00771FA3"/>
    <w:rsid w:val="007720E3"/>
    <w:rsid w:val="007723BD"/>
    <w:rsid w:val="00772556"/>
    <w:rsid w:val="00772841"/>
    <w:rsid w:val="00772EC0"/>
    <w:rsid w:val="0077311F"/>
    <w:rsid w:val="00773417"/>
    <w:rsid w:val="007734D3"/>
    <w:rsid w:val="0077350C"/>
    <w:rsid w:val="007735F4"/>
    <w:rsid w:val="0077368C"/>
    <w:rsid w:val="007736BA"/>
    <w:rsid w:val="00773A6C"/>
    <w:rsid w:val="00773C47"/>
    <w:rsid w:val="00773EBC"/>
    <w:rsid w:val="007740D9"/>
    <w:rsid w:val="0077413A"/>
    <w:rsid w:val="00774258"/>
    <w:rsid w:val="007742EE"/>
    <w:rsid w:val="00774358"/>
    <w:rsid w:val="007743BF"/>
    <w:rsid w:val="007743F9"/>
    <w:rsid w:val="00774501"/>
    <w:rsid w:val="007746C8"/>
    <w:rsid w:val="00774C14"/>
    <w:rsid w:val="00774CDE"/>
    <w:rsid w:val="00774DDA"/>
    <w:rsid w:val="00774E56"/>
    <w:rsid w:val="00774E60"/>
    <w:rsid w:val="00774F05"/>
    <w:rsid w:val="00775080"/>
    <w:rsid w:val="007750DE"/>
    <w:rsid w:val="0077513C"/>
    <w:rsid w:val="00775141"/>
    <w:rsid w:val="007752C7"/>
    <w:rsid w:val="00775337"/>
    <w:rsid w:val="00775497"/>
    <w:rsid w:val="00775598"/>
    <w:rsid w:val="00775671"/>
    <w:rsid w:val="00775788"/>
    <w:rsid w:val="007757CD"/>
    <w:rsid w:val="007758A9"/>
    <w:rsid w:val="00775F51"/>
    <w:rsid w:val="00776299"/>
    <w:rsid w:val="00776363"/>
    <w:rsid w:val="00776379"/>
    <w:rsid w:val="007763D0"/>
    <w:rsid w:val="007763D6"/>
    <w:rsid w:val="007769B6"/>
    <w:rsid w:val="007769CA"/>
    <w:rsid w:val="007769E2"/>
    <w:rsid w:val="00776AFB"/>
    <w:rsid w:val="00777021"/>
    <w:rsid w:val="007770DA"/>
    <w:rsid w:val="00777144"/>
    <w:rsid w:val="00777404"/>
    <w:rsid w:val="0077740A"/>
    <w:rsid w:val="0077744B"/>
    <w:rsid w:val="00777495"/>
    <w:rsid w:val="00777578"/>
    <w:rsid w:val="0077768A"/>
    <w:rsid w:val="007776FC"/>
    <w:rsid w:val="007777B9"/>
    <w:rsid w:val="007778C6"/>
    <w:rsid w:val="00777B35"/>
    <w:rsid w:val="00777BBC"/>
    <w:rsid w:val="00777BFA"/>
    <w:rsid w:val="00777EE1"/>
    <w:rsid w:val="00780043"/>
    <w:rsid w:val="0078009E"/>
    <w:rsid w:val="00780408"/>
    <w:rsid w:val="00780471"/>
    <w:rsid w:val="0078058D"/>
    <w:rsid w:val="00780666"/>
    <w:rsid w:val="00780741"/>
    <w:rsid w:val="00780743"/>
    <w:rsid w:val="00780754"/>
    <w:rsid w:val="0078088A"/>
    <w:rsid w:val="00780B7A"/>
    <w:rsid w:val="00780F8E"/>
    <w:rsid w:val="007811A8"/>
    <w:rsid w:val="007815EF"/>
    <w:rsid w:val="007816C5"/>
    <w:rsid w:val="007817B1"/>
    <w:rsid w:val="00781983"/>
    <w:rsid w:val="007819DF"/>
    <w:rsid w:val="00781B85"/>
    <w:rsid w:val="00781ECA"/>
    <w:rsid w:val="00781F6A"/>
    <w:rsid w:val="00782063"/>
    <w:rsid w:val="007820C2"/>
    <w:rsid w:val="0078225F"/>
    <w:rsid w:val="0078255A"/>
    <w:rsid w:val="00782564"/>
    <w:rsid w:val="007825AF"/>
    <w:rsid w:val="007825C6"/>
    <w:rsid w:val="00782620"/>
    <w:rsid w:val="00782F73"/>
    <w:rsid w:val="00782FDB"/>
    <w:rsid w:val="00783231"/>
    <w:rsid w:val="007832AB"/>
    <w:rsid w:val="0078336C"/>
    <w:rsid w:val="00783732"/>
    <w:rsid w:val="00783759"/>
    <w:rsid w:val="00783772"/>
    <w:rsid w:val="00783786"/>
    <w:rsid w:val="00783A8B"/>
    <w:rsid w:val="00783C95"/>
    <w:rsid w:val="00783DDB"/>
    <w:rsid w:val="00783E94"/>
    <w:rsid w:val="0078401C"/>
    <w:rsid w:val="007842BA"/>
    <w:rsid w:val="0078436A"/>
    <w:rsid w:val="0078482C"/>
    <w:rsid w:val="00784CDB"/>
    <w:rsid w:val="00784E58"/>
    <w:rsid w:val="00784E91"/>
    <w:rsid w:val="00784F05"/>
    <w:rsid w:val="00785015"/>
    <w:rsid w:val="00785068"/>
    <w:rsid w:val="007850B5"/>
    <w:rsid w:val="007850C6"/>
    <w:rsid w:val="0078521B"/>
    <w:rsid w:val="00785369"/>
    <w:rsid w:val="007853AC"/>
    <w:rsid w:val="007855B6"/>
    <w:rsid w:val="007858D6"/>
    <w:rsid w:val="007859DF"/>
    <w:rsid w:val="00785C85"/>
    <w:rsid w:val="00785F56"/>
    <w:rsid w:val="00786011"/>
    <w:rsid w:val="00786255"/>
    <w:rsid w:val="007863F1"/>
    <w:rsid w:val="00786442"/>
    <w:rsid w:val="007865C0"/>
    <w:rsid w:val="0078669D"/>
    <w:rsid w:val="007868F7"/>
    <w:rsid w:val="00786A72"/>
    <w:rsid w:val="00786D5B"/>
    <w:rsid w:val="00787040"/>
    <w:rsid w:val="00787081"/>
    <w:rsid w:val="0078711C"/>
    <w:rsid w:val="0078716A"/>
    <w:rsid w:val="00787196"/>
    <w:rsid w:val="0078734A"/>
    <w:rsid w:val="0078736D"/>
    <w:rsid w:val="00787592"/>
    <w:rsid w:val="007876B7"/>
    <w:rsid w:val="00787732"/>
    <w:rsid w:val="0078773F"/>
    <w:rsid w:val="0078776A"/>
    <w:rsid w:val="00787826"/>
    <w:rsid w:val="00787A7E"/>
    <w:rsid w:val="00787D4E"/>
    <w:rsid w:val="00787E79"/>
    <w:rsid w:val="00790009"/>
    <w:rsid w:val="0079006C"/>
    <w:rsid w:val="00790135"/>
    <w:rsid w:val="007903FD"/>
    <w:rsid w:val="007904CB"/>
    <w:rsid w:val="007905E9"/>
    <w:rsid w:val="00790625"/>
    <w:rsid w:val="00790705"/>
    <w:rsid w:val="00790A5C"/>
    <w:rsid w:val="00790A69"/>
    <w:rsid w:val="00790B65"/>
    <w:rsid w:val="00790D50"/>
    <w:rsid w:val="00790E4F"/>
    <w:rsid w:val="00791077"/>
    <w:rsid w:val="00791187"/>
    <w:rsid w:val="00791208"/>
    <w:rsid w:val="007912E9"/>
    <w:rsid w:val="00791365"/>
    <w:rsid w:val="00791521"/>
    <w:rsid w:val="00791B44"/>
    <w:rsid w:val="00791C27"/>
    <w:rsid w:val="00791FDF"/>
    <w:rsid w:val="00791FE1"/>
    <w:rsid w:val="00792350"/>
    <w:rsid w:val="00792509"/>
    <w:rsid w:val="00792603"/>
    <w:rsid w:val="007926BD"/>
    <w:rsid w:val="0079274F"/>
    <w:rsid w:val="007927EF"/>
    <w:rsid w:val="00792894"/>
    <w:rsid w:val="007928B3"/>
    <w:rsid w:val="007928E3"/>
    <w:rsid w:val="00792A18"/>
    <w:rsid w:val="00792B6C"/>
    <w:rsid w:val="00792B8E"/>
    <w:rsid w:val="00792BD1"/>
    <w:rsid w:val="00792D91"/>
    <w:rsid w:val="00792DCB"/>
    <w:rsid w:val="00792DE9"/>
    <w:rsid w:val="00792ECC"/>
    <w:rsid w:val="0079310F"/>
    <w:rsid w:val="007933B1"/>
    <w:rsid w:val="00793573"/>
    <w:rsid w:val="007935DB"/>
    <w:rsid w:val="007935DD"/>
    <w:rsid w:val="00793680"/>
    <w:rsid w:val="007936FB"/>
    <w:rsid w:val="00793842"/>
    <w:rsid w:val="00793949"/>
    <w:rsid w:val="00793B38"/>
    <w:rsid w:val="00793D13"/>
    <w:rsid w:val="00793E44"/>
    <w:rsid w:val="00793E97"/>
    <w:rsid w:val="00793EB2"/>
    <w:rsid w:val="00793F89"/>
    <w:rsid w:val="00794187"/>
    <w:rsid w:val="0079439B"/>
    <w:rsid w:val="00794730"/>
    <w:rsid w:val="007947EF"/>
    <w:rsid w:val="00794A2B"/>
    <w:rsid w:val="00794A90"/>
    <w:rsid w:val="00794B08"/>
    <w:rsid w:val="00794B94"/>
    <w:rsid w:val="00794CAD"/>
    <w:rsid w:val="00794EBF"/>
    <w:rsid w:val="00794F47"/>
    <w:rsid w:val="00794F9E"/>
    <w:rsid w:val="007950B7"/>
    <w:rsid w:val="0079517C"/>
    <w:rsid w:val="00795221"/>
    <w:rsid w:val="0079530F"/>
    <w:rsid w:val="00795385"/>
    <w:rsid w:val="007954F6"/>
    <w:rsid w:val="007955D6"/>
    <w:rsid w:val="00795734"/>
    <w:rsid w:val="00795776"/>
    <w:rsid w:val="007957A8"/>
    <w:rsid w:val="007958B2"/>
    <w:rsid w:val="00795CFA"/>
    <w:rsid w:val="00795FDA"/>
    <w:rsid w:val="00796107"/>
    <w:rsid w:val="007962E7"/>
    <w:rsid w:val="00796348"/>
    <w:rsid w:val="00796370"/>
    <w:rsid w:val="00796378"/>
    <w:rsid w:val="00796409"/>
    <w:rsid w:val="00796424"/>
    <w:rsid w:val="00796468"/>
    <w:rsid w:val="007964A2"/>
    <w:rsid w:val="007964C3"/>
    <w:rsid w:val="007965A1"/>
    <w:rsid w:val="007965C6"/>
    <w:rsid w:val="007965DE"/>
    <w:rsid w:val="00796689"/>
    <w:rsid w:val="0079695D"/>
    <w:rsid w:val="00796A51"/>
    <w:rsid w:val="00796C0A"/>
    <w:rsid w:val="00796CDF"/>
    <w:rsid w:val="00796D5E"/>
    <w:rsid w:val="00796E30"/>
    <w:rsid w:val="00796E8B"/>
    <w:rsid w:val="00797599"/>
    <w:rsid w:val="00797869"/>
    <w:rsid w:val="00797C04"/>
    <w:rsid w:val="00797CB9"/>
    <w:rsid w:val="00797DA3"/>
    <w:rsid w:val="00797F4E"/>
    <w:rsid w:val="007A01DD"/>
    <w:rsid w:val="007A02AB"/>
    <w:rsid w:val="007A047B"/>
    <w:rsid w:val="007A053A"/>
    <w:rsid w:val="007A054C"/>
    <w:rsid w:val="007A0553"/>
    <w:rsid w:val="007A0592"/>
    <w:rsid w:val="007A08F7"/>
    <w:rsid w:val="007A09B5"/>
    <w:rsid w:val="007A09EE"/>
    <w:rsid w:val="007A0A0E"/>
    <w:rsid w:val="007A0B6A"/>
    <w:rsid w:val="007A0BC5"/>
    <w:rsid w:val="007A0C15"/>
    <w:rsid w:val="007A0CA1"/>
    <w:rsid w:val="007A0CEA"/>
    <w:rsid w:val="007A0DAC"/>
    <w:rsid w:val="007A0E1A"/>
    <w:rsid w:val="007A0ECE"/>
    <w:rsid w:val="007A1006"/>
    <w:rsid w:val="007A107B"/>
    <w:rsid w:val="007A10F1"/>
    <w:rsid w:val="007A1259"/>
    <w:rsid w:val="007A1511"/>
    <w:rsid w:val="007A1533"/>
    <w:rsid w:val="007A1571"/>
    <w:rsid w:val="007A1595"/>
    <w:rsid w:val="007A15F3"/>
    <w:rsid w:val="007A176F"/>
    <w:rsid w:val="007A178F"/>
    <w:rsid w:val="007A184A"/>
    <w:rsid w:val="007A1A7E"/>
    <w:rsid w:val="007A1B2C"/>
    <w:rsid w:val="007A1B42"/>
    <w:rsid w:val="007A1B58"/>
    <w:rsid w:val="007A1BA7"/>
    <w:rsid w:val="007A1C4E"/>
    <w:rsid w:val="007A1C96"/>
    <w:rsid w:val="007A1DD1"/>
    <w:rsid w:val="007A1E0A"/>
    <w:rsid w:val="007A1E27"/>
    <w:rsid w:val="007A1E70"/>
    <w:rsid w:val="007A21CE"/>
    <w:rsid w:val="007A220F"/>
    <w:rsid w:val="007A2606"/>
    <w:rsid w:val="007A2727"/>
    <w:rsid w:val="007A2823"/>
    <w:rsid w:val="007A2859"/>
    <w:rsid w:val="007A28BF"/>
    <w:rsid w:val="007A2AF7"/>
    <w:rsid w:val="007A2C4E"/>
    <w:rsid w:val="007A2D68"/>
    <w:rsid w:val="007A2F84"/>
    <w:rsid w:val="007A3024"/>
    <w:rsid w:val="007A322B"/>
    <w:rsid w:val="007A33F1"/>
    <w:rsid w:val="007A3694"/>
    <w:rsid w:val="007A3729"/>
    <w:rsid w:val="007A37A7"/>
    <w:rsid w:val="007A38C9"/>
    <w:rsid w:val="007A396E"/>
    <w:rsid w:val="007A3AD8"/>
    <w:rsid w:val="007A3BD4"/>
    <w:rsid w:val="007A3EB3"/>
    <w:rsid w:val="007A4118"/>
    <w:rsid w:val="007A419F"/>
    <w:rsid w:val="007A4359"/>
    <w:rsid w:val="007A448F"/>
    <w:rsid w:val="007A4492"/>
    <w:rsid w:val="007A44B1"/>
    <w:rsid w:val="007A44B7"/>
    <w:rsid w:val="007A4683"/>
    <w:rsid w:val="007A47FE"/>
    <w:rsid w:val="007A49FA"/>
    <w:rsid w:val="007A4AF6"/>
    <w:rsid w:val="007A4F46"/>
    <w:rsid w:val="007A4F91"/>
    <w:rsid w:val="007A50D5"/>
    <w:rsid w:val="007A5491"/>
    <w:rsid w:val="007A5560"/>
    <w:rsid w:val="007A575B"/>
    <w:rsid w:val="007A582F"/>
    <w:rsid w:val="007A58D6"/>
    <w:rsid w:val="007A5933"/>
    <w:rsid w:val="007A59E6"/>
    <w:rsid w:val="007A5BDE"/>
    <w:rsid w:val="007A5F62"/>
    <w:rsid w:val="007A61BC"/>
    <w:rsid w:val="007A634D"/>
    <w:rsid w:val="007A636D"/>
    <w:rsid w:val="007A63F0"/>
    <w:rsid w:val="007A65F5"/>
    <w:rsid w:val="007A67A9"/>
    <w:rsid w:val="007A68BC"/>
    <w:rsid w:val="007A6CC4"/>
    <w:rsid w:val="007A6DB5"/>
    <w:rsid w:val="007A6F8B"/>
    <w:rsid w:val="007A6F91"/>
    <w:rsid w:val="007A6FB4"/>
    <w:rsid w:val="007A708C"/>
    <w:rsid w:val="007A70C8"/>
    <w:rsid w:val="007A722E"/>
    <w:rsid w:val="007A74EA"/>
    <w:rsid w:val="007A7784"/>
    <w:rsid w:val="007A79E5"/>
    <w:rsid w:val="007A7AD0"/>
    <w:rsid w:val="007A7B97"/>
    <w:rsid w:val="007A7BC2"/>
    <w:rsid w:val="007A7C46"/>
    <w:rsid w:val="007A7D97"/>
    <w:rsid w:val="007A7E83"/>
    <w:rsid w:val="007A7F3D"/>
    <w:rsid w:val="007A7F5C"/>
    <w:rsid w:val="007B0406"/>
    <w:rsid w:val="007B04EC"/>
    <w:rsid w:val="007B07CC"/>
    <w:rsid w:val="007B07D1"/>
    <w:rsid w:val="007B089B"/>
    <w:rsid w:val="007B09FE"/>
    <w:rsid w:val="007B0A21"/>
    <w:rsid w:val="007B0B2B"/>
    <w:rsid w:val="007B0B8D"/>
    <w:rsid w:val="007B0D5E"/>
    <w:rsid w:val="007B0E55"/>
    <w:rsid w:val="007B0FBF"/>
    <w:rsid w:val="007B10C0"/>
    <w:rsid w:val="007B124D"/>
    <w:rsid w:val="007B149E"/>
    <w:rsid w:val="007B1623"/>
    <w:rsid w:val="007B178C"/>
    <w:rsid w:val="007B1AAB"/>
    <w:rsid w:val="007B1C5E"/>
    <w:rsid w:val="007B1CF6"/>
    <w:rsid w:val="007B1CF9"/>
    <w:rsid w:val="007B1DFC"/>
    <w:rsid w:val="007B1E78"/>
    <w:rsid w:val="007B1F57"/>
    <w:rsid w:val="007B2107"/>
    <w:rsid w:val="007B2836"/>
    <w:rsid w:val="007B2842"/>
    <w:rsid w:val="007B29D9"/>
    <w:rsid w:val="007B2A1A"/>
    <w:rsid w:val="007B2A37"/>
    <w:rsid w:val="007B2B4C"/>
    <w:rsid w:val="007B2B90"/>
    <w:rsid w:val="007B2BCB"/>
    <w:rsid w:val="007B2CD4"/>
    <w:rsid w:val="007B2D8C"/>
    <w:rsid w:val="007B2E15"/>
    <w:rsid w:val="007B31C8"/>
    <w:rsid w:val="007B3735"/>
    <w:rsid w:val="007B3969"/>
    <w:rsid w:val="007B3A24"/>
    <w:rsid w:val="007B3BD8"/>
    <w:rsid w:val="007B3F4A"/>
    <w:rsid w:val="007B42F2"/>
    <w:rsid w:val="007B43C4"/>
    <w:rsid w:val="007B4694"/>
    <w:rsid w:val="007B46F0"/>
    <w:rsid w:val="007B471C"/>
    <w:rsid w:val="007B47BD"/>
    <w:rsid w:val="007B48DB"/>
    <w:rsid w:val="007B49FD"/>
    <w:rsid w:val="007B4A12"/>
    <w:rsid w:val="007B4CBA"/>
    <w:rsid w:val="007B4CBB"/>
    <w:rsid w:val="007B4FF6"/>
    <w:rsid w:val="007B519C"/>
    <w:rsid w:val="007B5588"/>
    <w:rsid w:val="007B5619"/>
    <w:rsid w:val="007B57D8"/>
    <w:rsid w:val="007B5884"/>
    <w:rsid w:val="007B6027"/>
    <w:rsid w:val="007B642B"/>
    <w:rsid w:val="007B64D6"/>
    <w:rsid w:val="007B6631"/>
    <w:rsid w:val="007B6678"/>
    <w:rsid w:val="007B667E"/>
    <w:rsid w:val="007B66E1"/>
    <w:rsid w:val="007B6787"/>
    <w:rsid w:val="007B6AB2"/>
    <w:rsid w:val="007B6B25"/>
    <w:rsid w:val="007B6BBD"/>
    <w:rsid w:val="007B6C21"/>
    <w:rsid w:val="007B6E10"/>
    <w:rsid w:val="007B6E90"/>
    <w:rsid w:val="007B704F"/>
    <w:rsid w:val="007B7086"/>
    <w:rsid w:val="007B71AF"/>
    <w:rsid w:val="007B7375"/>
    <w:rsid w:val="007B73D1"/>
    <w:rsid w:val="007B740A"/>
    <w:rsid w:val="007B7643"/>
    <w:rsid w:val="007B7669"/>
    <w:rsid w:val="007B76CE"/>
    <w:rsid w:val="007B7881"/>
    <w:rsid w:val="007B78EB"/>
    <w:rsid w:val="007B792E"/>
    <w:rsid w:val="007B7D10"/>
    <w:rsid w:val="007B7E60"/>
    <w:rsid w:val="007B7E7C"/>
    <w:rsid w:val="007B7FEF"/>
    <w:rsid w:val="007C011F"/>
    <w:rsid w:val="007C0247"/>
    <w:rsid w:val="007C02A8"/>
    <w:rsid w:val="007C0313"/>
    <w:rsid w:val="007C0406"/>
    <w:rsid w:val="007C07AC"/>
    <w:rsid w:val="007C07EA"/>
    <w:rsid w:val="007C0846"/>
    <w:rsid w:val="007C086E"/>
    <w:rsid w:val="007C08D1"/>
    <w:rsid w:val="007C0E07"/>
    <w:rsid w:val="007C1014"/>
    <w:rsid w:val="007C1113"/>
    <w:rsid w:val="007C1593"/>
    <w:rsid w:val="007C1680"/>
    <w:rsid w:val="007C16B8"/>
    <w:rsid w:val="007C1A1B"/>
    <w:rsid w:val="007C1AC2"/>
    <w:rsid w:val="007C1B49"/>
    <w:rsid w:val="007C1B80"/>
    <w:rsid w:val="007C1BDD"/>
    <w:rsid w:val="007C1CFC"/>
    <w:rsid w:val="007C1D3F"/>
    <w:rsid w:val="007C1D62"/>
    <w:rsid w:val="007C1F6D"/>
    <w:rsid w:val="007C1FC6"/>
    <w:rsid w:val="007C222D"/>
    <w:rsid w:val="007C2429"/>
    <w:rsid w:val="007C2464"/>
    <w:rsid w:val="007C2668"/>
    <w:rsid w:val="007C2802"/>
    <w:rsid w:val="007C2ABB"/>
    <w:rsid w:val="007C2B78"/>
    <w:rsid w:val="007C2BC5"/>
    <w:rsid w:val="007C2D16"/>
    <w:rsid w:val="007C2D6F"/>
    <w:rsid w:val="007C311B"/>
    <w:rsid w:val="007C3294"/>
    <w:rsid w:val="007C330B"/>
    <w:rsid w:val="007C342C"/>
    <w:rsid w:val="007C38A2"/>
    <w:rsid w:val="007C39CC"/>
    <w:rsid w:val="007C3A57"/>
    <w:rsid w:val="007C3A81"/>
    <w:rsid w:val="007C3AE3"/>
    <w:rsid w:val="007C3B4C"/>
    <w:rsid w:val="007C3E31"/>
    <w:rsid w:val="007C400D"/>
    <w:rsid w:val="007C4078"/>
    <w:rsid w:val="007C4164"/>
    <w:rsid w:val="007C41DF"/>
    <w:rsid w:val="007C42F0"/>
    <w:rsid w:val="007C44C9"/>
    <w:rsid w:val="007C453E"/>
    <w:rsid w:val="007C46DF"/>
    <w:rsid w:val="007C484E"/>
    <w:rsid w:val="007C4B37"/>
    <w:rsid w:val="007C4C27"/>
    <w:rsid w:val="007C4DEA"/>
    <w:rsid w:val="007C503A"/>
    <w:rsid w:val="007C51B1"/>
    <w:rsid w:val="007C5500"/>
    <w:rsid w:val="007C5927"/>
    <w:rsid w:val="007C5973"/>
    <w:rsid w:val="007C5A3F"/>
    <w:rsid w:val="007C5D53"/>
    <w:rsid w:val="007C5F54"/>
    <w:rsid w:val="007C6022"/>
    <w:rsid w:val="007C62D1"/>
    <w:rsid w:val="007C63BD"/>
    <w:rsid w:val="007C63C1"/>
    <w:rsid w:val="007C6436"/>
    <w:rsid w:val="007C65AA"/>
    <w:rsid w:val="007C6878"/>
    <w:rsid w:val="007C6980"/>
    <w:rsid w:val="007C6BD8"/>
    <w:rsid w:val="007C6C3F"/>
    <w:rsid w:val="007C6CF4"/>
    <w:rsid w:val="007C6F81"/>
    <w:rsid w:val="007C6FD4"/>
    <w:rsid w:val="007C70E5"/>
    <w:rsid w:val="007C710E"/>
    <w:rsid w:val="007C71E7"/>
    <w:rsid w:val="007C7410"/>
    <w:rsid w:val="007C7531"/>
    <w:rsid w:val="007C7775"/>
    <w:rsid w:val="007C77CE"/>
    <w:rsid w:val="007C77E7"/>
    <w:rsid w:val="007C7849"/>
    <w:rsid w:val="007C799E"/>
    <w:rsid w:val="007C7D25"/>
    <w:rsid w:val="007C7D4E"/>
    <w:rsid w:val="007C7DE8"/>
    <w:rsid w:val="007D006E"/>
    <w:rsid w:val="007D01ED"/>
    <w:rsid w:val="007D0260"/>
    <w:rsid w:val="007D033B"/>
    <w:rsid w:val="007D0351"/>
    <w:rsid w:val="007D0508"/>
    <w:rsid w:val="007D0B52"/>
    <w:rsid w:val="007D0D81"/>
    <w:rsid w:val="007D0E2A"/>
    <w:rsid w:val="007D0E6A"/>
    <w:rsid w:val="007D0E9C"/>
    <w:rsid w:val="007D0F11"/>
    <w:rsid w:val="007D0F72"/>
    <w:rsid w:val="007D0F7F"/>
    <w:rsid w:val="007D110D"/>
    <w:rsid w:val="007D1341"/>
    <w:rsid w:val="007D1390"/>
    <w:rsid w:val="007D14E5"/>
    <w:rsid w:val="007D15B7"/>
    <w:rsid w:val="007D1681"/>
    <w:rsid w:val="007D16BF"/>
    <w:rsid w:val="007D18D1"/>
    <w:rsid w:val="007D197D"/>
    <w:rsid w:val="007D1A3B"/>
    <w:rsid w:val="007D1AC5"/>
    <w:rsid w:val="007D1B6E"/>
    <w:rsid w:val="007D1BC3"/>
    <w:rsid w:val="007D1D1F"/>
    <w:rsid w:val="007D1E9A"/>
    <w:rsid w:val="007D2036"/>
    <w:rsid w:val="007D20CD"/>
    <w:rsid w:val="007D21A0"/>
    <w:rsid w:val="007D2351"/>
    <w:rsid w:val="007D2832"/>
    <w:rsid w:val="007D2B24"/>
    <w:rsid w:val="007D2C34"/>
    <w:rsid w:val="007D3036"/>
    <w:rsid w:val="007D3187"/>
    <w:rsid w:val="007D33C5"/>
    <w:rsid w:val="007D3756"/>
    <w:rsid w:val="007D39BC"/>
    <w:rsid w:val="007D3DFF"/>
    <w:rsid w:val="007D3F3F"/>
    <w:rsid w:val="007D3F6D"/>
    <w:rsid w:val="007D408D"/>
    <w:rsid w:val="007D421F"/>
    <w:rsid w:val="007D4499"/>
    <w:rsid w:val="007D475B"/>
    <w:rsid w:val="007D48A4"/>
    <w:rsid w:val="007D48F2"/>
    <w:rsid w:val="007D4958"/>
    <w:rsid w:val="007D4BA9"/>
    <w:rsid w:val="007D4F48"/>
    <w:rsid w:val="007D4F83"/>
    <w:rsid w:val="007D4F9D"/>
    <w:rsid w:val="007D5313"/>
    <w:rsid w:val="007D5398"/>
    <w:rsid w:val="007D53B0"/>
    <w:rsid w:val="007D5440"/>
    <w:rsid w:val="007D54CB"/>
    <w:rsid w:val="007D556C"/>
    <w:rsid w:val="007D5ACD"/>
    <w:rsid w:val="007D5B00"/>
    <w:rsid w:val="007D5C38"/>
    <w:rsid w:val="007D5E80"/>
    <w:rsid w:val="007D5FDC"/>
    <w:rsid w:val="007D60D6"/>
    <w:rsid w:val="007D6114"/>
    <w:rsid w:val="007D611A"/>
    <w:rsid w:val="007D6177"/>
    <w:rsid w:val="007D69A9"/>
    <w:rsid w:val="007D6A07"/>
    <w:rsid w:val="007D6D8D"/>
    <w:rsid w:val="007D6DE5"/>
    <w:rsid w:val="007D6F6E"/>
    <w:rsid w:val="007D71A3"/>
    <w:rsid w:val="007D71BF"/>
    <w:rsid w:val="007D7605"/>
    <w:rsid w:val="007D77AC"/>
    <w:rsid w:val="007D77D8"/>
    <w:rsid w:val="007D790A"/>
    <w:rsid w:val="007D7A33"/>
    <w:rsid w:val="007D7D56"/>
    <w:rsid w:val="007D7E77"/>
    <w:rsid w:val="007D7FBB"/>
    <w:rsid w:val="007E019C"/>
    <w:rsid w:val="007E0292"/>
    <w:rsid w:val="007E02BE"/>
    <w:rsid w:val="007E058E"/>
    <w:rsid w:val="007E05DB"/>
    <w:rsid w:val="007E06D6"/>
    <w:rsid w:val="007E0896"/>
    <w:rsid w:val="007E0962"/>
    <w:rsid w:val="007E0977"/>
    <w:rsid w:val="007E09A9"/>
    <w:rsid w:val="007E09DE"/>
    <w:rsid w:val="007E0D0F"/>
    <w:rsid w:val="007E0E55"/>
    <w:rsid w:val="007E0E82"/>
    <w:rsid w:val="007E1381"/>
    <w:rsid w:val="007E1459"/>
    <w:rsid w:val="007E165B"/>
    <w:rsid w:val="007E169E"/>
    <w:rsid w:val="007E16C8"/>
    <w:rsid w:val="007E1824"/>
    <w:rsid w:val="007E19C1"/>
    <w:rsid w:val="007E1B0F"/>
    <w:rsid w:val="007E1C6B"/>
    <w:rsid w:val="007E2166"/>
    <w:rsid w:val="007E2221"/>
    <w:rsid w:val="007E2559"/>
    <w:rsid w:val="007E25C1"/>
    <w:rsid w:val="007E25CC"/>
    <w:rsid w:val="007E25E8"/>
    <w:rsid w:val="007E26C2"/>
    <w:rsid w:val="007E27EB"/>
    <w:rsid w:val="007E2993"/>
    <w:rsid w:val="007E29E9"/>
    <w:rsid w:val="007E2A47"/>
    <w:rsid w:val="007E2BCD"/>
    <w:rsid w:val="007E2E0C"/>
    <w:rsid w:val="007E2E26"/>
    <w:rsid w:val="007E2F08"/>
    <w:rsid w:val="007E2F14"/>
    <w:rsid w:val="007E2F60"/>
    <w:rsid w:val="007E3051"/>
    <w:rsid w:val="007E306E"/>
    <w:rsid w:val="007E33B4"/>
    <w:rsid w:val="007E35FF"/>
    <w:rsid w:val="007E36CE"/>
    <w:rsid w:val="007E3796"/>
    <w:rsid w:val="007E379B"/>
    <w:rsid w:val="007E3960"/>
    <w:rsid w:val="007E3B2E"/>
    <w:rsid w:val="007E3B4B"/>
    <w:rsid w:val="007E3B91"/>
    <w:rsid w:val="007E3C82"/>
    <w:rsid w:val="007E3D59"/>
    <w:rsid w:val="007E3D75"/>
    <w:rsid w:val="007E3DE5"/>
    <w:rsid w:val="007E3F0C"/>
    <w:rsid w:val="007E40CE"/>
    <w:rsid w:val="007E42E8"/>
    <w:rsid w:val="007E43E1"/>
    <w:rsid w:val="007E4780"/>
    <w:rsid w:val="007E4881"/>
    <w:rsid w:val="007E4970"/>
    <w:rsid w:val="007E4A42"/>
    <w:rsid w:val="007E4A7B"/>
    <w:rsid w:val="007E4AB7"/>
    <w:rsid w:val="007E4D5C"/>
    <w:rsid w:val="007E4DDC"/>
    <w:rsid w:val="007E4FE3"/>
    <w:rsid w:val="007E5184"/>
    <w:rsid w:val="007E51BA"/>
    <w:rsid w:val="007E53CF"/>
    <w:rsid w:val="007E54F9"/>
    <w:rsid w:val="007E55D8"/>
    <w:rsid w:val="007E577A"/>
    <w:rsid w:val="007E5C09"/>
    <w:rsid w:val="007E6140"/>
    <w:rsid w:val="007E614D"/>
    <w:rsid w:val="007E619B"/>
    <w:rsid w:val="007E61C2"/>
    <w:rsid w:val="007E6423"/>
    <w:rsid w:val="007E659C"/>
    <w:rsid w:val="007E66E6"/>
    <w:rsid w:val="007E6839"/>
    <w:rsid w:val="007E6AA1"/>
    <w:rsid w:val="007E6D9D"/>
    <w:rsid w:val="007E703A"/>
    <w:rsid w:val="007E74FD"/>
    <w:rsid w:val="007E756F"/>
    <w:rsid w:val="007E7745"/>
    <w:rsid w:val="007E77EB"/>
    <w:rsid w:val="007E7B9D"/>
    <w:rsid w:val="007E7C20"/>
    <w:rsid w:val="007E7C8E"/>
    <w:rsid w:val="007E7F60"/>
    <w:rsid w:val="007E7FB3"/>
    <w:rsid w:val="007F013E"/>
    <w:rsid w:val="007F01FA"/>
    <w:rsid w:val="007F020E"/>
    <w:rsid w:val="007F027D"/>
    <w:rsid w:val="007F02B5"/>
    <w:rsid w:val="007F0301"/>
    <w:rsid w:val="007F03D8"/>
    <w:rsid w:val="007F0421"/>
    <w:rsid w:val="007F04C8"/>
    <w:rsid w:val="007F06E5"/>
    <w:rsid w:val="007F070A"/>
    <w:rsid w:val="007F080A"/>
    <w:rsid w:val="007F0A76"/>
    <w:rsid w:val="007F0AE0"/>
    <w:rsid w:val="007F0C2E"/>
    <w:rsid w:val="007F10C3"/>
    <w:rsid w:val="007F1192"/>
    <w:rsid w:val="007F11E6"/>
    <w:rsid w:val="007F170A"/>
    <w:rsid w:val="007F1933"/>
    <w:rsid w:val="007F1945"/>
    <w:rsid w:val="007F1953"/>
    <w:rsid w:val="007F1B87"/>
    <w:rsid w:val="007F1CCD"/>
    <w:rsid w:val="007F21B7"/>
    <w:rsid w:val="007F2219"/>
    <w:rsid w:val="007F2411"/>
    <w:rsid w:val="007F24C8"/>
    <w:rsid w:val="007F27E0"/>
    <w:rsid w:val="007F281E"/>
    <w:rsid w:val="007F2889"/>
    <w:rsid w:val="007F2A97"/>
    <w:rsid w:val="007F2B75"/>
    <w:rsid w:val="007F2C43"/>
    <w:rsid w:val="007F2E17"/>
    <w:rsid w:val="007F2F06"/>
    <w:rsid w:val="007F31C6"/>
    <w:rsid w:val="007F31E7"/>
    <w:rsid w:val="007F3298"/>
    <w:rsid w:val="007F3565"/>
    <w:rsid w:val="007F38B0"/>
    <w:rsid w:val="007F3944"/>
    <w:rsid w:val="007F3AE4"/>
    <w:rsid w:val="007F3C24"/>
    <w:rsid w:val="007F3EF1"/>
    <w:rsid w:val="007F3FBF"/>
    <w:rsid w:val="007F4024"/>
    <w:rsid w:val="007F408A"/>
    <w:rsid w:val="007F435E"/>
    <w:rsid w:val="007F4383"/>
    <w:rsid w:val="007F446B"/>
    <w:rsid w:val="007F458F"/>
    <w:rsid w:val="007F4786"/>
    <w:rsid w:val="007F484F"/>
    <w:rsid w:val="007F4901"/>
    <w:rsid w:val="007F498D"/>
    <w:rsid w:val="007F4A2B"/>
    <w:rsid w:val="007F4A40"/>
    <w:rsid w:val="007F4B04"/>
    <w:rsid w:val="007F4BCD"/>
    <w:rsid w:val="007F4FCE"/>
    <w:rsid w:val="007F52EF"/>
    <w:rsid w:val="007F5399"/>
    <w:rsid w:val="007F55A6"/>
    <w:rsid w:val="007F569B"/>
    <w:rsid w:val="007F576C"/>
    <w:rsid w:val="007F5791"/>
    <w:rsid w:val="007F5792"/>
    <w:rsid w:val="007F57C4"/>
    <w:rsid w:val="007F592F"/>
    <w:rsid w:val="007F5AF3"/>
    <w:rsid w:val="007F5B85"/>
    <w:rsid w:val="007F5BF1"/>
    <w:rsid w:val="007F5E55"/>
    <w:rsid w:val="007F5EBC"/>
    <w:rsid w:val="007F5F9B"/>
    <w:rsid w:val="007F601D"/>
    <w:rsid w:val="007F601E"/>
    <w:rsid w:val="007F6085"/>
    <w:rsid w:val="007F6133"/>
    <w:rsid w:val="007F6330"/>
    <w:rsid w:val="007F64E5"/>
    <w:rsid w:val="007F65EF"/>
    <w:rsid w:val="007F6683"/>
    <w:rsid w:val="007F6695"/>
    <w:rsid w:val="007F6736"/>
    <w:rsid w:val="007F6753"/>
    <w:rsid w:val="007F68AE"/>
    <w:rsid w:val="007F6A9F"/>
    <w:rsid w:val="007F6ACB"/>
    <w:rsid w:val="007F6D76"/>
    <w:rsid w:val="007F6E34"/>
    <w:rsid w:val="007F6EF0"/>
    <w:rsid w:val="007F7107"/>
    <w:rsid w:val="007F71B3"/>
    <w:rsid w:val="007F75FA"/>
    <w:rsid w:val="007F78B2"/>
    <w:rsid w:val="007F7A29"/>
    <w:rsid w:val="007F7C68"/>
    <w:rsid w:val="007F7EFB"/>
    <w:rsid w:val="007F7F9A"/>
    <w:rsid w:val="008000BB"/>
    <w:rsid w:val="00800290"/>
    <w:rsid w:val="0080040F"/>
    <w:rsid w:val="008006BB"/>
    <w:rsid w:val="008006D9"/>
    <w:rsid w:val="0080073B"/>
    <w:rsid w:val="0080079E"/>
    <w:rsid w:val="00800830"/>
    <w:rsid w:val="00800AC5"/>
    <w:rsid w:val="00800AD5"/>
    <w:rsid w:val="00800C06"/>
    <w:rsid w:val="00800C76"/>
    <w:rsid w:val="00800C8B"/>
    <w:rsid w:val="00800E87"/>
    <w:rsid w:val="00800F65"/>
    <w:rsid w:val="00801137"/>
    <w:rsid w:val="008011B2"/>
    <w:rsid w:val="008011FA"/>
    <w:rsid w:val="0080121B"/>
    <w:rsid w:val="0080185A"/>
    <w:rsid w:val="008018FF"/>
    <w:rsid w:val="00801B4F"/>
    <w:rsid w:val="00801CDB"/>
    <w:rsid w:val="00801D89"/>
    <w:rsid w:val="00801EC8"/>
    <w:rsid w:val="00801FDE"/>
    <w:rsid w:val="00801FF3"/>
    <w:rsid w:val="00802048"/>
    <w:rsid w:val="008020C0"/>
    <w:rsid w:val="008020DB"/>
    <w:rsid w:val="00802107"/>
    <w:rsid w:val="00802231"/>
    <w:rsid w:val="00802483"/>
    <w:rsid w:val="0080289A"/>
    <w:rsid w:val="00802A53"/>
    <w:rsid w:val="00802B9E"/>
    <w:rsid w:val="00802C0F"/>
    <w:rsid w:val="00802CC9"/>
    <w:rsid w:val="00802EC9"/>
    <w:rsid w:val="00803029"/>
    <w:rsid w:val="00803115"/>
    <w:rsid w:val="00803657"/>
    <w:rsid w:val="00803712"/>
    <w:rsid w:val="00803734"/>
    <w:rsid w:val="00803DDF"/>
    <w:rsid w:val="00804059"/>
    <w:rsid w:val="008045C3"/>
    <w:rsid w:val="00804637"/>
    <w:rsid w:val="00804CC1"/>
    <w:rsid w:val="00804ED0"/>
    <w:rsid w:val="008050A1"/>
    <w:rsid w:val="00805129"/>
    <w:rsid w:val="008053E4"/>
    <w:rsid w:val="00805814"/>
    <w:rsid w:val="008058CB"/>
    <w:rsid w:val="00805A67"/>
    <w:rsid w:val="00805B2D"/>
    <w:rsid w:val="00805C85"/>
    <w:rsid w:val="00805FAA"/>
    <w:rsid w:val="008060F3"/>
    <w:rsid w:val="00806172"/>
    <w:rsid w:val="008061FF"/>
    <w:rsid w:val="008065B7"/>
    <w:rsid w:val="008068E7"/>
    <w:rsid w:val="00806B2C"/>
    <w:rsid w:val="00806BAC"/>
    <w:rsid w:val="00806BAD"/>
    <w:rsid w:val="00806E3D"/>
    <w:rsid w:val="00806E46"/>
    <w:rsid w:val="00806E52"/>
    <w:rsid w:val="008070D1"/>
    <w:rsid w:val="00807385"/>
    <w:rsid w:val="008074CB"/>
    <w:rsid w:val="008075B7"/>
    <w:rsid w:val="008075F9"/>
    <w:rsid w:val="00807AE4"/>
    <w:rsid w:val="00807C7C"/>
    <w:rsid w:val="008100AA"/>
    <w:rsid w:val="00810133"/>
    <w:rsid w:val="0081025F"/>
    <w:rsid w:val="00810333"/>
    <w:rsid w:val="0081058C"/>
    <w:rsid w:val="0081066F"/>
    <w:rsid w:val="008106F4"/>
    <w:rsid w:val="00810748"/>
    <w:rsid w:val="008107CD"/>
    <w:rsid w:val="0081090A"/>
    <w:rsid w:val="008109CA"/>
    <w:rsid w:val="00810A63"/>
    <w:rsid w:val="00810F25"/>
    <w:rsid w:val="00810F5B"/>
    <w:rsid w:val="00811003"/>
    <w:rsid w:val="008111F0"/>
    <w:rsid w:val="00811321"/>
    <w:rsid w:val="00811357"/>
    <w:rsid w:val="00811399"/>
    <w:rsid w:val="0081173A"/>
    <w:rsid w:val="00811AD3"/>
    <w:rsid w:val="00811AE2"/>
    <w:rsid w:val="00811BAE"/>
    <w:rsid w:val="00811E15"/>
    <w:rsid w:val="00811E25"/>
    <w:rsid w:val="008123BB"/>
    <w:rsid w:val="00812400"/>
    <w:rsid w:val="0081240F"/>
    <w:rsid w:val="008126A7"/>
    <w:rsid w:val="0081279D"/>
    <w:rsid w:val="008128F4"/>
    <w:rsid w:val="00812950"/>
    <w:rsid w:val="008129AB"/>
    <w:rsid w:val="008129C1"/>
    <w:rsid w:val="00812C2C"/>
    <w:rsid w:val="00812F53"/>
    <w:rsid w:val="00813100"/>
    <w:rsid w:val="00813111"/>
    <w:rsid w:val="0081330D"/>
    <w:rsid w:val="00813474"/>
    <w:rsid w:val="008134D2"/>
    <w:rsid w:val="0081352F"/>
    <w:rsid w:val="0081366C"/>
    <w:rsid w:val="008137BD"/>
    <w:rsid w:val="008138AF"/>
    <w:rsid w:val="00813919"/>
    <w:rsid w:val="00813B92"/>
    <w:rsid w:val="00813F92"/>
    <w:rsid w:val="00814143"/>
    <w:rsid w:val="00814270"/>
    <w:rsid w:val="008142AF"/>
    <w:rsid w:val="00814DB0"/>
    <w:rsid w:val="0081500E"/>
    <w:rsid w:val="00815157"/>
    <w:rsid w:val="008153B0"/>
    <w:rsid w:val="008153BC"/>
    <w:rsid w:val="008155F3"/>
    <w:rsid w:val="00815673"/>
    <w:rsid w:val="00815734"/>
    <w:rsid w:val="0081575F"/>
    <w:rsid w:val="0081576A"/>
    <w:rsid w:val="008157AC"/>
    <w:rsid w:val="00815821"/>
    <w:rsid w:val="008159A1"/>
    <w:rsid w:val="00815BB0"/>
    <w:rsid w:val="00815CFD"/>
    <w:rsid w:val="00815DAF"/>
    <w:rsid w:val="00815F4F"/>
    <w:rsid w:val="00816121"/>
    <w:rsid w:val="0081614D"/>
    <w:rsid w:val="0081622C"/>
    <w:rsid w:val="008162D8"/>
    <w:rsid w:val="008163A8"/>
    <w:rsid w:val="0081663C"/>
    <w:rsid w:val="0081668D"/>
    <w:rsid w:val="008168AD"/>
    <w:rsid w:val="008168C0"/>
    <w:rsid w:val="00816A81"/>
    <w:rsid w:val="00816CB6"/>
    <w:rsid w:val="00817159"/>
    <w:rsid w:val="008171C3"/>
    <w:rsid w:val="00817322"/>
    <w:rsid w:val="00817350"/>
    <w:rsid w:val="00817804"/>
    <w:rsid w:val="0081783F"/>
    <w:rsid w:val="008178A7"/>
    <w:rsid w:val="00817A96"/>
    <w:rsid w:val="00817BAA"/>
    <w:rsid w:val="00817D9F"/>
    <w:rsid w:val="00817E2F"/>
    <w:rsid w:val="008202D2"/>
    <w:rsid w:val="00820355"/>
    <w:rsid w:val="00820572"/>
    <w:rsid w:val="008205A9"/>
    <w:rsid w:val="0082060E"/>
    <w:rsid w:val="00820722"/>
    <w:rsid w:val="0082079D"/>
    <w:rsid w:val="008207A1"/>
    <w:rsid w:val="008207A7"/>
    <w:rsid w:val="0082082A"/>
    <w:rsid w:val="008209AF"/>
    <w:rsid w:val="00820B8A"/>
    <w:rsid w:val="00820CF3"/>
    <w:rsid w:val="008211B5"/>
    <w:rsid w:val="008215B4"/>
    <w:rsid w:val="0082172E"/>
    <w:rsid w:val="00821A32"/>
    <w:rsid w:val="00821A4D"/>
    <w:rsid w:val="00821BFE"/>
    <w:rsid w:val="00821CF3"/>
    <w:rsid w:val="00821D5A"/>
    <w:rsid w:val="00821EC6"/>
    <w:rsid w:val="00821F69"/>
    <w:rsid w:val="00821FAF"/>
    <w:rsid w:val="008220C3"/>
    <w:rsid w:val="00822156"/>
    <w:rsid w:val="00822167"/>
    <w:rsid w:val="00822259"/>
    <w:rsid w:val="008222C8"/>
    <w:rsid w:val="00822376"/>
    <w:rsid w:val="00822497"/>
    <w:rsid w:val="0082257E"/>
    <w:rsid w:val="008225B4"/>
    <w:rsid w:val="008228C8"/>
    <w:rsid w:val="008228E0"/>
    <w:rsid w:val="00822976"/>
    <w:rsid w:val="00822D52"/>
    <w:rsid w:val="00823113"/>
    <w:rsid w:val="008233A7"/>
    <w:rsid w:val="008239F9"/>
    <w:rsid w:val="00823B17"/>
    <w:rsid w:val="00823C52"/>
    <w:rsid w:val="00823C9D"/>
    <w:rsid w:val="00823CBC"/>
    <w:rsid w:val="00823CBD"/>
    <w:rsid w:val="00823DE3"/>
    <w:rsid w:val="00823FD6"/>
    <w:rsid w:val="00824075"/>
    <w:rsid w:val="00824189"/>
    <w:rsid w:val="008241E9"/>
    <w:rsid w:val="0082433A"/>
    <w:rsid w:val="00824439"/>
    <w:rsid w:val="008244F7"/>
    <w:rsid w:val="008247E8"/>
    <w:rsid w:val="00824AD4"/>
    <w:rsid w:val="00824BDF"/>
    <w:rsid w:val="00824C2A"/>
    <w:rsid w:val="00824C3E"/>
    <w:rsid w:val="00824CBF"/>
    <w:rsid w:val="008250D5"/>
    <w:rsid w:val="008252CF"/>
    <w:rsid w:val="0082532D"/>
    <w:rsid w:val="008254D1"/>
    <w:rsid w:val="00825586"/>
    <w:rsid w:val="00825A8F"/>
    <w:rsid w:val="00825E54"/>
    <w:rsid w:val="00825E6F"/>
    <w:rsid w:val="00826009"/>
    <w:rsid w:val="0082619F"/>
    <w:rsid w:val="00826230"/>
    <w:rsid w:val="0082631F"/>
    <w:rsid w:val="00826387"/>
    <w:rsid w:val="00826391"/>
    <w:rsid w:val="008263FA"/>
    <w:rsid w:val="008265B5"/>
    <w:rsid w:val="0082660C"/>
    <w:rsid w:val="008267AA"/>
    <w:rsid w:val="00826902"/>
    <w:rsid w:val="00826A29"/>
    <w:rsid w:val="00826A6C"/>
    <w:rsid w:val="00826A98"/>
    <w:rsid w:val="00826B26"/>
    <w:rsid w:val="00826D39"/>
    <w:rsid w:val="00826FE3"/>
    <w:rsid w:val="008270B3"/>
    <w:rsid w:val="008271BA"/>
    <w:rsid w:val="0082736F"/>
    <w:rsid w:val="008275F8"/>
    <w:rsid w:val="008277A7"/>
    <w:rsid w:val="008277B4"/>
    <w:rsid w:val="00827953"/>
    <w:rsid w:val="008279A3"/>
    <w:rsid w:val="00827A60"/>
    <w:rsid w:val="00827A82"/>
    <w:rsid w:val="00827ACB"/>
    <w:rsid w:val="00827CF8"/>
    <w:rsid w:val="00827D9C"/>
    <w:rsid w:val="00827F65"/>
    <w:rsid w:val="00827F99"/>
    <w:rsid w:val="008305B2"/>
    <w:rsid w:val="008305B9"/>
    <w:rsid w:val="00830613"/>
    <w:rsid w:val="00830640"/>
    <w:rsid w:val="008306FE"/>
    <w:rsid w:val="00830A65"/>
    <w:rsid w:val="00830A84"/>
    <w:rsid w:val="00830F50"/>
    <w:rsid w:val="00830F79"/>
    <w:rsid w:val="00831126"/>
    <w:rsid w:val="00831210"/>
    <w:rsid w:val="008313BE"/>
    <w:rsid w:val="008314ED"/>
    <w:rsid w:val="0083178B"/>
    <w:rsid w:val="008319BA"/>
    <w:rsid w:val="00831A31"/>
    <w:rsid w:val="00831B36"/>
    <w:rsid w:val="00832056"/>
    <w:rsid w:val="00832130"/>
    <w:rsid w:val="00832569"/>
    <w:rsid w:val="008325BF"/>
    <w:rsid w:val="008325F7"/>
    <w:rsid w:val="008326F7"/>
    <w:rsid w:val="0083271A"/>
    <w:rsid w:val="0083276D"/>
    <w:rsid w:val="008327A9"/>
    <w:rsid w:val="00832A84"/>
    <w:rsid w:val="00832D1D"/>
    <w:rsid w:val="00832D80"/>
    <w:rsid w:val="00832E9A"/>
    <w:rsid w:val="00832F46"/>
    <w:rsid w:val="00832F7F"/>
    <w:rsid w:val="0083316F"/>
    <w:rsid w:val="00833256"/>
    <w:rsid w:val="00833260"/>
    <w:rsid w:val="008339ED"/>
    <w:rsid w:val="00833CCB"/>
    <w:rsid w:val="00833D05"/>
    <w:rsid w:val="00833E0A"/>
    <w:rsid w:val="00833F58"/>
    <w:rsid w:val="00833FAD"/>
    <w:rsid w:val="0083400D"/>
    <w:rsid w:val="00834014"/>
    <w:rsid w:val="0083403A"/>
    <w:rsid w:val="0083420B"/>
    <w:rsid w:val="008344CB"/>
    <w:rsid w:val="00834507"/>
    <w:rsid w:val="00834534"/>
    <w:rsid w:val="008348EA"/>
    <w:rsid w:val="00834C24"/>
    <w:rsid w:val="00834E2B"/>
    <w:rsid w:val="00834E3F"/>
    <w:rsid w:val="00834EB7"/>
    <w:rsid w:val="00834F0C"/>
    <w:rsid w:val="00834F2D"/>
    <w:rsid w:val="0083505E"/>
    <w:rsid w:val="008354C9"/>
    <w:rsid w:val="008356D6"/>
    <w:rsid w:val="00835C46"/>
    <w:rsid w:val="00835C58"/>
    <w:rsid w:val="00835D40"/>
    <w:rsid w:val="00835DE2"/>
    <w:rsid w:val="00835E12"/>
    <w:rsid w:val="00835FEF"/>
    <w:rsid w:val="00836038"/>
    <w:rsid w:val="008360A9"/>
    <w:rsid w:val="008360CD"/>
    <w:rsid w:val="0083630E"/>
    <w:rsid w:val="00836319"/>
    <w:rsid w:val="0083641E"/>
    <w:rsid w:val="00836664"/>
    <w:rsid w:val="008366CF"/>
    <w:rsid w:val="008367F9"/>
    <w:rsid w:val="00836AEC"/>
    <w:rsid w:val="00836BD8"/>
    <w:rsid w:val="00836C6B"/>
    <w:rsid w:val="00836D34"/>
    <w:rsid w:val="00836E9F"/>
    <w:rsid w:val="00836FEB"/>
    <w:rsid w:val="0083703E"/>
    <w:rsid w:val="0083709D"/>
    <w:rsid w:val="00837295"/>
    <w:rsid w:val="008372CA"/>
    <w:rsid w:val="008372D1"/>
    <w:rsid w:val="0083754B"/>
    <w:rsid w:val="0083754E"/>
    <w:rsid w:val="00837867"/>
    <w:rsid w:val="00837A7F"/>
    <w:rsid w:val="00837B96"/>
    <w:rsid w:val="00837CD7"/>
    <w:rsid w:val="00837DD7"/>
    <w:rsid w:val="00837F27"/>
    <w:rsid w:val="0084031A"/>
    <w:rsid w:val="0084091C"/>
    <w:rsid w:val="008409AD"/>
    <w:rsid w:val="008409E0"/>
    <w:rsid w:val="00840EE3"/>
    <w:rsid w:val="00840FC0"/>
    <w:rsid w:val="008410AE"/>
    <w:rsid w:val="008411D8"/>
    <w:rsid w:val="008412A8"/>
    <w:rsid w:val="0084130D"/>
    <w:rsid w:val="00841315"/>
    <w:rsid w:val="008416DD"/>
    <w:rsid w:val="008416E8"/>
    <w:rsid w:val="0084179D"/>
    <w:rsid w:val="00841A5B"/>
    <w:rsid w:val="00841A9E"/>
    <w:rsid w:val="00841D6E"/>
    <w:rsid w:val="00842087"/>
    <w:rsid w:val="00842241"/>
    <w:rsid w:val="00842546"/>
    <w:rsid w:val="00842597"/>
    <w:rsid w:val="00842615"/>
    <w:rsid w:val="00842776"/>
    <w:rsid w:val="00842785"/>
    <w:rsid w:val="008427B2"/>
    <w:rsid w:val="008429BC"/>
    <w:rsid w:val="008429E8"/>
    <w:rsid w:val="00842A6E"/>
    <w:rsid w:val="00842BD7"/>
    <w:rsid w:val="00842C1A"/>
    <w:rsid w:val="00842CE2"/>
    <w:rsid w:val="00843020"/>
    <w:rsid w:val="008430D4"/>
    <w:rsid w:val="00843166"/>
    <w:rsid w:val="008431B0"/>
    <w:rsid w:val="00843299"/>
    <w:rsid w:val="008433D5"/>
    <w:rsid w:val="00843458"/>
    <w:rsid w:val="0084346A"/>
    <w:rsid w:val="008435B0"/>
    <w:rsid w:val="00843922"/>
    <w:rsid w:val="008439EA"/>
    <w:rsid w:val="00843AF5"/>
    <w:rsid w:val="00843BF1"/>
    <w:rsid w:val="008440A1"/>
    <w:rsid w:val="008441F1"/>
    <w:rsid w:val="00844232"/>
    <w:rsid w:val="00844256"/>
    <w:rsid w:val="0084437B"/>
    <w:rsid w:val="0084461E"/>
    <w:rsid w:val="00844628"/>
    <w:rsid w:val="0084473D"/>
    <w:rsid w:val="008447D4"/>
    <w:rsid w:val="00844868"/>
    <w:rsid w:val="008449FE"/>
    <w:rsid w:val="00844AA4"/>
    <w:rsid w:val="00844BCC"/>
    <w:rsid w:val="00844BF3"/>
    <w:rsid w:val="00844C93"/>
    <w:rsid w:val="00844C9E"/>
    <w:rsid w:val="00844D31"/>
    <w:rsid w:val="00844D84"/>
    <w:rsid w:val="00844DFC"/>
    <w:rsid w:val="00844ED6"/>
    <w:rsid w:val="008452DD"/>
    <w:rsid w:val="00845438"/>
    <w:rsid w:val="00845576"/>
    <w:rsid w:val="0084560F"/>
    <w:rsid w:val="008457AC"/>
    <w:rsid w:val="00845963"/>
    <w:rsid w:val="00845989"/>
    <w:rsid w:val="008459B1"/>
    <w:rsid w:val="00845AD9"/>
    <w:rsid w:val="00845B42"/>
    <w:rsid w:val="00845E64"/>
    <w:rsid w:val="00845EC0"/>
    <w:rsid w:val="00845FE0"/>
    <w:rsid w:val="00846028"/>
    <w:rsid w:val="0084624D"/>
    <w:rsid w:val="008464C4"/>
    <w:rsid w:val="008465F8"/>
    <w:rsid w:val="008467BC"/>
    <w:rsid w:val="00846BA8"/>
    <w:rsid w:val="00846BAF"/>
    <w:rsid w:val="00846C5A"/>
    <w:rsid w:val="00846C71"/>
    <w:rsid w:val="00846DAD"/>
    <w:rsid w:val="0084705B"/>
    <w:rsid w:val="0084709E"/>
    <w:rsid w:val="00847102"/>
    <w:rsid w:val="008471AE"/>
    <w:rsid w:val="008475E0"/>
    <w:rsid w:val="0084765F"/>
    <w:rsid w:val="008476C8"/>
    <w:rsid w:val="00847890"/>
    <w:rsid w:val="00847A0A"/>
    <w:rsid w:val="00847D60"/>
    <w:rsid w:val="00847E41"/>
    <w:rsid w:val="00847E86"/>
    <w:rsid w:val="00847EB0"/>
    <w:rsid w:val="00850191"/>
    <w:rsid w:val="00850399"/>
    <w:rsid w:val="0085054F"/>
    <w:rsid w:val="008507C2"/>
    <w:rsid w:val="00850A0A"/>
    <w:rsid w:val="00850C2C"/>
    <w:rsid w:val="00850FE1"/>
    <w:rsid w:val="0085105F"/>
    <w:rsid w:val="008511B8"/>
    <w:rsid w:val="00851263"/>
    <w:rsid w:val="00851334"/>
    <w:rsid w:val="0085136B"/>
    <w:rsid w:val="0085151A"/>
    <w:rsid w:val="00851950"/>
    <w:rsid w:val="00851A1D"/>
    <w:rsid w:val="00851A9D"/>
    <w:rsid w:val="00851B2A"/>
    <w:rsid w:val="00851B9D"/>
    <w:rsid w:val="00851C16"/>
    <w:rsid w:val="00851CB3"/>
    <w:rsid w:val="00851D5A"/>
    <w:rsid w:val="00852084"/>
    <w:rsid w:val="008521A4"/>
    <w:rsid w:val="0085233D"/>
    <w:rsid w:val="00852585"/>
    <w:rsid w:val="0085260C"/>
    <w:rsid w:val="008526C0"/>
    <w:rsid w:val="00852779"/>
    <w:rsid w:val="008527EF"/>
    <w:rsid w:val="0085298F"/>
    <w:rsid w:val="00852AD0"/>
    <w:rsid w:val="00852ADE"/>
    <w:rsid w:val="00852D1D"/>
    <w:rsid w:val="00852FF9"/>
    <w:rsid w:val="00853285"/>
    <w:rsid w:val="008534BF"/>
    <w:rsid w:val="008535B4"/>
    <w:rsid w:val="00853639"/>
    <w:rsid w:val="00853688"/>
    <w:rsid w:val="008536EB"/>
    <w:rsid w:val="0085377D"/>
    <w:rsid w:val="0085382A"/>
    <w:rsid w:val="00853B17"/>
    <w:rsid w:val="00853C97"/>
    <w:rsid w:val="00853FBD"/>
    <w:rsid w:val="00854135"/>
    <w:rsid w:val="00854160"/>
    <w:rsid w:val="00854205"/>
    <w:rsid w:val="00854207"/>
    <w:rsid w:val="00854444"/>
    <w:rsid w:val="008545EC"/>
    <w:rsid w:val="00854691"/>
    <w:rsid w:val="0085472F"/>
    <w:rsid w:val="0085474D"/>
    <w:rsid w:val="0085484D"/>
    <w:rsid w:val="00854968"/>
    <w:rsid w:val="00854A89"/>
    <w:rsid w:val="00854BF2"/>
    <w:rsid w:val="00854DD2"/>
    <w:rsid w:val="00854FC6"/>
    <w:rsid w:val="00855142"/>
    <w:rsid w:val="008551E2"/>
    <w:rsid w:val="0085525C"/>
    <w:rsid w:val="00855335"/>
    <w:rsid w:val="008555C6"/>
    <w:rsid w:val="00855620"/>
    <w:rsid w:val="008556CF"/>
    <w:rsid w:val="00855850"/>
    <w:rsid w:val="008558E3"/>
    <w:rsid w:val="00855936"/>
    <w:rsid w:val="00855A40"/>
    <w:rsid w:val="00855B84"/>
    <w:rsid w:val="00855D96"/>
    <w:rsid w:val="00855E2E"/>
    <w:rsid w:val="00856091"/>
    <w:rsid w:val="0085609B"/>
    <w:rsid w:val="008562AC"/>
    <w:rsid w:val="008563C7"/>
    <w:rsid w:val="008563F8"/>
    <w:rsid w:val="008566FF"/>
    <w:rsid w:val="008567CE"/>
    <w:rsid w:val="00856C03"/>
    <w:rsid w:val="00856C2F"/>
    <w:rsid w:val="00856ED2"/>
    <w:rsid w:val="00856F68"/>
    <w:rsid w:val="00856F94"/>
    <w:rsid w:val="00857166"/>
    <w:rsid w:val="0085734B"/>
    <w:rsid w:val="008573C0"/>
    <w:rsid w:val="008574AD"/>
    <w:rsid w:val="008574C4"/>
    <w:rsid w:val="008574E7"/>
    <w:rsid w:val="00857854"/>
    <w:rsid w:val="00857A66"/>
    <w:rsid w:val="00857C76"/>
    <w:rsid w:val="00857EAC"/>
    <w:rsid w:val="00857ECB"/>
    <w:rsid w:val="008602C1"/>
    <w:rsid w:val="00860592"/>
    <w:rsid w:val="00860667"/>
    <w:rsid w:val="008606E9"/>
    <w:rsid w:val="0086070C"/>
    <w:rsid w:val="008607DA"/>
    <w:rsid w:val="008607F3"/>
    <w:rsid w:val="00860852"/>
    <w:rsid w:val="008608D6"/>
    <w:rsid w:val="00860F39"/>
    <w:rsid w:val="008610B5"/>
    <w:rsid w:val="00861135"/>
    <w:rsid w:val="008612F2"/>
    <w:rsid w:val="008613A2"/>
    <w:rsid w:val="008619CD"/>
    <w:rsid w:val="00861B9E"/>
    <w:rsid w:val="00861E87"/>
    <w:rsid w:val="0086204D"/>
    <w:rsid w:val="008621D2"/>
    <w:rsid w:val="00862462"/>
    <w:rsid w:val="008624E1"/>
    <w:rsid w:val="008625F5"/>
    <w:rsid w:val="008627D3"/>
    <w:rsid w:val="008628F6"/>
    <w:rsid w:val="00862A1B"/>
    <w:rsid w:val="00862ACA"/>
    <w:rsid w:val="00862D21"/>
    <w:rsid w:val="00862D68"/>
    <w:rsid w:val="00862D90"/>
    <w:rsid w:val="00862FA7"/>
    <w:rsid w:val="0086348E"/>
    <w:rsid w:val="008634C6"/>
    <w:rsid w:val="008634E9"/>
    <w:rsid w:val="008635F7"/>
    <w:rsid w:val="008636C3"/>
    <w:rsid w:val="008638C7"/>
    <w:rsid w:val="008639F3"/>
    <w:rsid w:val="00863B75"/>
    <w:rsid w:val="00863E1B"/>
    <w:rsid w:val="0086408E"/>
    <w:rsid w:val="008641D5"/>
    <w:rsid w:val="00864258"/>
    <w:rsid w:val="008642C2"/>
    <w:rsid w:val="00864321"/>
    <w:rsid w:val="00864425"/>
    <w:rsid w:val="008644E7"/>
    <w:rsid w:val="0086451E"/>
    <w:rsid w:val="008648D9"/>
    <w:rsid w:val="00864A52"/>
    <w:rsid w:val="00864BEA"/>
    <w:rsid w:val="00864DF6"/>
    <w:rsid w:val="00864E04"/>
    <w:rsid w:val="00864FAB"/>
    <w:rsid w:val="00865071"/>
    <w:rsid w:val="008650F5"/>
    <w:rsid w:val="008651DD"/>
    <w:rsid w:val="008651F2"/>
    <w:rsid w:val="008651FC"/>
    <w:rsid w:val="0086528B"/>
    <w:rsid w:val="0086573B"/>
    <w:rsid w:val="00865AF6"/>
    <w:rsid w:val="00865CCC"/>
    <w:rsid w:val="00865CCD"/>
    <w:rsid w:val="00865D2C"/>
    <w:rsid w:val="008661D7"/>
    <w:rsid w:val="0086623D"/>
    <w:rsid w:val="008663F1"/>
    <w:rsid w:val="0086646D"/>
    <w:rsid w:val="008664A4"/>
    <w:rsid w:val="00866CDF"/>
    <w:rsid w:val="00866D87"/>
    <w:rsid w:val="00866FA1"/>
    <w:rsid w:val="00866FA3"/>
    <w:rsid w:val="0086719E"/>
    <w:rsid w:val="008671BF"/>
    <w:rsid w:val="008672B3"/>
    <w:rsid w:val="00867359"/>
    <w:rsid w:val="00867589"/>
    <w:rsid w:val="00867612"/>
    <w:rsid w:val="00867800"/>
    <w:rsid w:val="00867C61"/>
    <w:rsid w:val="00867C9A"/>
    <w:rsid w:val="00867E3A"/>
    <w:rsid w:val="008702D5"/>
    <w:rsid w:val="00870368"/>
    <w:rsid w:val="00870371"/>
    <w:rsid w:val="0087074E"/>
    <w:rsid w:val="00870900"/>
    <w:rsid w:val="00870967"/>
    <w:rsid w:val="0087097B"/>
    <w:rsid w:val="00870ADB"/>
    <w:rsid w:val="00870ADD"/>
    <w:rsid w:val="00870B47"/>
    <w:rsid w:val="00870B4B"/>
    <w:rsid w:val="00870DBE"/>
    <w:rsid w:val="00870ED0"/>
    <w:rsid w:val="0087105C"/>
    <w:rsid w:val="008710A9"/>
    <w:rsid w:val="00871284"/>
    <w:rsid w:val="008715F6"/>
    <w:rsid w:val="00871799"/>
    <w:rsid w:val="0087185E"/>
    <w:rsid w:val="008718A3"/>
    <w:rsid w:val="00871A0B"/>
    <w:rsid w:val="00871AF0"/>
    <w:rsid w:val="00871CEA"/>
    <w:rsid w:val="00871EB2"/>
    <w:rsid w:val="00871F57"/>
    <w:rsid w:val="008720EB"/>
    <w:rsid w:val="0087229B"/>
    <w:rsid w:val="008722AD"/>
    <w:rsid w:val="0087248A"/>
    <w:rsid w:val="0087268B"/>
    <w:rsid w:val="008727E0"/>
    <w:rsid w:val="008729AF"/>
    <w:rsid w:val="008729D2"/>
    <w:rsid w:val="00872A73"/>
    <w:rsid w:val="00872B1F"/>
    <w:rsid w:val="00872B2F"/>
    <w:rsid w:val="00872C40"/>
    <w:rsid w:val="00873194"/>
    <w:rsid w:val="00873277"/>
    <w:rsid w:val="008733F4"/>
    <w:rsid w:val="00873505"/>
    <w:rsid w:val="00873755"/>
    <w:rsid w:val="00873801"/>
    <w:rsid w:val="00873A99"/>
    <w:rsid w:val="00873B4A"/>
    <w:rsid w:val="00873BDE"/>
    <w:rsid w:val="00873DAB"/>
    <w:rsid w:val="00873E6B"/>
    <w:rsid w:val="008740E5"/>
    <w:rsid w:val="008741E4"/>
    <w:rsid w:val="008741E6"/>
    <w:rsid w:val="00874474"/>
    <w:rsid w:val="00874578"/>
    <w:rsid w:val="00874586"/>
    <w:rsid w:val="00874627"/>
    <w:rsid w:val="00874D88"/>
    <w:rsid w:val="00874E30"/>
    <w:rsid w:val="00874E73"/>
    <w:rsid w:val="00874EEE"/>
    <w:rsid w:val="00874F3B"/>
    <w:rsid w:val="00875044"/>
    <w:rsid w:val="008751A8"/>
    <w:rsid w:val="0087524A"/>
    <w:rsid w:val="008753EA"/>
    <w:rsid w:val="00875726"/>
    <w:rsid w:val="0087572D"/>
    <w:rsid w:val="00875856"/>
    <w:rsid w:val="00875A24"/>
    <w:rsid w:val="00875A8F"/>
    <w:rsid w:val="00875BC3"/>
    <w:rsid w:val="00875C7C"/>
    <w:rsid w:val="00875D57"/>
    <w:rsid w:val="008762C6"/>
    <w:rsid w:val="008766D8"/>
    <w:rsid w:val="00876775"/>
    <w:rsid w:val="00876798"/>
    <w:rsid w:val="00876811"/>
    <w:rsid w:val="00876844"/>
    <w:rsid w:val="008768BA"/>
    <w:rsid w:val="008768C7"/>
    <w:rsid w:val="0087694B"/>
    <w:rsid w:val="00876A19"/>
    <w:rsid w:val="00876A88"/>
    <w:rsid w:val="00876AD0"/>
    <w:rsid w:val="00876BE2"/>
    <w:rsid w:val="00876FAC"/>
    <w:rsid w:val="00876FF1"/>
    <w:rsid w:val="00877004"/>
    <w:rsid w:val="00877081"/>
    <w:rsid w:val="00877099"/>
    <w:rsid w:val="008770D0"/>
    <w:rsid w:val="00877104"/>
    <w:rsid w:val="008773E1"/>
    <w:rsid w:val="008774A4"/>
    <w:rsid w:val="0087760D"/>
    <w:rsid w:val="008779AF"/>
    <w:rsid w:val="008779D3"/>
    <w:rsid w:val="008779E5"/>
    <w:rsid w:val="008779F9"/>
    <w:rsid w:val="00877CA2"/>
    <w:rsid w:val="00877CDB"/>
    <w:rsid w:val="00877F65"/>
    <w:rsid w:val="00877FED"/>
    <w:rsid w:val="00880015"/>
    <w:rsid w:val="00880153"/>
    <w:rsid w:val="0088027F"/>
    <w:rsid w:val="008802BF"/>
    <w:rsid w:val="00880702"/>
    <w:rsid w:val="00880B1C"/>
    <w:rsid w:val="00880BC6"/>
    <w:rsid w:val="00880ED3"/>
    <w:rsid w:val="00880F9E"/>
    <w:rsid w:val="00881129"/>
    <w:rsid w:val="008811EC"/>
    <w:rsid w:val="008812DB"/>
    <w:rsid w:val="0088156D"/>
    <w:rsid w:val="00881856"/>
    <w:rsid w:val="008818AC"/>
    <w:rsid w:val="0088194D"/>
    <w:rsid w:val="00881964"/>
    <w:rsid w:val="00881A13"/>
    <w:rsid w:val="00881A95"/>
    <w:rsid w:val="00881E7D"/>
    <w:rsid w:val="00882002"/>
    <w:rsid w:val="0088206D"/>
    <w:rsid w:val="008820C6"/>
    <w:rsid w:val="008822CB"/>
    <w:rsid w:val="008822CC"/>
    <w:rsid w:val="0088232E"/>
    <w:rsid w:val="00882330"/>
    <w:rsid w:val="00882380"/>
    <w:rsid w:val="008823C3"/>
    <w:rsid w:val="00882418"/>
    <w:rsid w:val="0088242A"/>
    <w:rsid w:val="0088243B"/>
    <w:rsid w:val="00882492"/>
    <w:rsid w:val="0088258E"/>
    <w:rsid w:val="00882A9F"/>
    <w:rsid w:val="00882AB8"/>
    <w:rsid w:val="00882C41"/>
    <w:rsid w:val="00882C49"/>
    <w:rsid w:val="00882C7D"/>
    <w:rsid w:val="00883054"/>
    <w:rsid w:val="00883069"/>
    <w:rsid w:val="008830A7"/>
    <w:rsid w:val="008830C9"/>
    <w:rsid w:val="008831E3"/>
    <w:rsid w:val="00883276"/>
    <w:rsid w:val="008836EB"/>
    <w:rsid w:val="0088373B"/>
    <w:rsid w:val="00883806"/>
    <w:rsid w:val="00883BA6"/>
    <w:rsid w:val="00883BD2"/>
    <w:rsid w:val="00884171"/>
    <w:rsid w:val="008843E4"/>
    <w:rsid w:val="008843FC"/>
    <w:rsid w:val="00884409"/>
    <w:rsid w:val="00884729"/>
    <w:rsid w:val="0088475E"/>
    <w:rsid w:val="00884CBE"/>
    <w:rsid w:val="00884CF1"/>
    <w:rsid w:val="00884DD4"/>
    <w:rsid w:val="00885070"/>
    <w:rsid w:val="0088522C"/>
    <w:rsid w:val="00885257"/>
    <w:rsid w:val="008852B5"/>
    <w:rsid w:val="008852BC"/>
    <w:rsid w:val="008852E4"/>
    <w:rsid w:val="00885434"/>
    <w:rsid w:val="008854F2"/>
    <w:rsid w:val="0088555C"/>
    <w:rsid w:val="00885748"/>
    <w:rsid w:val="008859F5"/>
    <w:rsid w:val="00885A07"/>
    <w:rsid w:val="00885F3E"/>
    <w:rsid w:val="00886083"/>
    <w:rsid w:val="00886405"/>
    <w:rsid w:val="00886519"/>
    <w:rsid w:val="008865F2"/>
    <w:rsid w:val="0088666D"/>
    <w:rsid w:val="00886695"/>
    <w:rsid w:val="0088682E"/>
    <w:rsid w:val="008869AC"/>
    <w:rsid w:val="00886CA1"/>
    <w:rsid w:val="00886CDC"/>
    <w:rsid w:val="00886DB3"/>
    <w:rsid w:val="00886DC8"/>
    <w:rsid w:val="00886EE2"/>
    <w:rsid w:val="00886F37"/>
    <w:rsid w:val="00887319"/>
    <w:rsid w:val="008873E0"/>
    <w:rsid w:val="008874D4"/>
    <w:rsid w:val="0088766D"/>
    <w:rsid w:val="008877B2"/>
    <w:rsid w:val="0088785C"/>
    <w:rsid w:val="0088799F"/>
    <w:rsid w:val="00887A1B"/>
    <w:rsid w:val="00887BA2"/>
    <w:rsid w:val="00887D65"/>
    <w:rsid w:val="00887DFA"/>
    <w:rsid w:val="00887E9B"/>
    <w:rsid w:val="00887EDE"/>
    <w:rsid w:val="0089002E"/>
    <w:rsid w:val="008900A8"/>
    <w:rsid w:val="008901EA"/>
    <w:rsid w:val="008902CC"/>
    <w:rsid w:val="00890466"/>
    <w:rsid w:val="008905B5"/>
    <w:rsid w:val="008906F8"/>
    <w:rsid w:val="00890817"/>
    <w:rsid w:val="00890861"/>
    <w:rsid w:val="00890939"/>
    <w:rsid w:val="00890B89"/>
    <w:rsid w:val="00890E16"/>
    <w:rsid w:val="00890E45"/>
    <w:rsid w:val="00890F9E"/>
    <w:rsid w:val="00890FEA"/>
    <w:rsid w:val="0089105A"/>
    <w:rsid w:val="00891071"/>
    <w:rsid w:val="00891192"/>
    <w:rsid w:val="0089123D"/>
    <w:rsid w:val="00891431"/>
    <w:rsid w:val="008915A1"/>
    <w:rsid w:val="008915CE"/>
    <w:rsid w:val="00891721"/>
    <w:rsid w:val="008919A3"/>
    <w:rsid w:val="00891A69"/>
    <w:rsid w:val="00891B38"/>
    <w:rsid w:val="00891DDB"/>
    <w:rsid w:val="00891E44"/>
    <w:rsid w:val="00892188"/>
    <w:rsid w:val="008922AF"/>
    <w:rsid w:val="008923D8"/>
    <w:rsid w:val="008924C1"/>
    <w:rsid w:val="00892562"/>
    <w:rsid w:val="008925A2"/>
    <w:rsid w:val="008926C2"/>
    <w:rsid w:val="00892727"/>
    <w:rsid w:val="00892782"/>
    <w:rsid w:val="008927E8"/>
    <w:rsid w:val="00892BF6"/>
    <w:rsid w:val="00892CB7"/>
    <w:rsid w:val="00892D64"/>
    <w:rsid w:val="00892DBF"/>
    <w:rsid w:val="00893254"/>
    <w:rsid w:val="008934AA"/>
    <w:rsid w:val="008934D4"/>
    <w:rsid w:val="0089352C"/>
    <w:rsid w:val="0089358E"/>
    <w:rsid w:val="00893701"/>
    <w:rsid w:val="0089371C"/>
    <w:rsid w:val="008939E8"/>
    <w:rsid w:val="00893BF7"/>
    <w:rsid w:val="00893D6F"/>
    <w:rsid w:val="00894430"/>
    <w:rsid w:val="008945F6"/>
    <w:rsid w:val="008947CA"/>
    <w:rsid w:val="008948FC"/>
    <w:rsid w:val="00894B80"/>
    <w:rsid w:val="00894BB7"/>
    <w:rsid w:val="00894DDA"/>
    <w:rsid w:val="00894E46"/>
    <w:rsid w:val="00894EE9"/>
    <w:rsid w:val="00895063"/>
    <w:rsid w:val="008950C3"/>
    <w:rsid w:val="00895194"/>
    <w:rsid w:val="00895214"/>
    <w:rsid w:val="008952CB"/>
    <w:rsid w:val="0089538D"/>
    <w:rsid w:val="0089555A"/>
    <w:rsid w:val="008955AE"/>
    <w:rsid w:val="0089571E"/>
    <w:rsid w:val="00895749"/>
    <w:rsid w:val="00895754"/>
    <w:rsid w:val="008958FD"/>
    <w:rsid w:val="00895ABA"/>
    <w:rsid w:val="00895BAE"/>
    <w:rsid w:val="00895D17"/>
    <w:rsid w:val="00895FF2"/>
    <w:rsid w:val="0089609D"/>
    <w:rsid w:val="0089624A"/>
    <w:rsid w:val="0089653C"/>
    <w:rsid w:val="008967E7"/>
    <w:rsid w:val="0089682E"/>
    <w:rsid w:val="00896866"/>
    <w:rsid w:val="008968B2"/>
    <w:rsid w:val="00896E22"/>
    <w:rsid w:val="00896EA6"/>
    <w:rsid w:val="00896FAA"/>
    <w:rsid w:val="008970D1"/>
    <w:rsid w:val="00897283"/>
    <w:rsid w:val="008973E6"/>
    <w:rsid w:val="008973F7"/>
    <w:rsid w:val="0089750D"/>
    <w:rsid w:val="00897564"/>
    <w:rsid w:val="00897660"/>
    <w:rsid w:val="00897703"/>
    <w:rsid w:val="00897962"/>
    <w:rsid w:val="00897A35"/>
    <w:rsid w:val="00897BC5"/>
    <w:rsid w:val="00897CB1"/>
    <w:rsid w:val="00897D19"/>
    <w:rsid w:val="00897F10"/>
    <w:rsid w:val="008A002B"/>
    <w:rsid w:val="008A025A"/>
    <w:rsid w:val="008A0460"/>
    <w:rsid w:val="008A056F"/>
    <w:rsid w:val="008A0570"/>
    <w:rsid w:val="008A07F6"/>
    <w:rsid w:val="008A0AD7"/>
    <w:rsid w:val="008A0E99"/>
    <w:rsid w:val="008A1043"/>
    <w:rsid w:val="008A111D"/>
    <w:rsid w:val="008A1248"/>
    <w:rsid w:val="008A12C7"/>
    <w:rsid w:val="008A147A"/>
    <w:rsid w:val="008A16C4"/>
    <w:rsid w:val="008A184A"/>
    <w:rsid w:val="008A1863"/>
    <w:rsid w:val="008A1907"/>
    <w:rsid w:val="008A1B8C"/>
    <w:rsid w:val="008A1C32"/>
    <w:rsid w:val="008A2149"/>
    <w:rsid w:val="008A216D"/>
    <w:rsid w:val="008A21F1"/>
    <w:rsid w:val="008A2222"/>
    <w:rsid w:val="008A2293"/>
    <w:rsid w:val="008A26A7"/>
    <w:rsid w:val="008A29FB"/>
    <w:rsid w:val="008A2A1A"/>
    <w:rsid w:val="008A2A7F"/>
    <w:rsid w:val="008A2BA3"/>
    <w:rsid w:val="008A2BF3"/>
    <w:rsid w:val="008A2CA5"/>
    <w:rsid w:val="008A3046"/>
    <w:rsid w:val="008A30B8"/>
    <w:rsid w:val="008A3196"/>
    <w:rsid w:val="008A352D"/>
    <w:rsid w:val="008A35A5"/>
    <w:rsid w:val="008A36D1"/>
    <w:rsid w:val="008A38DB"/>
    <w:rsid w:val="008A3A57"/>
    <w:rsid w:val="008A3A78"/>
    <w:rsid w:val="008A3AED"/>
    <w:rsid w:val="008A3B24"/>
    <w:rsid w:val="008A3D71"/>
    <w:rsid w:val="008A3F92"/>
    <w:rsid w:val="008A40FF"/>
    <w:rsid w:val="008A41F6"/>
    <w:rsid w:val="008A4211"/>
    <w:rsid w:val="008A42C2"/>
    <w:rsid w:val="008A43CD"/>
    <w:rsid w:val="008A4405"/>
    <w:rsid w:val="008A4502"/>
    <w:rsid w:val="008A452D"/>
    <w:rsid w:val="008A4623"/>
    <w:rsid w:val="008A46D4"/>
    <w:rsid w:val="008A477E"/>
    <w:rsid w:val="008A480D"/>
    <w:rsid w:val="008A4869"/>
    <w:rsid w:val="008A49A7"/>
    <w:rsid w:val="008A4BFD"/>
    <w:rsid w:val="008A4C59"/>
    <w:rsid w:val="008A4CB3"/>
    <w:rsid w:val="008A4F8E"/>
    <w:rsid w:val="008A5A62"/>
    <w:rsid w:val="008A5AAD"/>
    <w:rsid w:val="008A5AF6"/>
    <w:rsid w:val="008A5C27"/>
    <w:rsid w:val="008A5C73"/>
    <w:rsid w:val="008A5DB6"/>
    <w:rsid w:val="008A5EB4"/>
    <w:rsid w:val="008A5EF0"/>
    <w:rsid w:val="008A6010"/>
    <w:rsid w:val="008A6056"/>
    <w:rsid w:val="008A62D5"/>
    <w:rsid w:val="008A62EE"/>
    <w:rsid w:val="008A6369"/>
    <w:rsid w:val="008A63D9"/>
    <w:rsid w:val="008A69E2"/>
    <w:rsid w:val="008A6CED"/>
    <w:rsid w:val="008A6F42"/>
    <w:rsid w:val="008A7182"/>
    <w:rsid w:val="008A72B2"/>
    <w:rsid w:val="008A7387"/>
    <w:rsid w:val="008A7563"/>
    <w:rsid w:val="008A78A6"/>
    <w:rsid w:val="008A7934"/>
    <w:rsid w:val="008A7947"/>
    <w:rsid w:val="008A7A15"/>
    <w:rsid w:val="008A7AD7"/>
    <w:rsid w:val="008A7AF0"/>
    <w:rsid w:val="008A7E67"/>
    <w:rsid w:val="008B049A"/>
    <w:rsid w:val="008B0701"/>
    <w:rsid w:val="008B072E"/>
    <w:rsid w:val="008B0A1B"/>
    <w:rsid w:val="008B0E71"/>
    <w:rsid w:val="008B0EA7"/>
    <w:rsid w:val="008B0EFA"/>
    <w:rsid w:val="008B1354"/>
    <w:rsid w:val="008B13F7"/>
    <w:rsid w:val="008B146B"/>
    <w:rsid w:val="008B15E5"/>
    <w:rsid w:val="008B1796"/>
    <w:rsid w:val="008B17A7"/>
    <w:rsid w:val="008B1D2B"/>
    <w:rsid w:val="008B1DDF"/>
    <w:rsid w:val="008B2233"/>
    <w:rsid w:val="008B2244"/>
    <w:rsid w:val="008B2653"/>
    <w:rsid w:val="008B277B"/>
    <w:rsid w:val="008B2780"/>
    <w:rsid w:val="008B297E"/>
    <w:rsid w:val="008B29D7"/>
    <w:rsid w:val="008B2B6A"/>
    <w:rsid w:val="008B2CFC"/>
    <w:rsid w:val="008B2D7F"/>
    <w:rsid w:val="008B31F9"/>
    <w:rsid w:val="008B32D0"/>
    <w:rsid w:val="008B334F"/>
    <w:rsid w:val="008B339B"/>
    <w:rsid w:val="008B3432"/>
    <w:rsid w:val="008B3766"/>
    <w:rsid w:val="008B37C5"/>
    <w:rsid w:val="008B393F"/>
    <w:rsid w:val="008B3A4E"/>
    <w:rsid w:val="008B3D67"/>
    <w:rsid w:val="008B3FCD"/>
    <w:rsid w:val="008B4167"/>
    <w:rsid w:val="008B4467"/>
    <w:rsid w:val="008B4500"/>
    <w:rsid w:val="008B48DC"/>
    <w:rsid w:val="008B4F09"/>
    <w:rsid w:val="008B5023"/>
    <w:rsid w:val="008B51DC"/>
    <w:rsid w:val="008B53D1"/>
    <w:rsid w:val="008B55A8"/>
    <w:rsid w:val="008B55CF"/>
    <w:rsid w:val="008B567D"/>
    <w:rsid w:val="008B5819"/>
    <w:rsid w:val="008B5C84"/>
    <w:rsid w:val="008B6030"/>
    <w:rsid w:val="008B6224"/>
    <w:rsid w:val="008B6315"/>
    <w:rsid w:val="008B634E"/>
    <w:rsid w:val="008B63D2"/>
    <w:rsid w:val="008B6483"/>
    <w:rsid w:val="008B65ED"/>
    <w:rsid w:val="008B67CB"/>
    <w:rsid w:val="008B68E6"/>
    <w:rsid w:val="008B68F2"/>
    <w:rsid w:val="008B6AEB"/>
    <w:rsid w:val="008B6CAD"/>
    <w:rsid w:val="008B6DB9"/>
    <w:rsid w:val="008B6E41"/>
    <w:rsid w:val="008B6E52"/>
    <w:rsid w:val="008B70DE"/>
    <w:rsid w:val="008B7276"/>
    <w:rsid w:val="008B7370"/>
    <w:rsid w:val="008B7386"/>
    <w:rsid w:val="008B7595"/>
    <w:rsid w:val="008B7734"/>
    <w:rsid w:val="008B7773"/>
    <w:rsid w:val="008B785C"/>
    <w:rsid w:val="008B7C55"/>
    <w:rsid w:val="008B7C69"/>
    <w:rsid w:val="008B7D29"/>
    <w:rsid w:val="008B7D73"/>
    <w:rsid w:val="008B7E75"/>
    <w:rsid w:val="008B7F2A"/>
    <w:rsid w:val="008B7FB9"/>
    <w:rsid w:val="008C01F0"/>
    <w:rsid w:val="008C0307"/>
    <w:rsid w:val="008C0626"/>
    <w:rsid w:val="008C072A"/>
    <w:rsid w:val="008C0868"/>
    <w:rsid w:val="008C09DF"/>
    <w:rsid w:val="008C0AAF"/>
    <w:rsid w:val="008C0DAC"/>
    <w:rsid w:val="008C0ECB"/>
    <w:rsid w:val="008C1209"/>
    <w:rsid w:val="008C15ED"/>
    <w:rsid w:val="008C1A34"/>
    <w:rsid w:val="008C1A7A"/>
    <w:rsid w:val="008C1AD7"/>
    <w:rsid w:val="008C1EB4"/>
    <w:rsid w:val="008C1F59"/>
    <w:rsid w:val="008C210E"/>
    <w:rsid w:val="008C2245"/>
    <w:rsid w:val="008C246C"/>
    <w:rsid w:val="008C24EF"/>
    <w:rsid w:val="008C25D6"/>
    <w:rsid w:val="008C26D2"/>
    <w:rsid w:val="008C28F1"/>
    <w:rsid w:val="008C2BB2"/>
    <w:rsid w:val="008C2D17"/>
    <w:rsid w:val="008C2D4F"/>
    <w:rsid w:val="008C2E83"/>
    <w:rsid w:val="008C2F4A"/>
    <w:rsid w:val="008C2F5A"/>
    <w:rsid w:val="008C312E"/>
    <w:rsid w:val="008C3155"/>
    <w:rsid w:val="008C3269"/>
    <w:rsid w:val="008C3294"/>
    <w:rsid w:val="008C32A1"/>
    <w:rsid w:val="008C32F2"/>
    <w:rsid w:val="008C3460"/>
    <w:rsid w:val="008C39FF"/>
    <w:rsid w:val="008C3A39"/>
    <w:rsid w:val="008C3B23"/>
    <w:rsid w:val="008C4069"/>
    <w:rsid w:val="008C4385"/>
    <w:rsid w:val="008C4486"/>
    <w:rsid w:val="008C451A"/>
    <w:rsid w:val="008C458D"/>
    <w:rsid w:val="008C459E"/>
    <w:rsid w:val="008C4603"/>
    <w:rsid w:val="008C4C55"/>
    <w:rsid w:val="008C4C82"/>
    <w:rsid w:val="008C4F58"/>
    <w:rsid w:val="008C50E1"/>
    <w:rsid w:val="008C51A8"/>
    <w:rsid w:val="008C5212"/>
    <w:rsid w:val="008C5284"/>
    <w:rsid w:val="008C530F"/>
    <w:rsid w:val="008C5577"/>
    <w:rsid w:val="008C5787"/>
    <w:rsid w:val="008C5D28"/>
    <w:rsid w:val="008C5D6D"/>
    <w:rsid w:val="008C5F8F"/>
    <w:rsid w:val="008C5FDF"/>
    <w:rsid w:val="008C601F"/>
    <w:rsid w:val="008C60C5"/>
    <w:rsid w:val="008C6361"/>
    <w:rsid w:val="008C6461"/>
    <w:rsid w:val="008C65F4"/>
    <w:rsid w:val="008C66ED"/>
    <w:rsid w:val="008C6832"/>
    <w:rsid w:val="008C6A42"/>
    <w:rsid w:val="008C6AED"/>
    <w:rsid w:val="008C6D5B"/>
    <w:rsid w:val="008C6EBC"/>
    <w:rsid w:val="008C6F71"/>
    <w:rsid w:val="008C710F"/>
    <w:rsid w:val="008C7148"/>
    <w:rsid w:val="008C72BF"/>
    <w:rsid w:val="008C75EA"/>
    <w:rsid w:val="008C7727"/>
    <w:rsid w:val="008C780B"/>
    <w:rsid w:val="008C7B91"/>
    <w:rsid w:val="008C7B9C"/>
    <w:rsid w:val="008C7C06"/>
    <w:rsid w:val="008C7CA8"/>
    <w:rsid w:val="008D0088"/>
    <w:rsid w:val="008D0142"/>
    <w:rsid w:val="008D0269"/>
    <w:rsid w:val="008D02A1"/>
    <w:rsid w:val="008D04DD"/>
    <w:rsid w:val="008D06F3"/>
    <w:rsid w:val="008D072F"/>
    <w:rsid w:val="008D0A00"/>
    <w:rsid w:val="008D0A58"/>
    <w:rsid w:val="008D0A7E"/>
    <w:rsid w:val="008D0EC2"/>
    <w:rsid w:val="008D109E"/>
    <w:rsid w:val="008D10B8"/>
    <w:rsid w:val="008D130F"/>
    <w:rsid w:val="008D137C"/>
    <w:rsid w:val="008D158A"/>
    <w:rsid w:val="008D1747"/>
    <w:rsid w:val="008D1839"/>
    <w:rsid w:val="008D1858"/>
    <w:rsid w:val="008D18A4"/>
    <w:rsid w:val="008D1A52"/>
    <w:rsid w:val="008D1E3A"/>
    <w:rsid w:val="008D20A5"/>
    <w:rsid w:val="008D229C"/>
    <w:rsid w:val="008D2563"/>
    <w:rsid w:val="008D25EB"/>
    <w:rsid w:val="008D278F"/>
    <w:rsid w:val="008D27F5"/>
    <w:rsid w:val="008D2AA2"/>
    <w:rsid w:val="008D2AAC"/>
    <w:rsid w:val="008D2AB6"/>
    <w:rsid w:val="008D2C3D"/>
    <w:rsid w:val="008D2C8C"/>
    <w:rsid w:val="008D2F49"/>
    <w:rsid w:val="008D2F85"/>
    <w:rsid w:val="008D31D8"/>
    <w:rsid w:val="008D3285"/>
    <w:rsid w:val="008D3456"/>
    <w:rsid w:val="008D37AB"/>
    <w:rsid w:val="008D38FF"/>
    <w:rsid w:val="008D3941"/>
    <w:rsid w:val="008D3A4A"/>
    <w:rsid w:val="008D3A54"/>
    <w:rsid w:val="008D3BF0"/>
    <w:rsid w:val="008D3C5D"/>
    <w:rsid w:val="008D3C9E"/>
    <w:rsid w:val="008D3CEE"/>
    <w:rsid w:val="008D3F7F"/>
    <w:rsid w:val="008D427E"/>
    <w:rsid w:val="008D4348"/>
    <w:rsid w:val="008D4582"/>
    <w:rsid w:val="008D46FD"/>
    <w:rsid w:val="008D4722"/>
    <w:rsid w:val="008D4A13"/>
    <w:rsid w:val="008D4A2A"/>
    <w:rsid w:val="008D4A98"/>
    <w:rsid w:val="008D4AB1"/>
    <w:rsid w:val="008D4C31"/>
    <w:rsid w:val="008D4C8C"/>
    <w:rsid w:val="008D51D6"/>
    <w:rsid w:val="008D525A"/>
    <w:rsid w:val="008D52CD"/>
    <w:rsid w:val="008D539F"/>
    <w:rsid w:val="008D54A3"/>
    <w:rsid w:val="008D54D2"/>
    <w:rsid w:val="008D55C8"/>
    <w:rsid w:val="008D55CC"/>
    <w:rsid w:val="008D5609"/>
    <w:rsid w:val="008D5659"/>
    <w:rsid w:val="008D58E4"/>
    <w:rsid w:val="008D5C96"/>
    <w:rsid w:val="008D5CDF"/>
    <w:rsid w:val="008D5DCD"/>
    <w:rsid w:val="008D601E"/>
    <w:rsid w:val="008D608C"/>
    <w:rsid w:val="008D639F"/>
    <w:rsid w:val="008D6546"/>
    <w:rsid w:val="008D675F"/>
    <w:rsid w:val="008D67DB"/>
    <w:rsid w:val="008D69AB"/>
    <w:rsid w:val="008D6CC2"/>
    <w:rsid w:val="008D7431"/>
    <w:rsid w:val="008D7660"/>
    <w:rsid w:val="008D7AFC"/>
    <w:rsid w:val="008D7EDD"/>
    <w:rsid w:val="008D9604"/>
    <w:rsid w:val="008DD71C"/>
    <w:rsid w:val="008E00B0"/>
    <w:rsid w:val="008E0213"/>
    <w:rsid w:val="008E0461"/>
    <w:rsid w:val="008E0708"/>
    <w:rsid w:val="008E0797"/>
    <w:rsid w:val="008E0BC0"/>
    <w:rsid w:val="008E0BF7"/>
    <w:rsid w:val="008E0D6C"/>
    <w:rsid w:val="008E0D6E"/>
    <w:rsid w:val="008E1351"/>
    <w:rsid w:val="008E13FC"/>
    <w:rsid w:val="008E1566"/>
    <w:rsid w:val="008E1575"/>
    <w:rsid w:val="008E1614"/>
    <w:rsid w:val="008E1766"/>
    <w:rsid w:val="008E1AE4"/>
    <w:rsid w:val="008E1DC1"/>
    <w:rsid w:val="008E1DF2"/>
    <w:rsid w:val="008E1F1F"/>
    <w:rsid w:val="008E1F24"/>
    <w:rsid w:val="008E1FF8"/>
    <w:rsid w:val="008E22A6"/>
    <w:rsid w:val="008E22AD"/>
    <w:rsid w:val="008E239D"/>
    <w:rsid w:val="008E2416"/>
    <w:rsid w:val="008E2426"/>
    <w:rsid w:val="008E253F"/>
    <w:rsid w:val="008E2706"/>
    <w:rsid w:val="008E28C3"/>
    <w:rsid w:val="008E29BE"/>
    <w:rsid w:val="008E2CBA"/>
    <w:rsid w:val="008E2FB1"/>
    <w:rsid w:val="008E3016"/>
    <w:rsid w:val="008E3266"/>
    <w:rsid w:val="008E342C"/>
    <w:rsid w:val="008E376B"/>
    <w:rsid w:val="008E3770"/>
    <w:rsid w:val="008E3856"/>
    <w:rsid w:val="008E393E"/>
    <w:rsid w:val="008E3A8E"/>
    <w:rsid w:val="008E3ACE"/>
    <w:rsid w:val="008E3AEE"/>
    <w:rsid w:val="008E3C8B"/>
    <w:rsid w:val="008E3FE3"/>
    <w:rsid w:val="008E40B0"/>
    <w:rsid w:val="008E4161"/>
    <w:rsid w:val="008E432D"/>
    <w:rsid w:val="008E4387"/>
    <w:rsid w:val="008E4437"/>
    <w:rsid w:val="008E4460"/>
    <w:rsid w:val="008E4510"/>
    <w:rsid w:val="008E4599"/>
    <w:rsid w:val="008E45FC"/>
    <w:rsid w:val="008E464B"/>
    <w:rsid w:val="008E4655"/>
    <w:rsid w:val="008E4686"/>
    <w:rsid w:val="008E46C0"/>
    <w:rsid w:val="008E4799"/>
    <w:rsid w:val="008E4819"/>
    <w:rsid w:val="008E4845"/>
    <w:rsid w:val="008E4870"/>
    <w:rsid w:val="008E48AF"/>
    <w:rsid w:val="008E4A07"/>
    <w:rsid w:val="008E4BA7"/>
    <w:rsid w:val="008E4D28"/>
    <w:rsid w:val="008E4E72"/>
    <w:rsid w:val="008E4EFD"/>
    <w:rsid w:val="008E5024"/>
    <w:rsid w:val="008E5044"/>
    <w:rsid w:val="008E526A"/>
    <w:rsid w:val="008E537F"/>
    <w:rsid w:val="008E563F"/>
    <w:rsid w:val="008E56A0"/>
    <w:rsid w:val="008E5778"/>
    <w:rsid w:val="008E58BC"/>
    <w:rsid w:val="008E58D8"/>
    <w:rsid w:val="008E591B"/>
    <w:rsid w:val="008E5A1C"/>
    <w:rsid w:val="008E5A41"/>
    <w:rsid w:val="008E5CA9"/>
    <w:rsid w:val="008E5E67"/>
    <w:rsid w:val="008E5FFE"/>
    <w:rsid w:val="008E6017"/>
    <w:rsid w:val="008E6052"/>
    <w:rsid w:val="008E60E0"/>
    <w:rsid w:val="008E6120"/>
    <w:rsid w:val="008E6188"/>
    <w:rsid w:val="008E61FB"/>
    <w:rsid w:val="008E6245"/>
    <w:rsid w:val="008E664B"/>
    <w:rsid w:val="008E68FB"/>
    <w:rsid w:val="008E6ADD"/>
    <w:rsid w:val="008E6C7F"/>
    <w:rsid w:val="008E6CFA"/>
    <w:rsid w:val="008E6DFB"/>
    <w:rsid w:val="008E70DE"/>
    <w:rsid w:val="008E7208"/>
    <w:rsid w:val="008E7736"/>
    <w:rsid w:val="008E7A88"/>
    <w:rsid w:val="008E7B26"/>
    <w:rsid w:val="008E7ED4"/>
    <w:rsid w:val="008E7EF6"/>
    <w:rsid w:val="008E7FB0"/>
    <w:rsid w:val="008F0251"/>
    <w:rsid w:val="008F026E"/>
    <w:rsid w:val="008F02A5"/>
    <w:rsid w:val="008F03A4"/>
    <w:rsid w:val="008F060B"/>
    <w:rsid w:val="008F0700"/>
    <w:rsid w:val="008F0775"/>
    <w:rsid w:val="008F0979"/>
    <w:rsid w:val="008F0BCE"/>
    <w:rsid w:val="008F0D63"/>
    <w:rsid w:val="008F0EDE"/>
    <w:rsid w:val="008F0F18"/>
    <w:rsid w:val="008F0FF9"/>
    <w:rsid w:val="008F1045"/>
    <w:rsid w:val="008F1069"/>
    <w:rsid w:val="008F14E2"/>
    <w:rsid w:val="008F15DC"/>
    <w:rsid w:val="008F1746"/>
    <w:rsid w:val="008F18AB"/>
    <w:rsid w:val="008F1E32"/>
    <w:rsid w:val="008F2063"/>
    <w:rsid w:val="008F225A"/>
    <w:rsid w:val="008F2323"/>
    <w:rsid w:val="008F2344"/>
    <w:rsid w:val="008F283B"/>
    <w:rsid w:val="008F2A8E"/>
    <w:rsid w:val="008F2B47"/>
    <w:rsid w:val="008F2D42"/>
    <w:rsid w:val="008F30F2"/>
    <w:rsid w:val="008F310B"/>
    <w:rsid w:val="008F3398"/>
    <w:rsid w:val="008F3841"/>
    <w:rsid w:val="008F3A97"/>
    <w:rsid w:val="008F3BA1"/>
    <w:rsid w:val="008F3C9B"/>
    <w:rsid w:val="008F3EFA"/>
    <w:rsid w:val="008F406C"/>
    <w:rsid w:val="008F40D0"/>
    <w:rsid w:val="008F419F"/>
    <w:rsid w:val="008F41C8"/>
    <w:rsid w:val="008F455E"/>
    <w:rsid w:val="008F466E"/>
    <w:rsid w:val="008F46E9"/>
    <w:rsid w:val="008F4976"/>
    <w:rsid w:val="008F4997"/>
    <w:rsid w:val="008F4B47"/>
    <w:rsid w:val="008F4C98"/>
    <w:rsid w:val="008F4D13"/>
    <w:rsid w:val="008F4FEF"/>
    <w:rsid w:val="008F529D"/>
    <w:rsid w:val="008F53D9"/>
    <w:rsid w:val="008F5434"/>
    <w:rsid w:val="008F54F4"/>
    <w:rsid w:val="008F5581"/>
    <w:rsid w:val="008F57A5"/>
    <w:rsid w:val="008F58B3"/>
    <w:rsid w:val="008F58D1"/>
    <w:rsid w:val="008F5B16"/>
    <w:rsid w:val="008F5C59"/>
    <w:rsid w:val="008F5E78"/>
    <w:rsid w:val="008F5EA8"/>
    <w:rsid w:val="008F5F23"/>
    <w:rsid w:val="008F615F"/>
    <w:rsid w:val="008F61B6"/>
    <w:rsid w:val="008F6580"/>
    <w:rsid w:val="008F66A3"/>
    <w:rsid w:val="008F69E0"/>
    <w:rsid w:val="008F6A34"/>
    <w:rsid w:val="008F6C06"/>
    <w:rsid w:val="008F6D71"/>
    <w:rsid w:val="008F7044"/>
    <w:rsid w:val="008F7095"/>
    <w:rsid w:val="008F7301"/>
    <w:rsid w:val="008F7652"/>
    <w:rsid w:val="008F7790"/>
    <w:rsid w:val="008F7893"/>
    <w:rsid w:val="008F7B25"/>
    <w:rsid w:val="008F7B42"/>
    <w:rsid w:val="008F7C6A"/>
    <w:rsid w:val="008F7C79"/>
    <w:rsid w:val="008F7C84"/>
    <w:rsid w:val="008F7CB1"/>
    <w:rsid w:val="0090017C"/>
    <w:rsid w:val="0090038C"/>
    <w:rsid w:val="00900409"/>
    <w:rsid w:val="00900453"/>
    <w:rsid w:val="009006C5"/>
    <w:rsid w:val="009007D6"/>
    <w:rsid w:val="00900818"/>
    <w:rsid w:val="0090097E"/>
    <w:rsid w:val="009009A1"/>
    <w:rsid w:val="00900B5B"/>
    <w:rsid w:val="00900D47"/>
    <w:rsid w:val="00900D81"/>
    <w:rsid w:val="00900DA4"/>
    <w:rsid w:val="0090105B"/>
    <w:rsid w:val="00901231"/>
    <w:rsid w:val="009015EE"/>
    <w:rsid w:val="009017C6"/>
    <w:rsid w:val="00901961"/>
    <w:rsid w:val="00901A5B"/>
    <w:rsid w:val="00901AB7"/>
    <w:rsid w:val="00901BE5"/>
    <w:rsid w:val="00901D95"/>
    <w:rsid w:val="00902222"/>
    <w:rsid w:val="0090283C"/>
    <w:rsid w:val="009029CA"/>
    <w:rsid w:val="00902A69"/>
    <w:rsid w:val="00902BB1"/>
    <w:rsid w:val="00902C85"/>
    <w:rsid w:val="00902CAE"/>
    <w:rsid w:val="00902DF0"/>
    <w:rsid w:val="00902ED1"/>
    <w:rsid w:val="00902FB0"/>
    <w:rsid w:val="0090327E"/>
    <w:rsid w:val="00903427"/>
    <w:rsid w:val="00903530"/>
    <w:rsid w:val="009036D5"/>
    <w:rsid w:val="0090380C"/>
    <w:rsid w:val="00903828"/>
    <w:rsid w:val="00903A7D"/>
    <w:rsid w:val="00903AE8"/>
    <w:rsid w:val="00903B5A"/>
    <w:rsid w:val="00903D90"/>
    <w:rsid w:val="00903E4D"/>
    <w:rsid w:val="00903F36"/>
    <w:rsid w:val="0090403D"/>
    <w:rsid w:val="00904143"/>
    <w:rsid w:val="009043D8"/>
    <w:rsid w:val="00904508"/>
    <w:rsid w:val="00904638"/>
    <w:rsid w:val="00904651"/>
    <w:rsid w:val="009046B3"/>
    <w:rsid w:val="0090470E"/>
    <w:rsid w:val="0090479C"/>
    <w:rsid w:val="009049CB"/>
    <w:rsid w:val="00904AA4"/>
    <w:rsid w:val="00904B53"/>
    <w:rsid w:val="00904B97"/>
    <w:rsid w:val="00904E35"/>
    <w:rsid w:val="00904E52"/>
    <w:rsid w:val="00905140"/>
    <w:rsid w:val="0090514B"/>
    <w:rsid w:val="009052F8"/>
    <w:rsid w:val="00905342"/>
    <w:rsid w:val="0090537A"/>
    <w:rsid w:val="00905417"/>
    <w:rsid w:val="009054F1"/>
    <w:rsid w:val="00905782"/>
    <w:rsid w:val="00905A5D"/>
    <w:rsid w:val="00905B27"/>
    <w:rsid w:val="00905EBA"/>
    <w:rsid w:val="0090606E"/>
    <w:rsid w:val="00906142"/>
    <w:rsid w:val="009061B7"/>
    <w:rsid w:val="009061C5"/>
    <w:rsid w:val="00906205"/>
    <w:rsid w:val="009063E3"/>
    <w:rsid w:val="00906470"/>
    <w:rsid w:val="00906493"/>
    <w:rsid w:val="009064D1"/>
    <w:rsid w:val="00906669"/>
    <w:rsid w:val="00906686"/>
    <w:rsid w:val="009068A5"/>
    <w:rsid w:val="00906964"/>
    <w:rsid w:val="00906D14"/>
    <w:rsid w:val="00906D79"/>
    <w:rsid w:val="00906E5C"/>
    <w:rsid w:val="00906E72"/>
    <w:rsid w:val="00906EF2"/>
    <w:rsid w:val="0090723D"/>
    <w:rsid w:val="009075A8"/>
    <w:rsid w:val="0090769E"/>
    <w:rsid w:val="00907718"/>
    <w:rsid w:val="009077FE"/>
    <w:rsid w:val="009078C8"/>
    <w:rsid w:val="009079D4"/>
    <w:rsid w:val="00907B73"/>
    <w:rsid w:val="00907D35"/>
    <w:rsid w:val="00907E88"/>
    <w:rsid w:val="0091001D"/>
    <w:rsid w:val="0091005E"/>
    <w:rsid w:val="00910071"/>
    <w:rsid w:val="0091020B"/>
    <w:rsid w:val="0091037C"/>
    <w:rsid w:val="009103E7"/>
    <w:rsid w:val="00910516"/>
    <w:rsid w:val="00910551"/>
    <w:rsid w:val="009107E2"/>
    <w:rsid w:val="0091095A"/>
    <w:rsid w:val="009109B0"/>
    <w:rsid w:val="00910A52"/>
    <w:rsid w:val="00910C27"/>
    <w:rsid w:val="00910F2D"/>
    <w:rsid w:val="00911392"/>
    <w:rsid w:val="009114BF"/>
    <w:rsid w:val="009115EC"/>
    <w:rsid w:val="009116F8"/>
    <w:rsid w:val="00911741"/>
    <w:rsid w:val="0091186C"/>
    <w:rsid w:val="00911AC2"/>
    <w:rsid w:val="00911CFD"/>
    <w:rsid w:val="00911D7F"/>
    <w:rsid w:val="00911DA1"/>
    <w:rsid w:val="00911E04"/>
    <w:rsid w:val="00911E21"/>
    <w:rsid w:val="0091201A"/>
    <w:rsid w:val="00912075"/>
    <w:rsid w:val="009120F0"/>
    <w:rsid w:val="009123B0"/>
    <w:rsid w:val="009126E3"/>
    <w:rsid w:val="009130E3"/>
    <w:rsid w:val="009132B6"/>
    <w:rsid w:val="00913482"/>
    <w:rsid w:val="009134E3"/>
    <w:rsid w:val="00913572"/>
    <w:rsid w:val="0091375E"/>
    <w:rsid w:val="00913791"/>
    <w:rsid w:val="009137E3"/>
    <w:rsid w:val="009139B9"/>
    <w:rsid w:val="00913CCC"/>
    <w:rsid w:val="00913E4B"/>
    <w:rsid w:val="00913E66"/>
    <w:rsid w:val="00913E85"/>
    <w:rsid w:val="00913F13"/>
    <w:rsid w:val="0091446B"/>
    <w:rsid w:val="00914614"/>
    <w:rsid w:val="00914623"/>
    <w:rsid w:val="009147A0"/>
    <w:rsid w:val="009148E0"/>
    <w:rsid w:val="00914F4C"/>
    <w:rsid w:val="00915214"/>
    <w:rsid w:val="00915229"/>
    <w:rsid w:val="0091523F"/>
    <w:rsid w:val="009152A1"/>
    <w:rsid w:val="0091540A"/>
    <w:rsid w:val="0091551F"/>
    <w:rsid w:val="009156DD"/>
    <w:rsid w:val="009157DE"/>
    <w:rsid w:val="00915D16"/>
    <w:rsid w:val="00915D73"/>
    <w:rsid w:val="00915DE1"/>
    <w:rsid w:val="00915F67"/>
    <w:rsid w:val="00915FAB"/>
    <w:rsid w:val="00915FAC"/>
    <w:rsid w:val="00916417"/>
    <w:rsid w:val="00916462"/>
    <w:rsid w:val="009166BB"/>
    <w:rsid w:val="00916841"/>
    <w:rsid w:val="00916975"/>
    <w:rsid w:val="00916C9E"/>
    <w:rsid w:val="00916D04"/>
    <w:rsid w:val="00916D20"/>
    <w:rsid w:val="00916D75"/>
    <w:rsid w:val="00916D9A"/>
    <w:rsid w:val="00916DB3"/>
    <w:rsid w:val="009174A8"/>
    <w:rsid w:val="00917832"/>
    <w:rsid w:val="00917836"/>
    <w:rsid w:val="009179A7"/>
    <w:rsid w:val="00917C86"/>
    <w:rsid w:val="00917CA8"/>
    <w:rsid w:val="00917FDD"/>
    <w:rsid w:val="00920104"/>
    <w:rsid w:val="00920370"/>
    <w:rsid w:val="0092039B"/>
    <w:rsid w:val="009203FB"/>
    <w:rsid w:val="009208C7"/>
    <w:rsid w:val="009209C8"/>
    <w:rsid w:val="00920C1A"/>
    <w:rsid w:val="00920C25"/>
    <w:rsid w:val="00920C3F"/>
    <w:rsid w:val="00920E53"/>
    <w:rsid w:val="00920F37"/>
    <w:rsid w:val="009211A7"/>
    <w:rsid w:val="00921262"/>
    <w:rsid w:val="009212D5"/>
    <w:rsid w:val="009213C9"/>
    <w:rsid w:val="0092142E"/>
    <w:rsid w:val="009214D5"/>
    <w:rsid w:val="009217F2"/>
    <w:rsid w:val="00921951"/>
    <w:rsid w:val="00921FC1"/>
    <w:rsid w:val="009228B6"/>
    <w:rsid w:val="009229A4"/>
    <w:rsid w:val="00922B77"/>
    <w:rsid w:val="00922E2A"/>
    <w:rsid w:val="00922FE6"/>
    <w:rsid w:val="0092333D"/>
    <w:rsid w:val="0092337B"/>
    <w:rsid w:val="009234D9"/>
    <w:rsid w:val="009236DA"/>
    <w:rsid w:val="00923B66"/>
    <w:rsid w:val="00923DF6"/>
    <w:rsid w:val="00923FB0"/>
    <w:rsid w:val="009241ED"/>
    <w:rsid w:val="009242BD"/>
    <w:rsid w:val="00924382"/>
    <w:rsid w:val="009245C4"/>
    <w:rsid w:val="0092468D"/>
    <w:rsid w:val="00924A07"/>
    <w:rsid w:val="00924B3B"/>
    <w:rsid w:val="00924F63"/>
    <w:rsid w:val="00925079"/>
    <w:rsid w:val="009250AC"/>
    <w:rsid w:val="0092511A"/>
    <w:rsid w:val="00925183"/>
    <w:rsid w:val="00925328"/>
    <w:rsid w:val="00925335"/>
    <w:rsid w:val="009253DC"/>
    <w:rsid w:val="009254B2"/>
    <w:rsid w:val="00925D59"/>
    <w:rsid w:val="00925EDC"/>
    <w:rsid w:val="00926079"/>
    <w:rsid w:val="00926147"/>
    <w:rsid w:val="00926252"/>
    <w:rsid w:val="009264F3"/>
    <w:rsid w:val="00926544"/>
    <w:rsid w:val="00926594"/>
    <w:rsid w:val="00926681"/>
    <w:rsid w:val="00926795"/>
    <w:rsid w:val="009267FB"/>
    <w:rsid w:val="00926894"/>
    <w:rsid w:val="00926DE7"/>
    <w:rsid w:val="00926EAF"/>
    <w:rsid w:val="00926F37"/>
    <w:rsid w:val="00927344"/>
    <w:rsid w:val="009273B3"/>
    <w:rsid w:val="009274B8"/>
    <w:rsid w:val="009274C6"/>
    <w:rsid w:val="009274E9"/>
    <w:rsid w:val="0092767F"/>
    <w:rsid w:val="00927C6D"/>
    <w:rsid w:val="00927CB2"/>
    <w:rsid w:val="00927D82"/>
    <w:rsid w:val="00930055"/>
    <w:rsid w:val="00930070"/>
    <w:rsid w:val="009300F8"/>
    <w:rsid w:val="00930101"/>
    <w:rsid w:val="00930120"/>
    <w:rsid w:val="00930157"/>
    <w:rsid w:val="00930207"/>
    <w:rsid w:val="00930240"/>
    <w:rsid w:val="00930261"/>
    <w:rsid w:val="009302C9"/>
    <w:rsid w:val="00930502"/>
    <w:rsid w:val="009305E5"/>
    <w:rsid w:val="0093082D"/>
    <w:rsid w:val="00930855"/>
    <w:rsid w:val="00930A44"/>
    <w:rsid w:val="00930ADE"/>
    <w:rsid w:val="00930B80"/>
    <w:rsid w:val="00930EA5"/>
    <w:rsid w:val="00931153"/>
    <w:rsid w:val="00931396"/>
    <w:rsid w:val="009314A4"/>
    <w:rsid w:val="0093151D"/>
    <w:rsid w:val="009316B7"/>
    <w:rsid w:val="009319E3"/>
    <w:rsid w:val="00931CDB"/>
    <w:rsid w:val="00931F61"/>
    <w:rsid w:val="00931F6C"/>
    <w:rsid w:val="009322FC"/>
    <w:rsid w:val="00932326"/>
    <w:rsid w:val="009323F7"/>
    <w:rsid w:val="0093243B"/>
    <w:rsid w:val="0093248F"/>
    <w:rsid w:val="0093268D"/>
    <w:rsid w:val="009326C0"/>
    <w:rsid w:val="0093272B"/>
    <w:rsid w:val="00932AF1"/>
    <w:rsid w:val="00932B5F"/>
    <w:rsid w:val="00932C0A"/>
    <w:rsid w:val="00932CB4"/>
    <w:rsid w:val="00932CC5"/>
    <w:rsid w:val="009334A0"/>
    <w:rsid w:val="009335C1"/>
    <w:rsid w:val="009336F9"/>
    <w:rsid w:val="0093372E"/>
    <w:rsid w:val="009337A2"/>
    <w:rsid w:val="009337BA"/>
    <w:rsid w:val="0093382D"/>
    <w:rsid w:val="00933BD4"/>
    <w:rsid w:val="00933EDE"/>
    <w:rsid w:val="00933F9F"/>
    <w:rsid w:val="0093419D"/>
    <w:rsid w:val="00934238"/>
    <w:rsid w:val="0093436A"/>
    <w:rsid w:val="00934488"/>
    <w:rsid w:val="00934502"/>
    <w:rsid w:val="009346AE"/>
    <w:rsid w:val="0093472B"/>
    <w:rsid w:val="00934AAD"/>
    <w:rsid w:val="00934AC2"/>
    <w:rsid w:val="00934CB1"/>
    <w:rsid w:val="00934EF6"/>
    <w:rsid w:val="00934F1E"/>
    <w:rsid w:val="00934FB5"/>
    <w:rsid w:val="009353B3"/>
    <w:rsid w:val="00935480"/>
    <w:rsid w:val="009354F1"/>
    <w:rsid w:val="0093565A"/>
    <w:rsid w:val="00935949"/>
    <w:rsid w:val="00935F64"/>
    <w:rsid w:val="009362FF"/>
    <w:rsid w:val="0093642E"/>
    <w:rsid w:val="00936466"/>
    <w:rsid w:val="009365B0"/>
    <w:rsid w:val="009365F1"/>
    <w:rsid w:val="00936D62"/>
    <w:rsid w:val="00936DFA"/>
    <w:rsid w:val="00936EF3"/>
    <w:rsid w:val="00936F12"/>
    <w:rsid w:val="00936F33"/>
    <w:rsid w:val="00936FF3"/>
    <w:rsid w:val="00937052"/>
    <w:rsid w:val="00937185"/>
    <w:rsid w:val="009372FB"/>
    <w:rsid w:val="009373FD"/>
    <w:rsid w:val="0093743A"/>
    <w:rsid w:val="0093756F"/>
    <w:rsid w:val="00937670"/>
    <w:rsid w:val="009376AA"/>
    <w:rsid w:val="00937768"/>
    <w:rsid w:val="00937843"/>
    <w:rsid w:val="00937A0E"/>
    <w:rsid w:val="00937EBC"/>
    <w:rsid w:val="00940062"/>
    <w:rsid w:val="009400E7"/>
    <w:rsid w:val="0094016F"/>
    <w:rsid w:val="0094017D"/>
    <w:rsid w:val="009401D2"/>
    <w:rsid w:val="0094054F"/>
    <w:rsid w:val="009406F3"/>
    <w:rsid w:val="009407D3"/>
    <w:rsid w:val="00940936"/>
    <w:rsid w:val="00940A13"/>
    <w:rsid w:val="00940F81"/>
    <w:rsid w:val="00941037"/>
    <w:rsid w:val="0094115F"/>
    <w:rsid w:val="0094127E"/>
    <w:rsid w:val="00941369"/>
    <w:rsid w:val="00941400"/>
    <w:rsid w:val="00941417"/>
    <w:rsid w:val="0094145D"/>
    <w:rsid w:val="009414AB"/>
    <w:rsid w:val="009414DC"/>
    <w:rsid w:val="00941569"/>
    <w:rsid w:val="009415D8"/>
    <w:rsid w:val="00941626"/>
    <w:rsid w:val="009416A6"/>
    <w:rsid w:val="009417AB"/>
    <w:rsid w:val="009418E7"/>
    <w:rsid w:val="00941974"/>
    <w:rsid w:val="009419B5"/>
    <w:rsid w:val="00941A31"/>
    <w:rsid w:val="00941A7D"/>
    <w:rsid w:val="00941B08"/>
    <w:rsid w:val="00941C63"/>
    <w:rsid w:val="009421D9"/>
    <w:rsid w:val="0094235C"/>
    <w:rsid w:val="00942452"/>
    <w:rsid w:val="0094246C"/>
    <w:rsid w:val="009425BD"/>
    <w:rsid w:val="009425EF"/>
    <w:rsid w:val="0094268D"/>
    <w:rsid w:val="0094276D"/>
    <w:rsid w:val="00942778"/>
    <w:rsid w:val="009427A6"/>
    <w:rsid w:val="00942896"/>
    <w:rsid w:val="0094297C"/>
    <w:rsid w:val="00942AFE"/>
    <w:rsid w:val="00942BD8"/>
    <w:rsid w:val="00942BEC"/>
    <w:rsid w:val="00942BF4"/>
    <w:rsid w:val="00942CC4"/>
    <w:rsid w:val="00942D2C"/>
    <w:rsid w:val="00942DA9"/>
    <w:rsid w:val="00942E82"/>
    <w:rsid w:val="00943047"/>
    <w:rsid w:val="00943252"/>
    <w:rsid w:val="009434F9"/>
    <w:rsid w:val="009435B9"/>
    <w:rsid w:val="0094377A"/>
    <w:rsid w:val="009438A5"/>
    <w:rsid w:val="009439EE"/>
    <w:rsid w:val="009439F4"/>
    <w:rsid w:val="00943FAB"/>
    <w:rsid w:val="00943FC9"/>
    <w:rsid w:val="0094404E"/>
    <w:rsid w:val="00944298"/>
    <w:rsid w:val="00944451"/>
    <w:rsid w:val="0094458B"/>
    <w:rsid w:val="009446F7"/>
    <w:rsid w:val="00944774"/>
    <w:rsid w:val="00944892"/>
    <w:rsid w:val="0094493E"/>
    <w:rsid w:val="00944C08"/>
    <w:rsid w:val="00944C2A"/>
    <w:rsid w:val="00944C41"/>
    <w:rsid w:val="00944C80"/>
    <w:rsid w:val="00944DFA"/>
    <w:rsid w:val="00944F7C"/>
    <w:rsid w:val="00945158"/>
    <w:rsid w:val="00945246"/>
    <w:rsid w:val="00945347"/>
    <w:rsid w:val="009453B1"/>
    <w:rsid w:val="00945477"/>
    <w:rsid w:val="0094548D"/>
    <w:rsid w:val="0094549D"/>
    <w:rsid w:val="0094582F"/>
    <w:rsid w:val="0094590D"/>
    <w:rsid w:val="00945E32"/>
    <w:rsid w:val="00945EEE"/>
    <w:rsid w:val="009461BA"/>
    <w:rsid w:val="009461EC"/>
    <w:rsid w:val="00946232"/>
    <w:rsid w:val="0094639A"/>
    <w:rsid w:val="009463EA"/>
    <w:rsid w:val="0094641E"/>
    <w:rsid w:val="0094645B"/>
    <w:rsid w:val="009466CC"/>
    <w:rsid w:val="00946948"/>
    <w:rsid w:val="009469AB"/>
    <w:rsid w:val="00946CEE"/>
    <w:rsid w:val="00946DFD"/>
    <w:rsid w:val="00946E5B"/>
    <w:rsid w:val="009473CF"/>
    <w:rsid w:val="009473DE"/>
    <w:rsid w:val="009477E9"/>
    <w:rsid w:val="00947922"/>
    <w:rsid w:val="00947B18"/>
    <w:rsid w:val="00947B80"/>
    <w:rsid w:val="00947C53"/>
    <w:rsid w:val="00947C69"/>
    <w:rsid w:val="00947D4B"/>
    <w:rsid w:val="00947D66"/>
    <w:rsid w:val="00947E46"/>
    <w:rsid w:val="00950043"/>
    <w:rsid w:val="00950071"/>
    <w:rsid w:val="009501E1"/>
    <w:rsid w:val="009501E4"/>
    <w:rsid w:val="009504E2"/>
    <w:rsid w:val="00950506"/>
    <w:rsid w:val="009505F1"/>
    <w:rsid w:val="00950604"/>
    <w:rsid w:val="0095069F"/>
    <w:rsid w:val="0095071B"/>
    <w:rsid w:val="00950978"/>
    <w:rsid w:val="00950A8E"/>
    <w:rsid w:val="00950AE5"/>
    <w:rsid w:val="00950CB9"/>
    <w:rsid w:val="00950D7A"/>
    <w:rsid w:val="00950E5E"/>
    <w:rsid w:val="00950F12"/>
    <w:rsid w:val="009511BD"/>
    <w:rsid w:val="0095136D"/>
    <w:rsid w:val="00951529"/>
    <w:rsid w:val="00951564"/>
    <w:rsid w:val="009516A0"/>
    <w:rsid w:val="009517EA"/>
    <w:rsid w:val="00951ED6"/>
    <w:rsid w:val="00951FD4"/>
    <w:rsid w:val="00952275"/>
    <w:rsid w:val="009522E5"/>
    <w:rsid w:val="00952319"/>
    <w:rsid w:val="00952443"/>
    <w:rsid w:val="00952646"/>
    <w:rsid w:val="00952770"/>
    <w:rsid w:val="00952A1B"/>
    <w:rsid w:val="00952BFE"/>
    <w:rsid w:val="00952C71"/>
    <w:rsid w:val="00952DEF"/>
    <w:rsid w:val="00952EC2"/>
    <w:rsid w:val="00952FCE"/>
    <w:rsid w:val="00953153"/>
    <w:rsid w:val="009533B7"/>
    <w:rsid w:val="009535E1"/>
    <w:rsid w:val="009537B1"/>
    <w:rsid w:val="0095393F"/>
    <w:rsid w:val="00953964"/>
    <w:rsid w:val="009539E2"/>
    <w:rsid w:val="00953A54"/>
    <w:rsid w:val="00953AAA"/>
    <w:rsid w:val="00953BF7"/>
    <w:rsid w:val="00953CEC"/>
    <w:rsid w:val="00953F3B"/>
    <w:rsid w:val="00953FB9"/>
    <w:rsid w:val="00954312"/>
    <w:rsid w:val="009546F8"/>
    <w:rsid w:val="00954719"/>
    <w:rsid w:val="00954799"/>
    <w:rsid w:val="00954CDE"/>
    <w:rsid w:val="00954D98"/>
    <w:rsid w:val="00954F31"/>
    <w:rsid w:val="00955273"/>
    <w:rsid w:val="0095568C"/>
    <w:rsid w:val="009556E0"/>
    <w:rsid w:val="009557F5"/>
    <w:rsid w:val="00955850"/>
    <w:rsid w:val="00955B55"/>
    <w:rsid w:val="00955F66"/>
    <w:rsid w:val="00956016"/>
    <w:rsid w:val="009560F0"/>
    <w:rsid w:val="00956216"/>
    <w:rsid w:val="009564FA"/>
    <w:rsid w:val="00956A2E"/>
    <w:rsid w:val="00956ABC"/>
    <w:rsid w:val="00956DAE"/>
    <w:rsid w:val="00956F76"/>
    <w:rsid w:val="00956F93"/>
    <w:rsid w:val="0095731E"/>
    <w:rsid w:val="00957880"/>
    <w:rsid w:val="00957920"/>
    <w:rsid w:val="009579AC"/>
    <w:rsid w:val="00957C37"/>
    <w:rsid w:val="00957CC2"/>
    <w:rsid w:val="0095C3C4"/>
    <w:rsid w:val="009602A7"/>
    <w:rsid w:val="00960540"/>
    <w:rsid w:val="009605D8"/>
    <w:rsid w:val="009608B6"/>
    <w:rsid w:val="00960950"/>
    <w:rsid w:val="00960A43"/>
    <w:rsid w:val="00961085"/>
    <w:rsid w:val="00961088"/>
    <w:rsid w:val="009610DF"/>
    <w:rsid w:val="00961163"/>
    <w:rsid w:val="009612B6"/>
    <w:rsid w:val="009618C2"/>
    <w:rsid w:val="0096191E"/>
    <w:rsid w:val="0096198A"/>
    <w:rsid w:val="00961995"/>
    <w:rsid w:val="00961B11"/>
    <w:rsid w:val="00961B9C"/>
    <w:rsid w:val="00961C1F"/>
    <w:rsid w:val="00961CEC"/>
    <w:rsid w:val="00961DC2"/>
    <w:rsid w:val="0096224C"/>
    <w:rsid w:val="009626F7"/>
    <w:rsid w:val="00962812"/>
    <w:rsid w:val="00962B13"/>
    <w:rsid w:val="00962C83"/>
    <w:rsid w:val="00962CA1"/>
    <w:rsid w:val="00962DDA"/>
    <w:rsid w:val="00962FF9"/>
    <w:rsid w:val="00963087"/>
    <w:rsid w:val="00963234"/>
    <w:rsid w:val="009633F9"/>
    <w:rsid w:val="00963434"/>
    <w:rsid w:val="00963494"/>
    <w:rsid w:val="0096367C"/>
    <w:rsid w:val="009636F4"/>
    <w:rsid w:val="00963967"/>
    <w:rsid w:val="00963975"/>
    <w:rsid w:val="009639EC"/>
    <w:rsid w:val="00963AB3"/>
    <w:rsid w:val="00963B01"/>
    <w:rsid w:val="00963E26"/>
    <w:rsid w:val="00963EB2"/>
    <w:rsid w:val="009641BE"/>
    <w:rsid w:val="0096426B"/>
    <w:rsid w:val="0096440C"/>
    <w:rsid w:val="00964462"/>
    <w:rsid w:val="0096446C"/>
    <w:rsid w:val="00964485"/>
    <w:rsid w:val="0096449D"/>
    <w:rsid w:val="009648E0"/>
    <w:rsid w:val="0096490C"/>
    <w:rsid w:val="00964BBE"/>
    <w:rsid w:val="00964C0B"/>
    <w:rsid w:val="00964C11"/>
    <w:rsid w:val="00964D52"/>
    <w:rsid w:val="00964DC5"/>
    <w:rsid w:val="00964E01"/>
    <w:rsid w:val="00965009"/>
    <w:rsid w:val="0096502E"/>
    <w:rsid w:val="009651F7"/>
    <w:rsid w:val="009652C2"/>
    <w:rsid w:val="0096534F"/>
    <w:rsid w:val="00965697"/>
    <w:rsid w:val="0096571E"/>
    <w:rsid w:val="009657F6"/>
    <w:rsid w:val="00965903"/>
    <w:rsid w:val="009659E6"/>
    <w:rsid w:val="00965DE5"/>
    <w:rsid w:val="00965E0B"/>
    <w:rsid w:val="00965FB1"/>
    <w:rsid w:val="00966160"/>
    <w:rsid w:val="00966177"/>
    <w:rsid w:val="009661BA"/>
    <w:rsid w:val="009661F2"/>
    <w:rsid w:val="00966332"/>
    <w:rsid w:val="0096659C"/>
    <w:rsid w:val="009665C8"/>
    <w:rsid w:val="00966637"/>
    <w:rsid w:val="009667F3"/>
    <w:rsid w:val="00966892"/>
    <w:rsid w:val="00966A29"/>
    <w:rsid w:val="00966AB6"/>
    <w:rsid w:val="00966B1C"/>
    <w:rsid w:val="00967107"/>
    <w:rsid w:val="00967258"/>
    <w:rsid w:val="0096734F"/>
    <w:rsid w:val="0096748D"/>
    <w:rsid w:val="009674E6"/>
    <w:rsid w:val="009676F3"/>
    <w:rsid w:val="0096796B"/>
    <w:rsid w:val="009679F8"/>
    <w:rsid w:val="00967A45"/>
    <w:rsid w:val="00967EC3"/>
    <w:rsid w:val="009707E5"/>
    <w:rsid w:val="00970A80"/>
    <w:rsid w:val="00970BF4"/>
    <w:rsid w:val="00970E07"/>
    <w:rsid w:val="00970E9A"/>
    <w:rsid w:val="0097106B"/>
    <w:rsid w:val="009710EA"/>
    <w:rsid w:val="0097151A"/>
    <w:rsid w:val="00971648"/>
    <w:rsid w:val="00971835"/>
    <w:rsid w:val="009719B0"/>
    <w:rsid w:val="00971CDC"/>
    <w:rsid w:val="00971D37"/>
    <w:rsid w:val="00971DEB"/>
    <w:rsid w:val="00971F6E"/>
    <w:rsid w:val="00971FF1"/>
    <w:rsid w:val="00972091"/>
    <w:rsid w:val="00972107"/>
    <w:rsid w:val="00972252"/>
    <w:rsid w:val="009722F1"/>
    <w:rsid w:val="00972631"/>
    <w:rsid w:val="00972AA0"/>
    <w:rsid w:val="00972CAA"/>
    <w:rsid w:val="00972CBA"/>
    <w:rsid w:val="00972DB1"/>
    <w:rsid w:val="00972E08"/>
    <w:rsid w:val="00972E62"/>
    <w:rsid w:val="00972E86"/>
    <w:rsid w:val="00972F64"/>
    <w:rsid w:val="0097314B"/>
    <w:rsid w:val="0097328A"/>
    <w:rsid w:val="009732E3"/>
    <w:rsid w:val="0097343B"/>
    <w:rsid w:val="0097356D"/>
    <w:rsid w:val="0097360D"/>
    <w:rsid w:val="009739C1"/>
    <w:rsid w:val="00973AAD"/>
    <w:rsid w:val="00973D18"/>
    <w:rsid w:val="00973DC5"/>
    <w:rsid w:val="00973E54"/>
    <w:rsid w:val="00973EF2"/>
    <w:rsid w:val="00974013"/>
    <w:rsid w:val="0097402D"/>
    <w:rsid w:val="00974317"/>
    <w:rsid w:val="0097439A"/>
    <w:rsid w:val="0097461E"/>
    <w:rsid w:val="00974896"/>
    <w:rsid w:val="00974910"/>
    <w:rsid w:val="00974913"/>
    <w:rsid w:val="00974B3D"/>
    <w:rsid w:val="00974E4E"/>
    <w:rsid w:val="00974E6E"/>
    <w:rsid w:val="00974F76"/>
    <w:rsid w:val="00974F9A"/>
    <w:rsid w:val="00974FCD"/>
    <w:rsid w:val="00975150"/>
    <w:rsid w:val="0097537B"/>
    <w:rsid w:val="0097595E"/>
    <w:rsid w:val="00975B44"/>
    <w:rsid w:val="00975B5C"/>
    <w:rsid w:val="00975E70"/>
    <w:rsid w:val="0097607C"/>
    <w:rsid w:val="009760EA"/>
    <w:rsid w:val="009765A8"/>
    <w:rsid w:val="009767FB"/>
    <w:rsid w:val="00976914"/>
    <w:rsid w:val="00976952"/>
    <w:rsid w:val="009769C4"/>
    <w:rsid w:val="00976BD9"/>
    <w:rsid w:val="00976E25"/>
    <w:rsid w:val="00976E69"/>
    <w:rsid w:val="00976EDD"/>
    <w:rsid w:val="00977018"/>
    <w:rsid w:val="00977027"/>
    <w:rsid w:val="00977049"/>
    <w:rsid w:val="009771D8"/>
    <w:rsid w:val="00977460"/>
    <w:rsid w:val="00977489"/>
    <w:rsid w:val="00977614"/>
    <w:rsid w:val="0097765D"/>
    <w:rsid w:val="00977A60"/>
    <w:rsid w:val="00977D52"/>
    <w:rsid w:val="009801A6"/>
    <w:rsid w:val="0098027F"/>
    <w:rsid w:val="00980331"/>
    <w:rsid w:val="00980636"/>
    <w:rsid w:val="00980771"/>
    <w:rsid w:val="00980933"/>
    <w:rsid w:val="00980A35"/>
    <w:rsid w:val="00980B73"/>
    <w:rsid w:val="00980BA3"/>
    <w:rsid w:val="00980CCF"/>
    <w:rsid w:val="00980D9E"/>
    <w:rsid w:val="00981024"/>
    <w:rsid w:val="00981154"/>
    <w:rsid w:val="009811D5"/>
    <w:rsid w:val="009815B9"/>
    <w:rsid w:val="00981631"/>
    <w:rsid w:val="00981A88"/>
    <w:rsid w:val="00981B44"/>
    <w:rsid w:val="00981B76"/>
    <w:rsid w:val="00981C1F"/>
    <w:rsid w:val="00981CFB"/>
    <w:rsid w:val="00981DB9"/>
    <w:rsid w:val="00981EB0"/>
    <w:rsid w:val="00981F78"/>
    <w:rsid w:val="00982144"/>
    <w:rsid w:val="00982222"/>
    <w:rsid w:val="009824A8"/>
    <w:rsid w:val="00982555"/>
    <w:rsid w:val="00982587"/>
    <w:rsid w:val="00982591"/>
    <w:rsid w:val="009825F6"/>
    <w:rsid w:val="009827BA"/>
    <w:rsid w:val="00982B2B"/>
    <w:rsid w:val="00982B69"/>
    <w:rsid w:val="00982BAE"/>
    <w:rsid w:val="00982BCB"/>
    <w:rsid w:val="00982DC5"/>
    <w:rsid w:val="00982DF2"/>
    <w:rsid w:val="00982EBD"/>
    <w:rsid w:val="00982F7E"/>
    <w:rsid w:val="00983027"/>
    <w:rsid w:val="00983125"/>
    <w:rsid w:val="009831DE"/>
    <w:rsid w:val="00983348"/>
    <w:rsid w:val="0098353C"/>
    <w:rsid w:val="00983724"/>
    <w:rsid w:val="0098393A"/>
    <w:rsid w:val="00983A91"/>
    <w:rsid w:val="00983B96"/>
    <w:rsid w:val="00983EFF"/>
    <w:rsid w:val="00984103"/>
    <w:rsid w:val="00984162"/>
    <w:rsid w:val="009841EB"/>
    <w:rsid w:val="00984213"/>
    <w:rsid w:val="00984257"/>
    <w:rsid w:val="009842C8"/>
    <w:rsid w:val="00984583"/>
    <w:rsid w:val="0098460D"/>
    <w:rsid w:val="00984631"/>
    <w:rsid w:val="009846A1"/>
    <w:rsid w:val="009846FD"/>
    <w:rsid w:val="00984886"/>
    <w:rsid w:val="00984962"/>
    <w:rsid w:val="009849AA"/>
    <w:rsid w:val="00984AC8"/>
    <w:rsid w:val="00984BC5"/>
    <w:rsid w:val="00984BE3"/>
    <w:rsid w:val="00984D2C"/>
    <w:rsid w:val="00984ED8"/>
    <w:rsid w:val="00984FCC"/>
    <w:rsid w:val="00985042"/>
    <w:rsid w:val="00985070"/>
    <w:rsid w:val="009850F8"/>
    <w:rsid w:val="009852F4"/>
    <w:rsid w:val="009853C2"/>
    <w:rsid w:val="00985407"/>
    <w:rsid w:val="009854FB"/>
    <w:rsid w:val="009857F2"/>
    <w:rsid w:val="00985A19"/>
    <w:rsid w:val="00985ACF"/>
    <w:rsid w:val="00985B5B"/>
    <w:rsid w:val="00985D26"/>
    <w:rsid w:val="00985E42"/>
    <w:rsid w:val="00985F97"/>
    <w:rsid w:val="0098610C"/>
    <w:rsid w:val="0098655D"/>
    <w:rsid w:val="009865BE"/>
    <w:rsid w:val="00986676"/>
    <w:rsid w:val="00986696"/>
    <w:rsid w:val="00986B66"/>
    <w:rsid w:val="00986C8D"/>
    <w:rsid w:val="00986E59"/>
    <w:rsid w:val="00986EC5"/>
    <w:rsid w:val="00987086"/>
    <w:rsid w:val="009873F6"/>
    <w:rsid w:val="009874EB"/>
    <w:rsid w:val="00987560"/>
    <w:rsid w:val="00987609"/>
    <w:rsid w:val="00987693"/>
    <w:rsid w:val="009877FC"/>
    <w:rsid w:val="009879E7"/>
    <w:rsid w:val="00987A92"/>
    <w:rsid w:val="00987D0B"/>
    <w:rsid w:val="00987F89"/>
    <w:rsid w:val="00987FB2"/>
    <w:rsid w:val="0099010C"/>
    <w:rsid w:val="0099023B"/>
    <w:rsid w:val="00990428"/>
    <w:rsid w:val="0099055D"/>
    <w:rsid w:val="00990628"/>
    <w:rsid w:val="009906A3"/>
    <w:rsid w:val="009906B1"/>
    <w:rsid w:val="00990797"/>
    <w:rsid w:val="009907FA"/>
    <w:rsid w:val="009908A1"/>
    <w:rsid w:val="00990950"/>
    <w:rsid w:val="009909D9"/>
    <w:rsid w:val="00990B69"/>
    <w:rsid w:val="00990B81"/>
    <w:rsid w:val="00990BCA"/>
    <w:rsid w:val="00991308"/>
    <w:rsid w:val="009913A1"/>
    <w:rsid w:val="009913A4"/>
    <w:rsid w:val="009915CC"/>
    <w:rsid w:val="009918F9"/>
    <w:rsid w:val="00991B92"/>
    <w:rsid w:val="00991C6F"/>
    <w:rsid w:val="00991CE8"/>
    <w:rsid w:val="00991D04"/>
    <w:rsid w:val="00991F13"/>
    <w:rsid w:val="00991F44"/>
    <w:rsid w:val="00991F6B"/>
    <w:rsid w:val="009920C0"/>
    <w:rsid w:val="00992127"/>
    <w:rsid w:val="0099225F"/>
    <w:rsid w:val="009922E4"/>
    <w:rsid w:val="0099248D"/>
    <w:rsid w:val="0099255B"/>
    <w:rsid w:val="00992782"/>
    <w:rsid w:val="009927A7"/>
    <w:rsid w:val="00992A1F"/>
    <w:rsid w:val="00992EB8"/>
    <w:rsid w:val="00992F5A"/>
    <w:rsid w:val="00993274"/>
    <w:rsid w:val="00993342"/>
    <w:rsid w:val="00993ED7"/>
    <w:rsid w:val="00993F75"/>
    <w:rsid w:val="009942C7"/>
    <w:rsid w:val="009942EC"/>
    <w:rsid w:val="0099455D"/>
    <w:rsid w:val="009945FA"/>
    <w:rsid w:val="00994637"/>
    <w:rsid w:val="00994680"/>
    <w:rsid w:val="009947A7"/>
    <w:rsid w:val="009949F0"/>
    <w:rsid w:val="00994A03"/>
    <w:rsid w:val="00994B76"/>
    <w:rsid w:val="00994C13"/>
    <w:rsid w:val="00994D7B"/>
    <w:rsid w:val="00995556"/>
    <w:rsid w:val="00995623"/>
    <w:rsid w:val="0099568D"/>
    <w:rsid w:val="0099584C"/>
    <w:rsid w:val="00995A39"/>
    <w:rsid w:val="00995A3F"/>
    <w:rsid w:val="00995B66"/>
    <w:rsid w:val="00995C3B"/>
    <w:rsid w:val="00995D34"/>
    <w:rsid w:val="00995D43"/>
    <w:rsid w:val="00995D4A"/>
    <w:rsid w:val="0099619A"/>
    <w:rsid w:val="009961D4"/>
    <w:rsid w:val="00996368"/>
    <w:rsid w:val="0099672F"/>
    <w:rsid w:val="009968E9"/>
    <w:rsid w:val="00996AC0"/>
    <w:rsid w:val="00996D55"/>
    <w:rsid w:val="00996E68"/>
    <w:rsid w:val="00997083"/>
    <w:rsid w:val="00997388"/>
    <w:rsid w:val="00997427"/>
    <w:rsid w:val="00997586"/>
    <w:rsid w:val="0099772F"/>
    <w:rsid w:val="00997C57"/>
    <w:rsid w:val="00997C71"/>
    <w:rsid w:val="00997D9D"/>
    <w:rsid w:val="00997DFF"/>
    <w:rsid w:val="00997E10"/>
    <w:rsid w:val="009A002C"/>
    <w:rsid w:val="009A0344"/>
    <w:rsid w:val="009A03B3"/>
    <w:rsid w:val="009A0536"/>
    <w:rsid w:val="009A05E0"/>
    <w:rsid w:val="009A0A0E"/>
    <w:rsid w:val="009A0B45"/>
    <w:rsid w:val="009A0BEA"/>
    <w:rsid w:val="009A0E0F"/>
    <w:rsid w:val="009A0E52"/>
    <w:rsid w:val="009A0F41"/>
    <w:rsid w:val="009A11C9"/>
    <w:rsid w:val="009A11CE"/>
    <w:rsid w:val="009A1215"/>
    <w:rsid w:val="009A1387"/>
    <w:rsid w:val="009A145A"/>
    <w:rsid w:val="009A151B"/>
    <w:rsid w:val="009A1908"/>
    <w:rsid w:val="009A1A8A"/>
    <w:rsid w:val="009A1B5B"/>
    <w:rsid w:val="009A1B71"/>
    <w:rsid w:val="009A1CE3"/>
    <w:rsid w:val="009A1EB5"/>
    <w:rsid w:val="009A1ED6"/>
    <w:rsid w:val="009A1FFD"/>
    <w:rsid w:val="009A2066"/>
    <w:rsid w:val="009A2080"/>
    <w:rsid w:val="009A22ED"/>
    <w:rsid w:val="009A239F"/>
    <w:rsid w:val="009A2409"/>
    <w:rsid w:val="009A246A"/>
    <w:rsid w:val="009A28C1"/>
    <w:rsid w:val="009A28F0"/>
    <w:rsid w:val="009A2ABB"/>
    <w:rsid w:val="009A2B1F"/>
    <w:rsid w:val="009A2C13"/>
    <w:rsid w:val="009A2C1B"/>
    <w:rsid w:val="009A3012"/>
    <w:rsid w:val="009A30B0"/>
    <w:rsid w:val="009A3150"/>
    <w:rsid w:val="009A3177"/>
    <w:rsid w:val="009A3196"/>
    <w:rsid w:val="009A31B3"/>
    <w:rsid w:val="009A3429"/>
    <w:rsid w:val="009A342B"/>
    <w:rsid w:val="009A36ED"/>
    <w:rsid w:val="009A3704"/>
    <w:rsid w:val="009A3788"/>
    <w:rsid w:val="009A37E1"/>
    <w:rsid w:val="009A3807"/>
    <w:rsid w:val="009A38B8"/>
    <w:rsid w:val="009A39E4"/>
    <w:rsid w:val="009A3AFD"/>
    <w:rsid w:val="009A3CC6"/>
    <w:rsid w:val="009A3D56"/>
    <w:rsid w:val="009A3E20"/>
    <w:rsid w:val="009A3F6E"/>
    <w:rsid w:val="009A40AD"/>
    <w:rsid w:val="009A4300"/>
    <w:rsid w:val="009A4328"/>
    <w:rsid w:val="009A434E"/>
    <w:rsid w:val="009A4549"/>
    <w:rsid w:val="009A458D"/>
    <w:rsid w:val="009A4591"/>
    <w:rsid w:val="009A45D8"/>
    <w:rsid w:val="009A465D"/>
    <w:rsid w:val="009A4685"/>
    <w:rsid w:val="009A4716"/>
    <w:rsid w:val="009A502B"/>
    <w:rsid w:val="009A50C8"/>
    <w:rsid w:val="009A57C1"/>
    <w:rsid w:val="009A5921"/>
    <w:rsid w:val="009A5A54"/>
    <w:rsid w:val="009A5A79"/>
    <w:rsid w:val="009A5F8E"/>
    <w:rsid w:val="009A60A9"/>
    <w:rsid w:val="009A60CC"/>
    <w:rsid w:val="009A6310"/>
    <w:rsid w:val="009A642F"/>
    <w:rsid w:val="009A67C3"/>
    <w:rsid w:val="009A67ED"/>
    <w:rsid w:val="009A6A58"/>
    <w:rsid w:val="009A6B1E"/>
    <w:rsid w:val="009A6B68"/>
    <w:rsid w:val="009A6D0A"/>
    <w:rsid w:val="009A6DB6"/>
    <w:rsid w:val="009A6E2B"/>
    <w:rsid w:val="009A7009"/>
    <w:rsid w:val="009A7048"/>
    <w:rsid w:val="009A7062"/>
    <w:rsid w:val="009A7063"/>
    <w:rsid w:val="009A725F"/>
    <w:rsid w:val="009A743B"/>
    <w:rsid w:val="009A76EE"/>
    <w:rsid w:val="009A77C7"/>
    <w:rsid w:val="009A781F"/>
    <w:rsid w:val="009A79BE"/>
    <w:rsid w:val="009A7A58"/>
    <w:rsid w:val="009A7EA0"/>
    <w:rsid w:val="009B0128"/>
    <w:rsid w:val="009B0480"/>
    <w:rsid w:val="009B0885"/>
    <w:rsid w:val="009B08C5"/>
    <w:rsid w:val="009B091C"/>
    <w:rsid w:val="009B0C2F"/>
    <w:rsid w:val="009B0C50"/>
    <w:rsid w:val="009B0C9B"/>
    <w:rsid w:val="009B0F8F"/>
    <w:rsid w:val="009B11E0"/>
    <w:rsid w:val="009B1232"/>
    <w:rsid w:val="009B13E5"/>
    <w:rsid w:val="009B156E"/>
    <w:rsid w:val="009B17B3"/>
    <w:rsid w:val="009B1BA5"/>
    <w:rsid w:val="009B1BAC"/>
    <w:rsid w:val="009B1F20"/>
    <w:rsid w:val="009B1F4F"/>
    <w:rsid w:val="009B1FC9"/>
    <w:rsid w:val="009B2061"/>
    <w:rsid w:val="009B2677"/>
    <w:rsid w:val="009B26B3"/>
    <w:rsid w:val="009B26F1"/>
    <w:rsid w:val="009B2888"/>
    <w:rsid w:val="009B2940"/>
    <w:rsid w:val="009B2951"/>
    <w:rsid w:val="009B2975"/>
    <w:rsid w:val="009B2D61"/>
    <w:rsid w:val="009B2DA0"/>
    <w:rsid w:val="009B2E46"/>
    <w:rsid w:val="009B3143"/>
    <w:rsid w:val="009B31BA"/>
    <w:rsid w:val="009B358F"/>
    <w:rsid w:val="009B35EA"/>
    <w:rsid w:val="009B37FB"/>
    <w:rsid w:val="009B3941"/>
    <w:rsid w:val="009B3AEB"/>
    <w:rsid w:val="009B3B10"/>
    <w:rsid w:val="009B3FBF"/>
    <w:rsid w:val="009B4233"/>
    <w:rsid w:val="009B43E7"/>
    <w:rsid w:val="009B49A1"/>
    <w:rsid w:val="009B49D3"/>
    <w:rsid w:val="009B4E01"/>
    <w:rsid w:val="009B4F0A"/>
    <w:rsid w:val="009B4FCF"/>
    <w:rsid w:val="009B501E"/>
    <w:rsid w:val="009B515B"/>
    <w:rsid w:val="009B51DB"/>
    <w:rsid w:val="009B5248"/>
    <w:rsid w:val="009B5306"/>
    <w:rsid w:val="009B537C"/>
    <w:rsid w:val="009B54DC"/>
    <w:rsid w:val="009B5653"/>
    <w:rsid w:val="009B5675"/>
    <w:rsid w:val="009B57CC"/>
    <w:rsid w:val="009B5A6D"/>
    <w:rsid w:val="009B5AB1"/>
    <w:rsid w:val="009B5CB2"/>
    <w:rsid w:val="009B5FA4"/>
    <w:rsid w:val="009B6020"/>
    <w:rsid w:val="009B60DF"/>
    <w:rsid w:val="009B625C"/>
    <w:rsid w:val="009B6694"/>
    <w:rsid w:val="009B66D1"/>
    <w:rsid w:val="009B6B8B"/>
    <w:rsid w:val="009B6C8D"/>
    <w:rsid w:val="009B6E26"/>
    <w:rsid w:val="009B76C3"/>
    <w:rsid w:val="009B78C5"/>
    <w:rsid w:val="009B79E2"/>
    <w:rsid w:val="009B7BAB"/>
    <w:rsid w:val="009C0154"/>
    <w:rsid w:val="009C028C"/>
    <w:rsid w:val="009C0396"/>
    <w:rsid w:val="009C04F2"/>
    <w:rsid w:val="009C06A3"/>
    <w:rsid w:val="009C0732"/>
    <w:rsid w:val="009C07F6"/>
    <w:rsid w:val="009C08B3"/>
    <w:rsid w:val="009C08D1"/>
    <w:rsid w:val="009C0942"/>
    <w:rsid w:val="009C0A19"/>
    <w:rsid w:val="009C0B42"/>
    <w:rsid w:val="009C0C40"/>
    <w:rsid w:val="009C0D13"/>
    <w:rsid w:val="009C0EC8"/>
    <w:rsid w:val="009C0FE6"/>
    <w:rsid w:val="009C10C4"/>
    <w:rsid w:val="009C118E"/>
    <w:rsid w:val="009C1533"/>
    <w:rsid w:val="009C16E5"/>
    <w:rsid w:val="009C1719"/>
    <w:rsid w:val="009C181A"/>
    <w:rsid w:val="009C1851"/>
    <w:rsid w:val="009C1C91"/>
    <w:rsid w:val="009C1CA9"/>
    <w:rsid w:val="009C1DC8"/>
    <w:rsid w:val="009C1FAF"/>
    <w:rsid w:val="009C205D"/>
    <w:rsid w:val="009C2104"/>
    <w:rsid w:val="009C22E1"/>
    <w:rsid w:val="009C2337"/>
    <w:rsid w:val="009C2598"/>
    <w:rsid w:val="009C2676"/>
    <w:rsid w:val="009C2686"/>
    <w:rsid w:val="009C26D4"/>
    <w:rsid w:val="009C2B21"/>
    <w:rsid w:val="009C2C06"/>
    <w:rsid w:val="009C2C1C"/>
    <w:rsid w:val="009C2FD0"/>
    <w:rsid w:val="009C2FFD"/>
    <w:rsid w:val="009C3095"/>
    <w:rsid w:val="009C3119"/>
    <w:rsid w:val="009C3326"/>
    <w:rsid w:val="009C335B"/>
    <w:rsid w:val="009C3469"/>
    <w:rsid w:val="009C366D"/>
    <w:rsid w:val="009C367B"/>
    <w:rsid w:val="009C3787"/>
    <w:rsid w:val="009C38C7"/>
    <w:rsid w:val="009C38DA"/>
    <w:rsid w:val="009C3A79"/>
    <w:rsid w:val="009C3A7D"/>
    <w:rsid w:val="009C3A85"/>
    <w:rsid w:val="009C3B09"/>
    <w:rsid w:val="009C3EC3"/>
    <w:rsid w:val="009C44B6"/>
    <w:rsid w:val="009C46E4"/>
    <w:rsid w:val="009C493D"/>
    <w:rsid w:val="009C4A86"/>
    <w:rsid w:val="009C4AF9"/>
    <w:rsid w:val="009C4B2A"/>
    <w:rsid w:val="009C4B7D"/>
    <w:rsid w:val="009C4E00"/>
    <w:rsid w:val="009C4E10"/>
    <w:rsid w:val="009C4ECA"/>
    <w:rsid w:val="009C4FA0"/>
    <w:rsid w:val="009C5009"/>
    <w:rsid w:val="009C5039"/>
    <w:rsid w:val="009C513D"/>
    <w:rsid w:val="009C51B4"/>
    <w:rsid w:val="009C5325"/>
    <w:rsid w:val="009C5570"/>
    <w:rsid w:val="009C567F"/>
    <w:rsid w:val="009C5835"/>
    <w:rsid w:val="009C5965"/>
    <w:rsid w:val="009C5C37"/>
    <w:rsid w:val="009C5D45"/>
    <w:rsid w:val="009C5FEC"/>
    <w:rsid w:val="009C6165"/>
    <w:rsid w:val="009C638A"/>
    <w:rsid w:val="009C67F4"/>
    <w:rsid w:val="009C6B15"/>
    <w:rsid w:val="009C6D5D"/>
    <w:rsid w:val="009C6F2E"/>
    <w:rsid w:val="009C7203"/>
    <w:rsid w:val="009C758F"/>
    <w:rsid w:val="009C764A"/>
    <w:rsid w:val="009C7725"/>
    <w:rsid w:val="009C782B"/>
    <w:rsid w:val="009C786B"/>
    <w:rsid w:val="009C7DA7"/>
    <w:rsid w:val="009C7DF7"/>
    <w:rsid w:val="009C7E28"/>
    <w:rsid w:val="009C7F6D"/>
    <w:rsid w:val="009C7F73"/>
    <w:rsid w:val="009D000D"/>
    <w:rsid w:val="009D0092"/>
    <w:rsid w:val="009D00C3"/>
    <w:rsid w:val="009D0418"/>
    <w:rsid w:val="009D05F9"/>
    <w:rsid w:val="009D0654"/>
    <w:rsid w:val="009D0810"/>
    <w:rsid w:val="009D0933"/>
    <w:rsid w:val="009D0ABC"/>
    <w:rsid w:val="009D0BA5"/>
    <w:rsid w:val="009D0F3C"/>
    <w:rsid w:val="009D124B"/>
    <w:rsid w:val="009D144A"/>
    <w:rsid w:val="009D14F8"/>
    <w:rsid w:val="009D168E"/>
    <w:rsid w:val="009D175B"/>
    <w:rsid w:val="009D1908"/>
    <w:rsid w:val="009D1A26"/>
    <w:rsid w:val="009D1ACB"/>
    <w:rsid w:val="009D1BCF"/>
    <w:rsid w:val="009D1D59"/>
    <w:rsid w:val="009D203C"/>
    <w:rsid w:val="009D2056"/>
    <w:rsid w:val="009D2085"/>
    <w:rsid w:val="009D20A4"/>
    <w:rsid w:val="009D24D5"/>
    <w:rsid w:val="009D2502"/>
    <w:rsid w:val="009D25C0"/>
    <w:rsid w:val="009D26BA"/>
    <w:rsid w:val="009D26D7"/>
    <w:rsid w:val="009D2893"/>
    <w:rsid w:val="009D2D3D"/>
    <w:rsid w:val="009D31FF"/>
    <w:rsid w:val="009D32BE"/>
    <w:rsid w:val="009D3477"/>
    <w:rsid w:val="009D363E"/>
    <w:rsid w:val="009D3B7F"/>
    <w:rsid w:val="009D3BE1"/>
    <w:rsid w:val="009D3FFF"/>
    <w:rsid w:val="009D40CB"/>
    <w:rsid w:val="009D414F"/>
    <w:rsid w:val="009D4222"/>
    <w:rsid w:val="009D4232"/>
    <w:rsid w:val="009D428F"/>
    <w:rsid w:val="009D4463"/>
    <w:rsid w:val="009D48CF"/>
    <w:rsid w:val="009D4913"/>
    <w:rsid w:val="009D4931"/>
    <w:rsid w:val="009D4958"/>
    <w:rsid w:val="009D4C10"/>
    <w:rsid w:val="009D4CEB"/>
    <w:rsid w:val="009D4FAF"/>
    <w:rsid w:val="009D4FD6"/>
    <w:rsid w:val="009D50B5"/>
    <w:rsid w:val="009D523A"/>
    <w:rsid w:val="009D53F6"/>
    <w:rsid w:val="009D5429"/>
    <w:rsid w:val="009D5513"/>
    <w:rsid w:val="009D5C35"/>
    <w:rsid w:val="009D5E88"/>
    <w:rsid w:val="009D5EDF"/>
    <w:rsid w:val="009D6373"/>
    <w:rsid w:val="009D6497"/>
    <w:rsid w:val="009D6829"/>
    <w:rsid w:val="009D6965"/>
    <w:rsid w:val="009D69FA"/>
    <w:rsid w:val="009D6A58"/>
    <w:rsid w:val="009D6C35"/>
    <w:rsid w:val="009D6DEA"/>
    <w:rsid w:val="009D6DF6"/>
    <w:rsid w:val="009D6E68"/>
    <w:rsid w:val="009D6EB6"/>
    <w:rsid w:val="009D7044"/>
    <w:rsid w:val="009D71C2"/>
    <w:rsid w:val="009D721F"/>
    <w:rsid w:val="009D73B8"/>
    <w:rsid w:val="009D75CE"/>
    <w:rsid w:val="009D75EC"/>
    <w:rsid w:val="009D798C"/>
    <w:rsid w:val="009D7B12"/>
    <w:rsid w:val="009D7DF5"/>
    <w:rsid w:val="009D7E2B"/>
    <w:rsid w:val="009D7E5E"/>
    <w:rsid w:val="009D7FB2"/>
    <w:rsid w:val="009E023A"/>
    <w:rsid w:val="009E0291"/>
    <w:rsid w:val="009E034F"/>
    <w:rsid w:val="009E03E8"/>
    <w:rsid w:val="009E0537"/>
    <w:rsid w:val="009E085B"/>
    <w:rsid w:val="009E0881"/>
    <w:rsid w:val="009E08BE"/>
    <w:rsid w:val="009E0A37"/>
    <w:rsid w:val="009E0A77"/>
    <w:rsid w:val="009E0B00"/>
    <w:rsid w:val="009E0B34"/>
    <w:rsid w:val="009E0E5F"/>
    <w:rsid w:val="009E0F11"/>
    <w:rsid w:val="009E0F40"/>
    <w:rsid w:val="009E0FBA"/>
    <w:rsid w:val="009E0FBD"/>
    <w:rsid w:val="009E107A"/>
    <w:rsid w:val="009E110C"/>
    <w:rsid w:val="009E1233"/>
    <w:rsid w:val="009E136E"/>
    <w:rsid w:val="009E14C3"/>
    <w:rsid w:val="009E15A7"/>
    <w:rsid w:val="009E15F1"/>
    <w:rsid w:val="009E160B"/>
    <w:rsid w:val="009E16E4"/>
    <w:rsid w:val="009E18C4"/>
    <w:rsid w:val="009E190F"/>
    <w:rsid w:val="009E1EB5"/>
    <w:rsid w:val="009E1F5F"/>
    <w:rsid w:val="009E1FA0"/>
    <w:rsid w:val="009E2093"/>
    <w:rsid w:val="009E20F6"/>
    <w:rsid w:val="009E214A"/>
    <w:rsid w:val="009E21C6"/>
    <w:rsid w:val="009E2234"/>
    <w:rsid w:val="009E2263"/>
    <w:rsid w:val="009E22F9"/>
    <w:rsid w:val="009E23AB"/>
    <w:rsid w:val="009E2560"/>
    <w:rsid w:val="009E2748"/>
    <w:rsid w:val="009E2BC6"/>
    <w:rsid w:val="009E2C4D"/>
    <w:rsid w:val="009E2D5A"/>
    <w:rsid w:val="009E2DFA"/>
    <w:rsid w:val="009E2EE3"/>
    <w:rsid w:val="009E2FD7"/>
    <w:rsid w:val="009E3078"/>
    <w:rsid w:val="009E30BF"/>
    <w:rsid w:val="009E3187"/>
    <w:rsid w:val="009E3382"/>
    <w:rsid w:val="009E3607"/>
    <w:rsid w:val="009E3652"/>
    <w:rsid w:val="009E376E"/>
    <w:rsid w:val="009E3A7C"/>
    <w:rsid w:val="009E3B5E"/>
    <w:rsid w:val="009E3D14"/>
    <w:rsid w:val="009E3D5D"/>
    <w:rsid w:val="009E3ED0"/>
    <w:rsid w:val="009E3EF7"/>
    <w:rsid w:val="009E4060"/>
    <w:rsid w:val="009E410C"/>
    <w:rsid w:val="009E42DD"/>
    <w:rsid w:val="009E436E"/>
    <w:rsid w:val="009E439F"/>
    <w:rsid w:val="009E43AF"/>
    <w:rsid w:val="009E45CB"/>
    <w:rsid w:val="009E4626"/>
    <w:rsid w:val="009E474D"/>
    <w:rsid w:val="009E4BBF"/>
    <w:rsid w:val="009E4BD2"/>
    <w:rsid w:val="009E4E85"/>
    <w:rsid w:val="009E50BA"/>
    <w:rsid w:val="009E524A"/>
    <w:rsid w:val="009E53F0"/>
    <w:rsid w:val="009E544C"/>
    <w:rsid w:val="009E54A3"/>
    <w:rsid w:val="009E54CC"/>
    <w:rsid w:val="009E5553"/>
    <w:rsid w:val="009E56AA"/>
    <w:rsid w:val="009E5AA3"/>
    <w:rsid w:val="009E5AD2"/>
    <w:rsid w:val="009E5B44"/>
    <w:rsid w:val="009E5BB3"/>
    <w:rsid w:val="009E5BF6"/>
    <w:rsid w:val="009E5E95"/>
    <w:rsid w:val="009E5F87"/>
    <w:rsid w:val="009E6069"/>
    <w:rsid w:val="009E60B9"/>
    <w:rsid w:val="009E639F"/>
    <w:rsid w:val="009E6447"/>
    <w:rsid w:val="009E6454"/>
    <w:rsid w:val="009E6631"/>
    <w:rsid w:val="009E6790"/>
    <w:rsid w:val="009E6967"/>
    <w:rsid w:val="009E6EC1"/>
    <w:rsid w:val="009E6F0D"/>
    <w:rsid w:val="009E7210"/>
    <w:rsid w:val="009E743E"/>
    <w:rsid w:val="009E748A"/>
    <w:rsid w:val="009E74CD"/>
    <w:rsid w:val="009E753F"/>
    <w:rsid w:val="009E763D"/>
    <w:rsid w:val="009E7ACC"/>
    <w:rsid w:val="009E7B14"/>
    <w:rsid w:val="009E7B98"/>
    <w:rsid w:val="009E7CB0"/>
    <w:rsid w:val="009E7D40"/>
    <w:rsid w:val="009E7DC9"/>
    <w:rsid w:val="009E7E53"/>
    <w:rsid w:val="009F0005"/>
    <w:rsid w:val="009F01CA"/>
    <w:rsid w:val="009F0223"/>
    <w:rsid w:val="009F0351"/>
    <w:rsid w:val="009F03B7"/>
    <w:rsid w:val="009F0457"/>
    <w:rsid w:val="009F050E"/>
    <w:rsid w:val="009F0867"/>
    <w:rsid w:val="009F0A16"/>
    <w:rsid w:val="009F0C53"/>
    <w:rsid w:val="009F0C56"/>
    <w:rsid w:val="009F0C9C"/>
    <w:rsid w:val="009F0CDA"/>
    <w:rsid w:val="009F0D0B"/>
    <w:rsid w:val="009F0EEA"/>
    <w:rsid w:val="009F1040"/>
    <w:rsid w:val="009F132A"/>
    <w:rsid w:val="009F14EF"/>
    <w:rsid w:val="009F15CD"/>
    <w:rsid w:val="009F1857"/>
    <w:rsid w:val="009F1905"/>
    <w:rsid w:val="009F1B63"/>
    <w:rsid w:val="009F1D3A"/>
    <w:rsid w:val="009F1E95"/>
    <w:rsid w:val="009F1F77"/>
    <w:rsid w:val="009F2194"/>
    <w:rsid w:val="009F21A7"/>
    <w:rsid w:val="009F2286"/>
    <w:rsid w:val="009F2604"/>
    <w:rsid w:val="009F26CA"/>
    <w:rsid w:val="009F271D"/>
    <w:rsid w:val="009F2845"/>
    <w:rsid w:val="009F2AF9"/>
    <w:rsid w:val="009F2D53"/>
    <w:rsid w:val="009F2E90"/>
    <w:rsid w:val="009F2F1F"/>
    <w:rsid w:val="009F3179"/>
    <w:rsid w:val="009F31BC"/>
    <w:rsid w:val="009F336A"/>
    <w:rsid w:val="009F3435"/>
    <w:rsid w:val="009F3651"/>
    <w:rsid w:val="009F382B"/>
    <w:rsid w:val="009F3A8D"/>
    <w:rsid w:val="009F3B9D"/>
    <w:rsid w:val="009F3CE8"/>
    <w:rsid w:val="009F4110"/>
    <w:rsid w:val="009F420D"/>
    <w:rsid w:val="009F453A"/>
    <w:rsid w:val="009F4602"/>
    <w:rsid w:val="009F4647"/>
    <w:rsid w:val="009F4655"/>
    <w:rsid w:val="009F47BB"/>
    <w:rsid w:val="009F49AE"/>
    <w:rsid w:val="009F4E22"/>
    <w:rsid w:val="009F501E"/>
    <w:rsid w:val="009F5267"/>
    <w:rsid w:val="009F52B6"/>
    <w:rsid w:val="009F53DD"/>
    <w:rsid w:val="009F54B6"/>
    <w:rsid w:val="009F5680"/>
    <w:rsid w:val="009F57FA"/>
    <w:rsid w:val="009F5956"/>
    <w:rsid w:val="009F5A99"/>
    <w:rsid w:val="009F5D6A"/>
    <w:rsid w:val="009F5F76"/>
    <w:rsid w:val="009F6018"/>
    <w:rsid w:val="009F616C"/>
    <w:rsid w:val="009F622D"/>
    <w:rsid w:val="009F6352"/>
    <w:rsid w:val="009F6378"/>
    <w:rsid w:val="009F6393"/>
    <w:rsid w:val="009F66AD"/>
    <w:rsid w:val="009F6800"/>
    <w:rsid w:val="009F6871"/>
    <w:rsid w:val="009F6A38"/>
    <w:rsid w:val="009F6AF8"/>
    <w:rsid w:val="009F6B70"/>
    <w:rsid w:val="009F6E1A"/>
    <w:rsid w:val="009F7045"/>
    <w:rsid w:val="009F70E3"/>
    <w:rsid w:val="009F72BE"/>
    <w:rsid w:val="009F7389"/>
    <w:rsid w:val="009F7556"/>
    <w:rsid w:val="009F75F1"/>
    <w:rsid w:val="009F768A"/>
    <w:rsid w:val="009F76CC"/>
    <w:rsid w:val="009F76D0"/>
    <w:rsid w:val="009F77A5"/>
    <w:rsid w:val="009F77BA"/>
    <w:rsid w:val="009F7884"/>
    <w:rsid w:val="009F7DB3"/>
    <w:rsid w:val="009F7F39"/>
    <w:rsid w:val="009F7F4E"/>
    <w:rsid w:val="009F7FF5"/>
    <w:rsid w:val="00A00116"/>
    <w:rsid w:val="00A002AB"/>
    <w:rsid w:val="00A002F0"/>
    <w:rsid w:val="00A00364"/>
    <w:rsid w:val="00A004C6"/>
    <w:rsid w:val="00A00526"/>
    <w:rsid w:val="00A005B0"/>
    <w:rsid w:val="00A00694"/>
    <w:rsid w:val="00A0088F"/>
    <w:rsid w:val="00A0090A"/>
    <w:rsid w:val="00A00A40"/>
    <w:rsid w:val="00A00B42"/>
    <w:rsid w:val="00A00C4F"/>
    <w:rsid w:val="00A00CAF"/>
    <w:rsid w:val="00A00DB1"/>
    <w:rsid w:val="00A00FB9"/>
    <w:rsid w:val="00A01281"/>
    <w:rsid w:val="00A012F3"/>
    <w:rsid w:val="00A01400"/>
    <w:rsid w:val="00A014FA"/>
    <w:rsid w:val="00A0152D"/>
    <w:rsid w:val="00A0157E"/>
    <w:rsid w:val="00A0158E"/>
    <w:rsid w:val="00A015BB"/>
    <w:rsid w:val="00A016B4"/>
    <w:rsid w:val="00A017AA"/>
    <w:rsid w:val="00A0196A"/>
    <w:rsid w:val="00A01D0E"/>
    <w:rsid w:val="00A01D33"/>
    <w:rsid w:val="00A01FD3"/>
    <w:rsid w:val="00A0202A"/>
    <w:rsid w:val="00A020A9"/>
    <w:rsid w:val="00A024C2"/>
    <w:rsid w:val="00A02641"/>
    <w:rsid w:val="00A02743"/>
    <w:rsid w:val="00A0276D"/>
    <w:rsid w:val="00A02A04"/>
    <w:rsid w:val="00A02E4C"/>
    <w:rsid w:val="00A02EB7"/>
    <w:rsid w:val="00A03109"/>
    <w:rsid w:val="00A03334"/>
    <w:rsid w:val="00A035A1"/>
    <w:rsid w:val="00A03833"/>
    <w:rsid w:val="00A03995"/>
    <w:rsid w:val="00A03BF5"/>
    <w:rsid w:val="00A03CC3"/>
    <w:rsid w:val="00A03F1D"/>
    <w:rsid w:val="00A03F97"/>
    <w:rsid w:val="00A04255"/>
    <w:rsid w:val="00A04353"/>
    <w:rsid w:val="00A043E6"/>
    <w:rsid w:val="00A044C1"/>
    <w:rsid w:val="00A0495A"/>
    <w:rsid w:val="00A04983"/>
    <w:rsid w:val="00A04B36"/>
    <w:rsid w:val="00A04BA7"/>
    <w:rsid w:val="00A04C08"/>
    <w:rsid w:val="00A04CEA"/>
    <w:rsid w:val="00A050C0"/>
    <w:rsid w:val="00A05341"/>
    <w:rsid w:val="00A055DC"/>
    <w:rsid w:val="00A0589D"/>
    <w:rsid w:val="00A05AD6"/>
    <w:rsid w:val="00A05B6A"/>
    <w:rsid w:val="00A05CD4"/>
    <w:rsid w:val="00A05EAC"/>
    <w:rsid w:val="00A060FD"/>
    <w:rsid w:val="00A06146"/>
    <w:rsid w:val="00A06167"/>
    <w:rsid w:val="00A06232"/>
    <w:rsid w:val="00A063A8"/>
    <w:rsid w:val="00A06428"/>
    <w:rsid w:val="00A06588"/>
    <w:rsid w:val="00A066EE"/>
    <w:rsid w:val="00A0680B"/>
    <w:rsid w:val="00A0693E"/>
    <w:rsid w:val="00A069BF"/>
    <w:rsid w:val="00A069D2"/>
    <w:rsid w:val="00A06A77"/>
    <w:rsid w:val="00A06ACC"/>
    <w:rsid w:val="00A06B71"/>
    <w:rsid w:val="00A06BEC"/>
    <w:rsid w:val="00A06CDA"/>
    <w:rsid w:val="00A06E0C"/>
    <w:rsid w:val="00A06E22"/>
    <w:rsid w:val="00A06E76"/>
    <w:rsid w:val="00A070C4"/>
    <w:rsid w:val="00A0713C"/>
    <w:rsid w:val="00A07219"/>
    <w:rsid w:val="00A0724F"/>
    <w:rsid w:val="00A074A2"/>
    <w:rsid w:val="00A07510"/>
    <w:rsid w:val="00A07523"/>
    <w:rsid w:val="00A0769C"/>
    <w:rsid w:val="00A0769F"/>
    <w:rsid w:val="00A0776A"/>
    <w:rsid w:val="00A07945"/>
    <w:rsid w:val="00A079B5"/>
    <w:rsid w:val="00A07A11"/>
    <w:rsid w:val="00A07D11"/>
    <w:rsid w:val="00A07DDA"/>
    <w:rsid w:val="00A07E6B"/>
    <w:rsid w:val="00A07EBA"/>
    <w:rsid w:val="00A07F4A"/>
    <w:rsid w:val="00A10134"/>
    <w:rsid w:val="00A1014E"/>
    <w:rsid w:val="00A1088C"/>
    <w:rsid w:val="00A1088D"/>
    <w:rsid w:val="00A10970"/>
    <w:rsid w:val="00A10B5D"/>
    <w:rsid w:val="00A10BE0"/>
    <w:rsid w:val="00A10CBB"/>
    <w:rsid w:val="00A10E39"/>
    <w:rsid w:val="00A1104B"/>
    <w:rsid w:val="00A110FE"/>
    <w:rsid w:val="00A11213"/>
    <w:rsid w:val="00A1144D"/>
    <w:rsid w:val="00A1149A"/>
    <w:rsid w:val="00A114C6"/>
    <w:rsid w:val="00A11898"/>
    <w:rsid w:val="00A11ABC"/>
    <w:rsid w:val="00A11B85"/>
    <w:rsid w:val="00A11BD8"/>
    <w:rsid w:val="00A11C2C"/>
    <w:rsid w:val="00A11D5C"/>
    <w:rsid w:val="00A11F03"/>
    <w:rsid w:val="00A11F1D"/>
    <w:rsid w:val="00A1205C"/>
    <w:rsid w:val="00A12066"/>
    <w:rsid w:val="00A1217E"/>
    <w:rsid w:val="00A1219F"/>
    <w:rsid w:val="00A12458"/>
    <w:rsid w:val="00A1273D"/>
    <w:rsid w:val="00A12AC3"/>
    <w:rsid w:val="00A12C6C"/>
    <w:rsid w:val="00A12D2D"/>
    <w:rsid w:val="00A12F81"/>
    <w:rsid w:val="00A12FF2"/>
    <w:rsid w:val="00A13022"/>
    <w:rsid w:val="00A13095"/>
    <w:rsid w:val="00A13286"/>
    <w:rsid w:val="00A135A3"/>
    <w:rsid w:val="00A135FE"/>
    <w:rsid w:val="00A1372C"/>
    <w:rsid w:val="00A13774"/>
    <w:rsid w:val="00A13BD2"/>
    <w:rsid w:val="00A13C5C"/>
    <w:rsid w:val="00A13EF7"/>
    <w:rsid w:val="00A13F00"/>
    <w:rsid w:val="00A13F19"/>
    <w:rsid w:val="00A13FA0"/>
    <w:rsid w:val="00A140BF"/>
    <w:rsid w:val="00A14237"/>
    <w:rsid w:val="00A14371"/>
    <w:rsid w:val="00A143B1"/>
    <w:rsid w:val="00A145EE"/>
    <w:rsid w:val="00A146A6"/>
    <w:rsid w:val="00A147B6"/>
    <w:rsid w:val="00A14DA0"/>
    <w:rsid w:val="00A14EE8"/>
    <w:rsid w:val="00A153A6"/>
    <w:rsid w:val="00A15415"/>
    <w:rsid w:val="00A15461"/>
    <w:rsid w:val="00A1553F"/>
    <w:rsid w:val="00A15605"/>
    <w:rsid w:val="00A15693"/>
    <w:rsid w:val="00A156E7"/>
    <w:rsid w:val="00A15931"/>
    <w:rsid w:val="00A15A32"/>
    <w:rsid w:val="00A15B51"/>
    <w:rsid w:val="00A15B5A"/>
    <w:rsid w:val="00A15BD8"/>
    <w:rsid w:val="00A15C87"/>
    <w:rsid w:val="00A15D7A"/>
    <w:rsid w:val="00A15EBA"/>
    <w:rsid w:val="00A160EF"/>
    <w:rsid w:val="00A16118"/>
    <w:rsid w:val="00A1617F"/>
    <w:rsid w:val="00A16399"/>
    <w:rsid w:val="00A163A7"/>
    <w:rsid w:val="00A163CE"/>
    <w:rsid w:val="00A164E4"/>
    <w:rsid w:val="00A1657B"/>
    <w:rsid w:val="00A1687A"/>
    <w:rsid w:val="00A169B4"/>
    <w:rsid w:val="00A16B79"/>
    <w:rsid w:val="00A16C85"/>
    <w:rsid w:val="00A16E54"/>
    <w:rsid w:val="00A16E82"/>
    <w:rsid w:val="00A17150"/>
    <w:rsid w:val="00A17195"/>
    <w:rsid w:val="00A1732A"/>
    <w:rsid w:val="00A176D6"/>
    <w:rsid w:val="00A17785"/>
    <w:rsid w:val="00A17830"/>
    <w:rsid w:val="00A17990"/>
    <w:rsid w:val="00A17AC0"/>
    <w:rsid w:val="00A17B7A"/>
    <w:rsid w:val="00A17B8D"/>
    <w:rsid w:val="00A17B97"/>
    <w:rsid w:val="00A17C22"/>
    <w:rsid w:val="00A17CAB"/>
    <w:rsid w:val="00A17D7B"/>
    <w:rsid w:val="00A17E2F"/>
    <w:rsid w:val="00A17F37"/>
    <w:rsid w:val="00A2015D"/>
    <w:rsid w:val="00A20358"/>
    <w:rsid w:val="00A2043A"/>
    <w:rsid w:val="00A2079F"/>
    <w:rsid w:val="00A20917"/>
    <w:rsid w:val="00A20BB6"/>
    <w:rsid w:val="00A20C73"/>
    <w:rsid w:val="00A20DE6"/>
    <w:rsid w:val="00A20F6D"/>
    <w:rsid w:val="00A211CF"/>
    <w:rsid w:val="00A211DB"/>
    <w:rsid w:val="00A213EF"/>
    <w:rsid w:val="00A214A9"/>
    <w:rsid w:val="00A215DF"/>
    <w:rsid w:val="00A216C4"/>
    <w:rsid w:val="00A2179E"/>
    <w:rsid w:val="00A217F2"/>
    <w:rsid w:val="00A21A0E"/>
    <w:rsid w:val="00A21B57"/>
    <w:rsid w:val="00A21D1D"/>
    <w:rsid w:val="00A21DFF"/>
    <w:rsid w:val="00A21FF8"/>
    <w:rsid w:val="00A22267"/>
    <w:rsid w:val="00A22282"/>
    <w:rsid w:val="00A22567"/>
    <w:rsid w:val="00A225B9"/>
    <w:rsid w:val="00A22672"/>
    <w:rsid w:val="00A22998"/>
    <w:rsid w:val="00A229A9"/>
    <w:rsid w:val="00A22AD5"/>
    <w:rsid w:val="00A22B29"/>
    <w:rsid w:val="00A22B6D"/>
    <w:rsid w:val="00A22BE8"/>
    <w:rsid w:val="00A22D01"/>
    <w:rsid w:val="00A22DE7"/>
    <w:rsid w:val="00A2309F"/>
    <w:rsid w:val="00A2327D"/>
    <w:rsid w:val="00A23288"/>
    <w:rsid w:val="00A234E3"/>
    <w:rsid w:val="00A2356D"/>
    <w:rsid w:val="00A239BE"/>
    <w:rsid w:val="00A23DCF"/>
    <w:rsid w:val="00A23E4F"/>
    <w:rsid w:val="00A23EFE"/>
    <w:rsid w:val="00A23F4B"/>
    <w:rsid w:val="00A24056"/>
    <w:rsid w:val="00A241BF"/>
    <w:rsid w:val="00A24728"/>
    <w:rsid w:val="00A248C4"/>
    <w:rsid w:val="00A248F2"/>
    <w:rsid w:val="00A249E8"/>
    <w:rsid w:val="00A24A65"/>
    <w:rsid w:val="00A24B7D"/>
    <w:rsid w:val="00A24C10"/>
    <w:rsid w:val="00A24C82"/>
    <w:rsid w:val="00A24E05"/>
    <w:rsid w:val="00A25048"/>
    <w:rsid w:val="00A25127"/>
    <w:rsid w:val="00A253AD"/>
    <w:rsid w:val="00A25458"/>
    <w:rsid w:val="00A256EC"/>
    <w:rsid w:val="00A2584B"/>
    <w:rsid w:val="00A2598B"/>
    <w:rsid w:val="00A2603D"/>
    <w:rsid w:val="00A2603E"/>
    <w:rsid w:val="00A2611C"/>
    <w:rsid w:val="00A262C5"/>
    <w:rsid w:val="00A262E3"/>
    <w:rsid w:val="00A265DA"/>
    <w:rsid w:val="00A26926"/>
    <w:rsid w:val="00A2699C"/>
    <w:rsid w:val="00A269B4"/>
    <w:rsid w:val="00A26A08"/>
    <w:rsid w:val="00A26A10"/>
    <w:rsid w:val="00A26A31"/>
    <w:rsid w:val="00A26B4D"/>
    <w:rsid w:val="00A26BC3"/>
    <w:rsid w:val="00A26D35"/>
    <w:rsid w:val="00A27015"/>
    <w:rsid w:val="00A272F2"/>
    <w:rsid w:val="00A273D1"/>
    <w:rsid w:val="00A2746A"/>
    <w:rsid w:val="00A2746F"/>
    <w:rsid w:val="00A274AC"/>
    <w:rsid w:val="00A2758F"/>
    <w:rsid w:val="00A275FB"/>
    <w:rsid w:val="00A276BF"/>
    <w:rsid w:val="00A277B6"/>
    <w:rsid w:val="00A27906"/>
    <w:rsid w:val="00A2799D"/>
    <w:rsid w:val="00A27BFC"/>
    <w:rsid w:val="00A27C15"/>
    <w:rsid w:val="00A27CD8"/>
    <w:rsid w:val="00A27D8B"/>
    <w:rsid w:val="00A301FC"/>
    <w:rsid w:val="00A302FD"/>
    <w:rsid w:val="00A303CA"/>
    <w:rsid w:val="00A303FC"/>
    <w:rsid w:val="00A3049D"/>
    <w:rsid w:val="00A3067F"/>
    <w:rsid w:val="00A307F7"/>
    <w:rsid w:val="00A30886"/>
    <w:rsid w:val="00A308F8"/>
    <w:rsid w:val="00A30937"/>
    <w:rsid w:val="00A3097C"/>
    <w:rsid w:val="00A30D4E"/>
    <w:rsid w:val="00A30F66"/>
    <w:rsid w:val="00A30F89"/>
    <w:rsid w:val="00A31285"/>
    <w:rsid w:val="00A312CB"/>
    <w:rsid w:val="00A313FF"/>
    <w:rsid w:val="00A3173C"/>
    <w:rsid w:val="00A31960"/>
    <w:rsid w:val="00A319F8"/>
    <w:rsid w:val="00A31C27"/>
    <w:rsid w:val="00A31F22"/>
    <w:rsid w:val="00A31F8E"/>
    <w:rsid w:val="00A31F91"/>
    <w:rsid w:val="00A31F96"/>
    <w:rsid w:val="00A31FDB"/>
    <w:rsid w:val="00A32237"/>
    <w:rsid w:val="00A3228C"/>
    <w:rsid w:val="00A32384"/>
    <w:rsid w:val="00A3252A"/>
    <w:rsid w:val="00A32621"/>
    <w:rsid w:val="00A32695"/>
    <w:rsid w:val="00A32700"/>
    <w:rsid w:val="00A32706"/>
    <w:rsid w:val="00A32A3F"/>
    <w:rsid w:val="00A32C6A"/>
    <w:rsid w:val="00A33034"/>
    <w:rsid w:val="00A33372"/>
    <w:rsid w:val="00A334D4"/>
    <w:rsid w:val="00A33708"/>
    <w:rsid w:val="00A33C88"/>
    <w:rsid w:val="00A33E36"/>
    <w:rsid w:val="00A33EB8"/>
    <w:rsid w:val="00A33F6A"/>
    <w:rsid w:val="00A34074"/>
    <w:rsid w:val="00A340FF"/>
    <w:rsid w:val="00A3424D"/>
    <w:rsid w:val="00A342F1"/>
    <w:rsid w:val="00A342FC"/>
    <w:rsid w:val="00A343FE"/>
    <w:rsid w:val="00A347B0"/>
    <w:rsid w:val="00A347E7"/>
    <w:rsid w:val="00A34999"/>
    <w:rsid w:val="00A34C5C"/>
    <w:rsid w:val="00A34C71"/>
    <w:rsid w:val="00A34CEA"/>
    <w:rsid w:val="00A34E00"/>
    <w:rsid w:val="00A34E7F"/>
    <w:rsid w:val="00A3515B"/>
    <w:rsid w:val="00A352AA"/>
    <w:rsid w:val="00A35337"/>
    <w:rsid w:val="00A354EE"/>
    <w:rsid w:val="00A3568F"/>
    <w:rsid w:val="00A3570F"/>
    <w:rsid w:val="00A358FF"/>
    <w:rsid w:val="00A35A35"/>
    <w:rsid w:val="00A35A89"/>
    <w:rsid w:val="00A35CAF"/>
    <w:rsid w:val="00A35EB7"/>
    <w:rsid w:val="00A35EFE"/>
    <w:rsid w:val="00A35F84"/>
    <w:rsid w:val="00A36013"/>
    <w:rsid w:val="00A3612E"/>
    <w:rsid w:val="00A3613D"/>
    <w:rsid w:val="00A361A8"/>
    <w:rsid w:val="00A36233"/>
    <w:rsid w:val="00A36467"/>
    <w:rsid w:val="00A36492"/>
    <w:rsid w:val="00A36671"/>
    <w:rsid w:val="00A366EE"/>
    <w:rsid w:val="00A36BA3"/>
    <w:rsid w:val="00A36BAF"/>
    <w:rsid w:val="00A36E1B"/>
    <w:rsid w:val="00A36F95"/>
    <w:rsid w:val="00A3701D"/>
    <w:rsid w:val="00A3762E"/>
    <w:rsid w:val="00A377E4"/>
    <w:rsid w:val="00A3794E"/>
    <w:rsid w:val="00A37A97"/>
    <w:rsid w:val="00A37AB4"/>
    <w:rsid w:val="00A37DE8"/>
    <w:rsid w:val="00A37E2F"/>
    <w:rsid w:val="00A37EAD"/>
    <w:rsid w:val="00A40152"/>
    <w:rsid w:val="00A40444"/>
    <w:rsid w:val="00A4067F"/>
    <w:rsid w:val="00A40BEB"/>
    <w:rsid w:val="00A40F6B"/>
    <w:rsid w:val="00A412BB"/>
    <w:rsid w:val="00A4133B"/>
    <w:rsid w:val="00A415AA"/>
    <w:rsid w:val="00A4169E"/>
    <w:rsid w:val="00A41795"/>
    <w:rsid w:val="00A419D6"/>
    <w:rsid w:val="00A41D4E"/>
    <w:rsid w:val="00A41FF6"/>
    <w:rsid w:val="00A42045"/>
    <w:rsid w:val="00A42280"/>
    <w:rsid w:val="00A42318"/>
    <w:rsid w:val="00A423F8"/>
    <w:rsid w:val="00A423FC"/>
    <w:rsid w:val="00A4277E"/>
    <w:rsid w:val="00A42B10"/>
    <w:rsid w:val="00A42E42"/>
    <w:rsid w:val="00A42F43"/>
    <w:rsid w:val="00A42FA8"/>
    <w:rsid w:val="00A42FB6"/>
    <w:rsid w:val="00A43133"/>
    <w:rsid w:val="00A4314B"/>
    <w:rsid w:val="00A431A3"/>
    <w:rsid w:val="00A433AF"/>
    <w:rsid w:val="00A433BD"/>
    <w:rsid w:val="00A43540"/>
    <w:rsid w:val="00A4375F"/>
    <w:rsid w:val="00A43906"/>
    <w:rsid w:val="00A43ACC"/>
    <w:rsid w:val="00A43B7D"/>
    <w:rsid w:val="00A43D65"/>
    <w:rsid w:val="00A43EE5"/>
    <w:rsid w:val="00A43EEA"/>
    <w:rsid w:val="00A43F6B"/>
    <w:rsid w:val="00A444DF"/>
    <w:rsid w:val="00A44566"/>
    <w:rsid w:val="00A445C9"/>
    <w:rsid w:val="00A44612"/>
    <w:rsid w:val="00A4465D"/>
    <w:rsid w:val="00A44957"/>
    <w:rsid w:val="00A44B11"/>
    <w:rsid w:val="00A44C21"/>
    <w:rsid w:val="00A44D14"/>
    <w:rsid w:val="00A450ED"/>
    <w:rsid w:val="00A45126"/>
    <w:rsid w:val="00A451F5"/>
    <w:rsid w:val="00A453A6"/>
    <w:rsid w:val="00A453AA"/>
    <w:rsid w:val="00A4544C"/>
    <w:rsid w:val="00A4562A"/>
    <w:rsid w:val="00A456EB"/>
    <w:rsid w:val="00A457C7"/>
    <w:rsid w:val="00A457CB"/>
    <w:rsid w:val="00A457D9"/>
    <w:rsid w:val="00A458F5"/>
    <w:rsid w:val="00A45A05"/>
    <w:rsid w:val="00A45BB2"/>
    <w:rsid w:val="00A45BDE"/>
    <w:rsid w:val="00A45C83"/>
    <w:rsid w:val="00A45C98"/>
    <w:rsid w:val="00A45EB8"/>
    <w:rsid w:val="00A46053"/>
    <w:rsid w:val="00A462A0"/>
    <w:rsid w:val="00A4644E"/>
    <w:rsid w:val="00A46548"/>
    <w:rsid w:val="00A46554"/>
    <w:rsid w:val="00A465AE"/>
    <w:rsid w:val="00A4664C"/>
    <w:rsid w:val="00A46708"/>
    <w:rsid w:val="00A469ED"/>
    <w:rsid w:val="00A46C1C"/>
    <w:rsid w:val="00A46C22"/>
    <w:rsid w:val="00A46D9E"/>
    <w:rsid w:val="00A46FC7"/>
    <w:rsid w:val="00A475F8"/>
    <w:rsid w:val="00A477B7"/>
    <w:rsid w:val="00A478F6"/>
    <w:rsid w:val="00A47C8C"/>
    <w:rsid w:val="00A47D29"/>
    <w:rsid w:val="00A47F86"/>
    <w:rsid w:val="00A4D73E"/>
    <w:rsid w:val="00A5011B"/>
    <w:rsid w:val="00A50334"/>
    <w:rsid w:val="00A5033C"/>
    <w:rsid w:val="00A50464"/>
    <w:rsid w:val="00A504BA"/>
    <w:rsid w:val="00A506F8"/>
    <w:rsid w:val="00A5091A"/>
    <w:rsid w:val="00A50BEC"/>
    <w:rsid w:val="00A50C6A"/>
    <w:rsid w:val="00A50CE0"/>
    <w:rsid w:val="00A50D6B"/>
    <w:rsid w:val="00A51061"/>
    <w:rsid w:val="00A5108F"/>
    <w:rsid w:val="00A5135D"/>
    <w:rsid w:val="00A515D8"/>
    <w:rsid w:val="00A519B8"/>
    <w:rsid w:val="00A51A07"/>
    <w:rsid w:val="00A51E38"/>
    <w:rsid w:val="00A51F2A"/>
    <w:rsid w:val="00A5219B"/>
    <w:rsid w:val="00A521A9"/>
    <w:rsid w:val="00A52253"/>
    <w:rsid w:val="00A522F2"/>
    <w:rsid w:val="00A5233B"/>
    <w:rsid w:val="00A52364"/>
    <w:rsid w:val="00A523A7"/>
    <w:rsid w:val="00A52427"/>
    <w:rsid w:val="00A52543"/>
    <w:rsid w:val="00A52656"/>
    <w:rsid w:val="00A5273C"/>
    <w:rsid w:val="00A52A07"/>
    <w:rsid w:val="00A52C3E"/>
    <w:rsid w:val="00A52D22"/>
    <w:rsid w:val="00A52F56"/>
    <w:rsid w:val="00A53067"/>
    <w:rsid w:val="00A530A4"/>
    <w:rsid w:val="00A53302"/>
    <w:rsid w:val="00A53573"/>
    <w:rsid w:val="00A53618"/>
    <w:rsid w:val="00A5362D"/>
    <w:rsid w:val="00A538C0"/>
    <w:rsid w:val="00A53ACF"/>
    <w:rsid w:val="00A53D1F"/>
    <w:rsid w:val="00A53E85"/>
    <w:rsid w:val="00A5416E"/>
    <w:rsid w:val="00A541D6"/>
    <w:rsid w:val="00A5431A"/>
    <w:rsid w:val="00A54350"/>
    <w:rsid w:val="00A543BE"/>
    <w:rsid w:val="00A54770"/>
    <w:rsid w:val="00A547A2"/>
    <w:rsid w:val="00A548F2"/>
    <w:rsid w:val="00A54A43"/>
    <w:rsid w:val="00A54B55"/>
    <w:rsid w:val="00A54F33"/>
    <w:rsid w:val="00A54F44"/>
    <w:rsid w:val="00A54F6E"/>
    <w:rsid w:val="00A553AE"/>
    <w:rsid w:val="00A55557"/>
    <w:rsid w:val="00A55630"/>
    <w:rsid w:val="00A557EA"/>
    <w:rsid w:val="00A55826"/>
    <w:rsid w:val="00A55A95"/>
    <w:rsid w:val="00A55C28"/>
    <w:rsid w:val="00A55D05"/>
    <w:rsid w:val="00A55D97"/>
    <w:rsid w:val="00A55E0E"/>
    <w:rsid w:val="00A55E8D"/>
    <w:rsid w:val="00A55EFC"/>
    <w:rsid w:val="00A55FB5"/>
    <w:rsid w:val="00A5650C"/>
    <w:rsid w:val="00A56587"/>
    <w:rsid w:val="00A565CE"/>
    <w:rsid w:val="00A56697"/>
    <w:rsid w:val="00A566DD"/>
    <w:rsid w:val="00A56791"/>
    <w:rsid w:val="00A56839"/>
    <w:rsid w:val="00A56953"/>
    <w:rsid w:val="00A56C9E"/>
    <w:rsid w:val="00A56D3A"/>
    <w:rsid w:val="00A56D5E"/>
    <w:rsid w:val="00A570B1"/>
    <w:rsid w:val="00A57419"/>
    <w:rsid w:val="00A57586"/>
    <w:rsid w:val="00A57829"/>
    <w:rsid w:val="00A57852"/>
    <w:rsid w:val="00A578C7"/>
    <w:rsid w:val="00A5798C"/>
    <w:rsid w:val="00A579C3"/>
    <w:rsid w:val="00A57A79"/>
    <w:rsid w:val="00A57B91"/>
    <w:rsid w:val="00A57D2F"/>
    <w:rsid w:val="00A57D40"/>
    <w:rsid w:val="00A57E40"/>
    <w:rsid w:val="00A6019F"/>
    <w:rsid w:val="00A60633"/>
    <w:rsid w:val="00A60703"/>
    <w:rsid w:val="00A609A0"/>
    <w:rsid w:val="00A60ADA"/>
    <w:rsid w:val="00A60C7C"/>
    <w:rsid w:val="00A60D15"/>
    <w:rsid w:val="00A60D6B"/>
    <w:rsid w:val="00A60FA1"/>
    <w:rsid w:val="00A61222"/>
    <w:rsid w:val="00A612EB"/>
    <w:rsid w:val="00A61388"/>
    <w:rsid w:val="00A614D7"/>
    <w:rsid w:val="00A615DB"/>
    <w:rsid w:val="00A61B5F"/>
    <w:rsid w:val="00A61BC9"/>
    <w:rsid w:val="00A61D7F"/>
    <w:rsid w:val="00A61FF9"/>
    <w:rsid w:val="00A622BB"/>
    <w:rsid w:val="00A627A9"/>
    <w:rsid w:val="00A627ED"/>
    <w:rsid w:val="00A62803"/>
    <w:rsid w:val="00A628E6"/>
    <w:rsid w:val="00A629F6"/>
    <w:rsid w:val="00A62A72"/>
    <w:rsid w:val="00A62AB6"/>
    <w:rsid w:val="00A62D8D"/>
    <w:rsid w:val="00A62E05"/>
    <w:rsid w:val="00A62F75"/>
    <w:rsid w:val="00A630EA"/>
    <w:rsid w:val="00A6376A"/>
    <w:rsid w:val="00A6393B"/>
    <w:rsid w:val="00A639EC"/>
    <w:rsid w:val="00A63AAE"/>
    <w:rsid w:val="00A63C7C"/>
    <w:rsid w:val="00A63C7E"/>
    <w:rsid w:val="00A63CA4"/>
    <w:rsid w:val="00A63D2E"/>
    <w:rsid w:val="00A63ED1"/>
    <w:rsid w:val="00A63F24"/>
    <w:rsid w:val="00A63FE4"/>
    <w:rsid w:val="00A640AF"/>
    <w:rsid w:val="00A64120"/>
    <w:rsid w:val="00A64186"/>
    <w:rsid w:val="00A647C5"/>
    <w:rsid w:val="00A647E9"/>
    <w:rsid w:val="00A6484C"/>
    <w:rsid w:val="00A64867"/>
    <w:rsid w:val="00A6492B"/>
    <w:rsid w:val="00A649C2"/>
    <w:rsid w:val="00A64AAE"/>
    <w:rsid w:val="00A64DBD"/>
    <w:rsid w:val="00A6501E"/>
    <w:rsid w:val="00A652D3"/>
    <w:rsid w:val="00A6541C"/>
    <w:rsid w:val="00A654BB"/>
    <w:rsid w:val="00A6585F"/>
    <w:rsid w:val="00A658F0"/>
    <w:rsid w:val="00A6594B"/>
    <w:rsid w:val="00A659D6"/>
    <w:rsid w:val="00A65A74"/>
    <w:rsid w:val="00A65AB1"/>
    <w:rsid w:val="00A65D60"/>
    <w:rsid w:val="00A65E2B"/>
    <w:rsid w:val="00A660A5"/>
    <w:rsid w:val="00A660FC"/>
    <w:rsid w:val="00A663AF"/>
    <w:rsid w:val="00A66476"/>
    <w:rsid w:val="00A66494"/>
    <w:rsid w:val="00A664E2"/>
    <w:rsid w:val="00A66595"/>
    <w:rsid w:val="00A666AF"/>
    <w:rsid w:val="00A6678C"/>
    <w:rsid w:val="00A6680C"/>
    <w:rsid w:val="00A669F0"/>
    <w:rsid w:val="00A66ABB"/>
    <w:rsid w:val="00A66C42"/>
    <w:rsid w:val="00A66C75"/>
    <w:rsid w:val="00A66CCF"/>
    <w:rsid w:val="00A66CFE"/>
    <w:rsid w:val="00A66D8A"/>
    <w:rsid w:val="00A66EC6"/>
    <w:rsid w:val="00A66EF5"/>
    <w:rsid w:val="00A6700F"/>
    <w:rsid w:val="00A671CB"/>
    <w:rsid w:val="00A6723E"/>
    <w:rsid w:val="00A674A5"/>
    <w:rsid w:val="00A67623"/>
    <w:rsid w:val="00A676A5"/>
    <w:rsid w:val="00A676AF"/>
    <w:rsid w:val="00A6799D"/>
    <w:rsid w:val="00A67A98"/>
    <w:rsid w:val="00A67B61"/>
    <w:rsid w:val="00A67DC6"/>
    <w:rsid w:val="00A67F3F"/>
    <w:rsid w:val="00A67FCB"/>
    <w:rsid w:val="00A67FD0"/>
    <w:rsid w:val="00A700CB"/>
    <w:rsid w:val="00A701F9"/>
    <w:rsid w:val="00A702AD"/>
    <w:rsid w:val="00A7052B"/>
    <w:rsid w:val="00A7054A"/>
    <w:rsid w:val="00A705A8"/>
    <w:rsid w:val="00A70628"/>
    <w:rsid w:val="00A70786"/>
    <w:rsid w:val="00A70812"/>
    <w:rsid w:val="00A70885"/>
    <w:rsid w:val="00A7089A"/>
    <w:rsid w:val="00A70ABF"/>
    <w:rsid w:val="00A70C55"/>
    <w:rsid w:val="00A70C77"/>
    <w:rsid w:val="00A70E3E"/>
    <w:rsid w:val="00A70E86"/>
    <w:rsid w:val="00A70E8A"/>
    <w:rsid w:val="00A71157"/>
    <w:rsid w:val="00A714C6"/>
    <w:rsid w:val="00A71529"/>
    <w:rsid w:val="00A71689"/>
    <w:rsid w:val="00A71811"/>
    <w:rsid w:val="00A7182D"/>
    <w:rsid w:val="00A718A9"/>
    <w:rsid w:val="00A718F6"/>
    <w:rsid w:val="00A7198D"/>
    <w:rsid w:val="00A71CC2"/>
    <w:rsid w:val="00A71E05"/>
    <w:rsid w:val="00A71F5B"/>
    <w:rsid w:val="00A7201D"/>
    <w:rsid w:val="00A72224"/>
    <w:rsid w:val="00A72418"/>
    <w:rsid w:val="00A725EE"/>
    <w:rsid w:val="00A72603"/>
    <w:rsid w:val="00A728D8"/>
    <w:rsid w:val="00A729C8"/>
    <w:rsid w:val="00A72AD6"/>
    <w:rsid w:val="00A72CA5"/>
    <w:rsid w:val="00A730A0"/>
    <w:rsid w:val="00A731D1"/>
    <w:rsid w:val="00A73253"/>
    <w:rsid w:val="00A734A2"/>
    <w:rsid w:val="00A73521"/>
    <w:rsid w:val="00A7359F"/>
    <w:rsid w:val="00A73650"/>
    <w:rsid w:val="00A7365D"/>
    <w:rsid w:val="00A73775"/>
    <w:rsid w:val="00A737C2"/>
    <w:rsid w:val="00A73868"/>
    <w:rsid w:val="00A738E2"/>
    <w:rsid w:val="00A73904"/>
    <w:rsid w:val="00A73A48"/>
    <w:rsid w:val="00A73A96"/>
    <w:rsid w:val="00A73BE0"/>
    <w:rsid w:val="00A73CF8"/>
    <w:rsid w:val="00A73F5C"/>
    <w:rsid w:val="00A74038"/>
    <w:rsid w:val="00A7407E"/>
    <w:rsid w:val="00A7417F"/>
    <w:rsid w:val="00A742AD"/>
    <w:rsid w:val="00A745DD"/>
    <w:rsid w:val="00A7474E"/>
    <w:rsid w:val="00A7480A"/>
    <w:rsid w:val="00A7485D"/>
    <w:rsid w:val="00A74B7E"/>
    <w:rsid w:val="00A74E41"/>
    <w:rsid w:val="00A74EEC"/>
    <w:rsid w:val="00A74F89"/>
    <w:rsid w:val="00A75027"/>
    <w:rsid w:val="00A7534D"/>
    <w:rsid w:val="00A754A9"/>
    <w:rsid w:val="00A75524"/>
    <w:rsid w:val="00A75785"/>
    <w:rsid w:val="00A75AED"/>
    <w:rsid w:val="00A75C0F"/>
    <w:rsid w:val="00A75C81"/>
    <w:rsid w:val="00A75F96"/>
    <w:rsid w:val="00A763EF"/>
    <w:rsid w:val="00A763F5"/>
    <w:rsid w:val="00A76582"/>
    <w:rsid w:val="00A765CA"/>
    <w:rsid w:val="00A766F0"/>
    <w:rsid w:val="00A76A93"/>
    <w:rsid w:val="00A76B11"/>
    <w:rsid w:val="00A76BA6"/>
    <w:rsid w:val="00A76BD5"/>
    <w:rsid w:val="00A76C9E"/>
    <w:rsid w:val="00A76EBB"/>
    <w:rsid w:val="00A77017"/>
    <w:rsid w:val="00A7720E"/>
    <w:rsid w:val="00A77444"/>
    <w:rsid w:val="00A774E4"/>
    <w:rsid w:val="00A77863"/>
    <w:rsid w:val="00A7788D"/>
    <w:rsid w:val="00A779A9"/>
    <w:rsid w:val="00A779ED"/>
    <w:rsid w:val="00A77AC6"/>
    <w:rsid w:val="00A77DCD"/>
    <w:rsid w:val="00A77E89"/>
    <w:rsid w:val="00A77F1B"/>
    <w:rsid w:val="00A805C6"/>
    <w:rsid w:val="00A805D4"/>
    <w:rsid w:val="00A807CA"/>
    <w:rsid w:val="00A80AE9"/>
    <w:rsid w:val="00A80C40"/>
    <w:rsid w:val="00A80C87"/>
    <w:rsid w:val="00A80DD9"/>
    <w:rsid w:val="00A81108"/>
    <w:rsid w:val="00A813F6"/>
    <w:rsid w:val="00A815AA"/>
    <w:rsid w:val="00A81A21"/>
    <w:rsid w:val="00A81A6B"/>
    <w:rsid w:val="00A81B97"/>
    <w:rsid w:val="00A81BD5"/>
    <w:rsid w:val="00A81CE8"/>
    <w:rsid w:val="00A81E76"/>
    <w:rsid w:val="00A820A5"/>
    <w:rsid w:val="00A820E2"/>
    <w:rsid w:val="00A82135"/>
    <w:rsid w:val="00A82376"/>
    <w:rsid w:val="00A82441"/>
    <w:rsid w:val="00A8258D"/>
    <w:rsid w:val="00A82596"/>
    <w:rsid w:val="00A8270D"/>
    <w:rsid w:val="00A828FF"/>
    <w:rsid w:val="00A82ACE"/>
    <w:rsid w:val="00A82BFC"/>
    <w:rsid w:val="00A82E02"/>
    <w:rsid w:val="00A82E64"/>
    <w:rsid w:val="00A82EF8"/>
    <w:rsid w:val="00A832E8"/>
    <w:rsid w:val="00A83341"/>
    <w:rsid w:val="00A83387"/>
    <w:rsid w:val="00A834FE"/>
    <w:rsid w:val="00A8350B"/>
    <w:rsid w:val="00A835EF"/>
    <w:rsid w:val="00A8364D"/>
    <w:rsid w:val="00A83676"/>
    <w:rsid w:val="00A838F3"/>
    <w:rsid w:val="00A839DE"/>
    <w:rsid w:val="00A83CDC"/>
    <w:rsid w:val="00A83D46"/>
    <w:rsid w:val="00A83EDB"/>
    <w:rsid w:val="00A83F65"/>
    <w:rsid w:val="00A83FA9"/>
    <w:rsid w:val="00A8403E"/>
    <w:rsid w:val="00A840B7"/>
    <w:rsid w:val="00A84193"/>
    <w:rsid w:val="00A84205"/>
    <w:rsid w:val="00A8429B"/>
    <w:rsid w:val="00A84373"/>
    <w:rsid w:val="00A843D1"/>
    <w:rsid w:val="00A844DB"/>
    <w:rsid w:val="00A84679"/>
    <w:rsid w:val="00A849D4"/>
    <w:rsid w:val="00A84A16"/>
    <w:rsid w:val="00A84BF4"/>
    <w:rsid w:val="00A84D78"/>
    <w:rsid w:val="00A84E15"/>
    <w:rsid w:val="00A84E2C"/>
    <w:rsid w:val="00A84E74"/>
    <w:rsid w:val="00A8521C"/>
    <w:rsid w:val="00A85395"/>
    <w:rsid w:val="00A853D4"/>
    <w:rsid w:val="00A853F5"/>
    <w:rsid w:val="00A85512"/>
    <w:rsid w:val="00A85641"/>
    <w:rsid w:val="00A85890"/>
    <w:rsid w:val="00A85925"/>
    <w:rsid w:val="00A8594A"/>
    <w:rsid w:val="00A85977"/>
    <w:rsid w:val="00A85B07"/>
    <w:rsid w:val="00A85D09"/>
    <w:rsid w:val="00A85E6E"/>
    <w:rsid w:val="00A85F83"/>
    <w:rsid w:val="00A860E9"/>
    <w:rsid w:val="00A862F2"/>
    <w:rsid w:val="00A8635D"/>
    <w:rsid w:val="00A86379"/>
    <w:rsid w:val="00A8640C"/>
    <w:rsid w:val="00A864E4"/>
    <w:rsid w:val="00A867E8"/>
    <w:rsid w:val="00A8682F"/>
    <w:rsid w:val="00A86875"/>
    <w:rsid w:val="00A86968"/>
    <w:rsid w:val="00A86A4A"/>
    <w:rsid w:val="00A86A86"/>
    <w:rsid w:val="00A86B72"/>
    <w:rsid w:val="00A86C48"/>
    <w:rsid w:val="00A86C84"/>
    <w:rsid w:val="00A86D01"/>
    <w:rsid w:val="00A86EC4"/>
    <w:rsid w:val="00A86F42"/>
    <w:rsid w:val="00A8715C"/>
    <w:rsid w:val="00A87982"/>
    <w:rsid w:val="00A879B4"/>
    <w:rsid w:val="00A87D79"/>
    <w:rsid w:val="00A87E4F"/>
    <w:rsid w:val="00A8CAD1"/>
    <w:rsid w:val="00A8F940"/>
    <w:rsid w:val="00A9000F"/>
    <w:rsid w:val="00A90019"/>
    <w:rsid w:val="00A900AE"/>
    <w:rsid w:val="00A90182"/>
    <w:rsid w:val="00A902B0"/>
    <w:rsid w:val="00A905F7"/>
    <w:rsid w:val="00A90601"/>
    <w:rsid w:val="00A90679"/>
    <w:rsid w:val="00A908DC"/>
    <w:rsid w:val="00A90975"/>
    <w:rsid w:val="00A909F2"/>
    <w:rsid w:val="00A90A02"/>
    <w:rsid w:val="00A90B26"/>
    <w:rsid w:val="00A90B3C"/>
    <w:rsid w:val="00A90D5E"/>
    <w:rsid w:val="00A91072"/>
    <w:rsid w:val="00A91076"/>
    <w:rsid w:val="00A910C6"/>
    <w:rsid w:val="00A9124C"/>
    <w:rsid w:val="00A9125C"/>
    <w:rsid w:val="00A918C5"/>
    <w:rsid w:val="00A919FA"/>
    <w:rsid w:val="00A9221D"/>
    <w:rsid w:val="00A922FB"/>
    <w:rsid w:val="00A92389"/>
    <w:rsid w:val="00A92654"/>
    <w:rsid w:val="00A928A2"/>
    <w:rsid w:val="00A929F7"/>
    <w:rsid w:val="00A92B17"/>
    <w:rsid w:val="00A92BBE"/>
    <w:rsid w:val="00A92BE6"/>
    <w:rsid w:val="00A92EAA"/>
    <w:rsid w:val="00A92F0F"/>
    <w:rsid w:val="00A92FA6"/>
    <w:rsid w:val="00A93028"/>
    <w:rsid w:val="00A93126"/>
    <w:rsid w:val="00A93127"/>
    <w:rsid w:val="00A931B9"/>
    <w:rsid w:val="00A931F8"/>
    <w:rsid w:val="00A9334D"/>
    <w:rsid w:val="00A9345B"/>
    <w:rsid w:val="00A934B6"/>
    <w:rsid w:val="00A93543"/>
    <w:rsid w:val="00A935AC"/>
    <w:rsid w:val="00A93683"/>
    <w:rsid w:val="00A936C4"/>
    <w:rsid w:val="00A937DE"/>
    <w:rsid w:val="00A937FF"/>
    <w:rsid w:val="00A9380B"/>
    <w:rsid w:val="00A938B2"/>
    <w:rsid w:val="00A939CF"/>
    <w:rsid w:val="00A93C67"/>
    <w:rsid w:val="00A93C75"/>
    <w:rsid w:val="00A93FFC"/>
    <w:rsid w:val="00A94231"/>
    <w:rsid w:val="00A9449A"/>
    <w:rsid w:val="00A9484D"/>
    <w:rsid w:val="00A94905"/>
    <w:rsid w:val="00A9496A"/>
    <w:rsid w:val="00A94A76"/>
    <w:rsid w:val="00A94AB7"/>
    <w:rsid w:val="00A94B19"/>
    <w:rsid w:val="00A94E36"/>
    <w:rsid w:val="00A94F34"/>
    <w:rsid w:val="00A94F72"/>
    <w:rsid w:val="00A953A4"/>
    <w:rsid w:val="00A956DA"/>
    <w:rsid w:val="00A957AF"/>
    <w:rsid w:val="00A958B9"/>
    <w:rsid w:val="00A958BB"/>
    <w:rsid w:val="00A95912"/>
    <w:rsid w:val="00A959AF"/>
    <w:rsid w:val="00A95A56"/>
    <w:rsid w:val="00A95A91"/>
    <w:rsid w:val="00A95C93"/>
    <w:rsid w:val="00A95D2F"/>
    <w:rsid w:val="00A95D9E"/>
    <w:rsid w:val="00A95E79"/>
    <w:rsid w:val="00A95EAC"/>
    <w:rsid w:val="00A961D6"/>
    <w:rsid w:val="00A96399"/>
    <w:rsid w:val="00A963B3"/>
    <w:rsid w:val="00A9647E"/>
    <w:rsid w:val="00A966F4"/>
    <w:rsid w:val="00A967DF"/>
    <w:rsid w:val="00A968AD"/>
    <w:rsid w:val="00A968FA"/>
    <w:rsid w:val="00A96990"/>
    <w:rsid w:val="00A96BAC"/>
    <w:rsid w:val="00A96C8B"/>
    <w:rsid w:val="00A96E20"/>
    <w:rsid w:val="00A96F3F"/>
    <w:rsid w:val="00A970BD"/>
    <w:rsid w:val="00A9727F"/>
    <w:rsid w:val="00A97345"/>
    <w:rsid w:val="00A973BE"/>
    <w:rsid w:val="00A973D7"/>
    <w:rsid w:val="00A97498"/>
    <w:rsid w:val="00A974E3"/>
    <w:rsid w:val="00A976B0"/>
    <w:rsid w:val="00A977ED"/>
    <w:rsid w:val="00A9784A"/>
    <w:rsid w:val="00A978FA"/>
    <w:rsid w:val="00A97B18"/>
    <w:rsid w:val="00A97B5B"/>
    <w:rsid w:val="00A97C39"/>
    <w:rsid w:val="00A97F21"/>
    <w:rsid w:val="00A97F81"/>
    <w:rsid w:val="00A9D202"/>
    <w:rsid w:val="00AA02AD"/>
    <w:rsid w:val="00AA047A"/>
    <w:rsid w:val="00AA04D8"/>
    <w:rsid w:val="00AA069E"/>
    <w:rsid w:val="00AA06AD"/>
    <w:rsid w:val="00AA07B1"/>
    <w:rsid w:val="00AA083B"/>
    <w:rsid w:val="00AA084C"/>
    <w:rsid w:val="00AA0B7F"/>
    <w:rsid w:val="00AA0BF2"/>
    <w:rsid w:val="00AA0C54"/>
    <w:rsid w:val="00AA0CD9"/>
    <w:rsid w:val="00AA0D5B"/>
    <w:rsid w:val="00AA0DDE"/>
    <w:rsid w:val="00AA0F31"/>
    <w:rsid w:val="00AA12B0"/>
    <w:rsid w:val="00AA13CD"/>
    <w:rsid w:val="00AA1595"/>
    <w:rsid w:val="00AA168C"/>
    <w:rsid w:val="00AA1793"/>
    <w:rsid w:val="00AA17CF"/>
    <w:rsid w:val="00AA18B4"/>
    <w:rsid w:val="00AA19AF"/>
    <w:rsid w:val="00AA19F6"/>
    <w:rsid w:val="00AA19FB"/>
    <w:rsid w:val="00AA1A0E"/>
    <w:rsid w:val="00AA1AC1"/>
    <w:rsid w:val="00AA1D4D"/>
    <w:rsid w:val="00AA1E58"/>
    <w:rsid w:val="00AA1F7E"/>
    <w:rsid w:val="00AA20C9"/>
    <w:rsid w:val="00AA2156"/>
    <w:rsid w:val="00AA247F"/>
    <w:rsid w:val="00AA26D1"/>
    <w:rsid w:val="00AA26DD"/>
    <w:rsid w:val="00AA27C7"/>
    <w:rsid w:val="00AA28F3"/>
    <w:rsid w:val="00AA29BA"/>
    <w:rsid w:val="00AA2B10"/>
    <w:rsid w:val="00AA2CAB"/>
    <w:rsid w:val="00AA307D"/>
    <w:rsid w:val="00AA30BE"/>
    <w:rsid w:val="00AA30F9"/>
    <w:rsid w:val="00AA32D6"/>
    <w:rsid w:val="00AA34F8"/>
    <w:rsid w:val="00AA3612"/>
    <w:rsid w:val="00AA371A"/>
    <w:rsid w:val="00AA3A7D"/>
    <w:rsid w:val="00AA3BA8"/>
    <w:rsid w:val="00AA3E10"/>
    <w:rsid w:val="00AA3F35"/>
    <w:rsid w:val="00AA3F4B"/>
    <w:rsid w:val="00AA3FB3"/>
    <w:rsid w:val="00AA41CB"/>
    <w:rsid w:val="00AA42FB"/>
    <w:rsid w:val="00AA43FA"/>
    <w:rsid w:val="00AA44D4"/>
    <w:rsid w:val="00AA4661"/>
    <w:rsid w:val="00AA4862"/>
    <w:rsid w:val="00AA49EE"/>
    <w:rsid w:val="00AA49F1"/>
    <w:rsid w:val="00AA4A5E"/>
    <w:rsid w:val="00AA4A88"/>
    <w:rsid w:val="00AA4D8C"/>
    <w:rsid w:val="00AA4DCB"/>
    <w:rsid w:val="00AA505E"/>
    <w:rsid w:val="00AA510E"/>
    <w:rsid w:val="00AA5161"/>
    <w:rsid w:val="00AA51D4"/>
    <w:rsid w:val="00AA51EA"/>
    <w:rsid w:val="00AA52EE"/>
    <w:rsid w:val="00AA55DC"/>
    <w:rsid w:val="00AA560C"/>
    <w:rsid w:val="00AA5667"/>
    <w:rsid w:val="00AA56BC"/>
    <w:rsid w:val="00AA5717"/>
    <w:rsid w:val="00AA5814"/>
    <w:rsid w:val="00AA59B9"/>
    <w:rsid w:val="00AA5A8F"/>
    <w:rsid w:val="00AA5E9E"/>
    <w:rsid w:val="00AA604C"/>
    <w:rsid w:val="00AA6105"/>
    <w:rsid w:val="00AA61AF"/>
    <w:rsid w:val="00AA6265"/>
    <w:rsid w:val="00AA6287"/>
    <w:rsid w:val="00AA6428"/>
    <w:rsid w:val="00AA6479"/>
    <w:rsid w:val="00AA64FB"/>
    <w:rsid w:val="00AA6826"/>
    <w:rsid w:val="00AA68F4"/>
    <w:rsid w:val="00AA6D13"/>
    <w:rsid w:val="00AA6DE4"/>
    <w:rsid w:val="00AA72D2"/>
    <w:rsid w:val="00AA72D7"/>
    <w:rsid w:val="00AA73BA"/>
    <w:rsid w:val="00AA750F"/>
    <w:rsid w:val="00AA7661"/>
    <w:rsid w:val="00AA7912"/>
    <w:rsid w:val="00AA7A9C"/>
    <w:rsid w:val="00AA7EE1"/>
    <w:rsid w:val="00AA7F4C"/>
    <w:rsid w:val="00AB011D"/>
    <w:rsid w:val="00AB036A"/>
    <w:rsid w:val="00AB03A3"/>
    <w:rsid w:val="00AB0658"/>
    <w:rsid w:val="00AB066F"/>
    <w:rsid w:val="00AB076E"/>
    <w:rsid w:val="00AB0813"/>
    <w:rsid w:val="00AB083B"/>
    <w:rsid w:val="00AB09B6"/>
    <w:rsid w:val="00AB0A00"/>
    <w:rsid w:val="00AB0A54"/>
    <w:rsid w:val="00AB0A6D"/>
    <w:rsid w:val="00AB0A82"/>
    <w:rsid w:val="00AB0D69"/>
    <w:rsid w:val="00AB0D97"/>
    <w:rsid w:val="00AB0F2F"/>
    <w:rsid w:val="00AB0FC4"/>
    <w:rsid w:val="00AB1227"/>
    <w:rsid w:val="00AB1351"/>
    <w:rsid w:val="00AB140C"/>
    <w:rsid w:val="00AB142C"/>
    <w:rsid w:val="00AB1636"/>
    <w:rsid w:val="00AB1689"/>
    <w:rsid w:val="00AB1B89"/>
    <w:rsid w:val="00AB1BCE"/>
    <w:rsid w:val="00AB1E0E"/>
    <w:rsid w:val="00AB1ED5"/>
    <w:rsid w:val="00AB211E"/>
    <w:rsid w:val="00AB220E"/>
    <w:rsid w:val="00AB22B6"/>
    <w:rsid w:val="00AB2321"/>
    <w:rsid w:val="00AB2739"/>
    <w:rsid w:val="00AB277C"/>
    <w:rsid w:val="00AB2804"/>
    <w:rsid w:val="00AB299E"/>
    <w:rsid w:val="00AB29AD"/>
    <w:rsid w:val="00AB2AA5"/>
    <w:rsid w:val="00AB2BA2"/>
    <w:rsid w:val="00AB2C45"/>
    <w:rsid w:val="00AB2C8E"/>
    <w:rsid w:val="00AB2EA9"/>
    <w:rsid w:val="00AB2EDD"/>
    <w:rsid w:val="00AB2F54"/>
    <w:rsid w:val="00AB3381"/>
    <w:rsid w:val="00AB340C"/>
    <w:rsid w:val="00AB3462"/>
    <w:rsid w:val="00AB383E"/>
    <w:rsid w:val="00AB3847"/>
    <w:rsid w:val="00AB3891"/>
    <w:rsid w:val="00AB399E"/>
    <w:rsid w:val="00AB3A4A"/>
    <w:rsid w:val="00AB3C49"/>
    <w:rsid w:val="00AB3F84"/>
    <w:rsid w:val="00AB4122"/>
    <w:rsid w:val="00AB417C"/>
    <w:rsid w:val="00AB41C0"/>
    <w:rsid w:val="00AB420F"/>
    <w:rsid w:val="00AB428A"/>
    <w:rsid w:val="00AB4411"/>
    <w:rsid w:val="00AB44A3"/>
    <w:rsid w:val="00AB44B2"/>
    <w:rsid w:val="00AB4521"/>
    <w:rsid w:val="00AB4543"/>
    <w:rsid w:val="00AB47BB"/>
    <w:rsid w:val="00AB4A07"/>
    <w:rsid w:val="00AB4A55"/>
    <w:rsid w:val="00AB4BCA"/>
    <w:rsid w:val="00AB4D06"/>
    <w:rsid w:val="00AB4D29"/>
    <w:rsid w:val="00AB4E26"/>
    <w:rsid w:val="00AB4ED1"/>
    <w:rsid w:val="00AB4F89"/>
    <w:rsid w:val="00AB500A"/>
    <w:rsid w:val="00AB50E8"/>
    <w:rsid w:val="00AB535A"/>
    <w:rsid w:val="00AB5393"/>
    <w:rsid w:val="00AB53BA"/>
    <w:rsid w:val="00AB55E9"/>
    <w:rsid w:val="00AB56E3"/>
    <w:rsid w:val="00AB5792"/>
    <w:rsid w:val="00AB57F3"/>
    <w:rsid w:val="00AB586D"/>
    <w:rsid w:val="00AB5A28"/>
    <w:rsid w:val="00AB5A31"/>
    <w:rsid w:val="00AB5B23"/>
    <w:rsid w:val="00AB5D34"/>
    <w:rsid w:val="00AB5D48"/>
    <w:rsid w:val="00AB5DB8"/>
    <w:rsid w:val="00AB603D"/>
    <w:rsid w:val="00AB6205"/>
    <w:rsid w:val="00AB62BB"/>
    <w:rsid w:val="00AB6469"/>
    <w:rsid w:val="00AB666F"/>
    <w:rsid w:val="00AB66EC"/>
    <w:rsid w:val="00AB678C"/>
    <w:rsid w:val="00AB67AF"/>
    <w:rsid w:val="00AB699E"/>
    <w:rsid w:val="00AB6A24"/>
    <w:rsid w:val="00AB6BB3"/>
    <w:rsid w:val="00AB6CCA"/>
    <w:rsid w:val="00AB6F5A"/>
    <w:rsid w:val="00AB70FE"/>
    <w:rsid w:val="00AB7136"/>
    <w:rsid w:val="00AB7377"/>
    <w:rsid w:val="00AB76AE"/>
    <w:rsid w:val="00AB79DD"/>
    <w:rsid w:val="00AB7AE0"/>
    <w:rsid w:val="00AB7B0B"/>
    <w:rsid w:val="00AB7B24"/>
    <w:rsid w:val="00AB7E1C"/>
    <w:rsid w:val="00AC0111"/>
    <w:rsid w:val="00AC04AC"/>
    <w:rsid w:val="00AC06A0"/>
    <w:rsid w:val="00AC0723"/>
    <w:rsid w:val="00AC084D"/>
    <w:rsid w:val="00AC09BB"/>
    <w:rsid w:val="00AC0A5C"/>
    <w:rsid w:val="00AC0DAE"/>
    <w:rsid w:val="00AC0E49"/>
    <w:rsid w:val="00AC0E73"/>
    <w:rsid w:val="00AC0EA7"/>
    <w:rsid w:val="00AC0F2F"/>
    <w:rsid w:val="00AC11B8"/>
    <w:rsid w:val="00AC11D2"/>
    <w:rsid w:val="00AC1363"/>
    <w:rsid w:val="00AC14A2"/>
    <w:rsid w:val="00AC1BA6"/>
    <w:rsid w:val="00AC1C23"/>
    <w:rsid w:val="00AC1C40"/>
    <w:rsid w:val="00AC1DCB"/>
    <w:rsid w:val="00AC2225"/>
    <w:rsid w:val="00AC25D8"/>
    <w:rsid w:val="00AC27A1"/>
    <w:rsid w:val="00AC2982"/>
    <w:rsid w:val="00AC2BDB"/>
    <w:rsid w:val="00AC2BE7"/>
    <w:rsid w:val="00AC2DCE"/>
    <w:rsid w:val="00AC2ED0"/>
    <w:rsid w:val="00AC352A"/>
    <w:rsid w:val="00AC358C"/>
    <w:rsid w:val="00AC3637"/>
    <w:rsid w:val="00AC39E2"/>
    <w:rsid w:val="00AC3A55"/>
    <w:rsid w:val="00AC3B3D"/>
    <w:rsid w:val="00AC3C38"/>
    <w:rsid w:val="00AC3D5E"/>
    <w:rsid w:val="00AC3E5D"/>
    <w:rsid w:val="00AC4200"/>
    <w:rsid w:val="00AC4228"/>
    <w:rsid w:val="00AC42BC"/>
    <w:rsid w:val="00AC42D9"/>
    <w:rsid w:val="00AC4300"/>
    <w:rsid w:val="00AC475A"/>
    <w:rsid w:val="00AC48DE"/>
    <w:rsid w:val="00AC4BA7"/>
    <w:rsid w:val="00AC4BAC"/>
    <w:rsid w:val="00AC4C4C"/>
    <w:rsid w:val="00AC4DF8"/>
    <w:rsid w:val="00AC4EBC"/>
    <w:rsid w:val="00AC4F56"/>
    <w:rsid w:val="00AC4FBF"/>
    <w:rsid w:val="00AC4FC1"/>
    <w:rsid w:val="00AC5061"/>
    <w:rsid w:val="00AC50D9"/>
    <w:rsid w:val="00AC5143"/>
    <w:rsid w:val="00AC514E"/>
    <w:rsid w:val="00AC5308"/>
    <w:rsid w:val="00AC57BF"/>
    <w:rsid w:val="00AC582F"/>
    <w:rsid w:val="00AC594E"/>
    <w:rsid w:val="00AC5AC1"/>
    <w:rsid w:val="00AC5ADD"/>
    <w:rsid w:val="00AC5C11"/>
    <w:rsid w:val="00AC5C34"/>
    <w:rsid w:val="00AC5CB7"/>
    <w:rsid w:val="00AC5FE5"/>
    <w:rsid w:val="00AC61BE"/>
    <w:rsid w:val="00AC61EA"/>
    <w:rsid w:val="00AC61F9"/>
    <w:rsid w:val="00AC620B"/>
    <w:rsid w:val="00AC62FC"/>
    <w:rsid w:val="00AC630E"/>
    <w:rsid w:val="00AC63C3"/>
    <w:rsid w:val="00AC65D3"/>
    <w:rsid w:val="00AC6679"/>
    <w:rsid w:val="00AC67D1"/>
    <w:rsid w:val="00AC69EE"/>
    <w:rsid w:val="00AC6A82"/>
    <w:rsid w:val="00AC6CD1"/>
    <w:rsid w:val="00AC6E35"/>
    <w:rsid w:val="00AC6F9E"/>
    <w:rsid w:val="00AC70CE"/>
    <w:rsid w:val="00AC71F7"/>
    <w:rsid w:val="00AC75C3"/>
    <w:rsid w:val="00AC75EE"/>
    <w:rsid w:val="00AC7631"/>
    <w:rsid w:val="00AC788E"/>
    <w:rsid w:val="00AC7896"/>
    <w:rsid w:val="00AC7A6C"/>
    <w:rsid w:val="00AC7B6A"/>
    <w:rsid w:val="00AC7C44"/>
    <w:rsid w:val="00AC7C77"/>
    <w:rsid w:val="00AC7E35"/>
    <w:rsid w:val="00AC7F0C"/>
    <w:rsid w:val="00AC7F31"/>
    <w:rsid w:val="00AC7F91"/>
    <w:rsid w:val="00AD00D3"/>
    <w:rsid w:val="00AD015B"/>
    <w:rsid w:val="00AD0232"/>
    <w:rsid w:val="00AD026D"/>
    <w:rsid w:val="00AD027E"/>
    <w:rsid w:val="00AD0325"/>
    <w:rsid w:val="00AD075F"/>
    <w:rsid w:val="00AD08EB"/>
    <w:rsid w:val="00AD09B3"/>
    <w:rsid w:val="00AD0A19"/>
    <w:rsid w:val="00AD0B23"/>
    <w:rsid w:val="00AD1208"/>
    <w:rsid w:val="00AD121C"/>
    <w:rsid w:val="00AD1294"/>
    <w:rsid w:val="00AD1428"/>
    <w:rsid w:val="00AD1495"/>
    <w:rsid w:val="00AD14A6"/>
    <w:rsid w:val="00AD17C1"/>
    <w:rsid w:val="00AD1B51"/>
    <w:rsid w:val="00AD1C4C"/>
    <w:rsid w:val="00AD1CB1"/>
    <w:rsid w:val="00AD1DDB"/>
    <w:rsid w:val="00AD1E03"/>
    <w:rsid w:val="00AD1E8E"/>
    <w:rsid w:val="00AD1E99"/>
    <w:rsid w:val="00AD2043"/>
    <w:rsid w:val="00AD23E4"/>
    <w:rsid w:val="00AD250B"/>
    <w:rsid w:val="00AD25C5"/>
    <w:rsid w:val="00AD2754"/>
    <w:rsid w:val="00AD2769"/>
    <w:rsid w:val="00AD2886"/>
    <w:rsid w:val="00AD2A9D"/>
    <w:rsid w:val="00AD2C2A"/>
    <w:rsid w:val="00AD2E54"/>
    <w:rsid w:val="00AD33D1"/>
    <w:rsid w:val="00AD354D"/>
    <w:rsid w:val="00AD35BD"/>
    <w:rsid w:val="00AD3814"/>
    <w:rsid w:val="00AD3A8E"/>
    <w:rsid w:val="00AD3F30"/>
    <w:rsid w:val="00AD3F53"/>
    <w:rsid w:val="00AD3F55"/>
    <w:rsid w:val="00AD42AF"/>
    <w:rsid w:val="00AD4326"/>
    <w:rsid w:val="00AD432B"/>
    <w:rsid w:val="00AD4344"/>
    <w:rsid w:val="00AD45AE"/>
    <w:rsid w:val="00AD45CD"/>
    <w:rsid w:val="00AD4618"/>
    <w:rsid w:val="00AD47A9"/>
    <w:rsid w:val="00AD47B7"/>
    <w:rsid w:val="00AD497E"/>
    <w:rsid w:val="00AD4A83"/>
    <w:rsid w:val="00AD4AC6"/>
    <w:rsid w:val="00AD4D9F"/>
    <w:rsid w:val="00AD4EBA"/>
    <w:rsid w:val="00AD4EED"/>
    <w:rsid w:val="00AD4F90"/>
    <w:rsid w:val="00AD5346"/>
    <w:rsid w:val="00AD535A"/>
    <w:rsid w:val="00AD5367"/>
    <w:rsid w:val="00AD56F1"/>
    <w:rsid w:val="00AD59E8"/>
    <w:rsid w:val="00AD5A09"/>
    <w:rsid w:val="00AD5A4D"/>
    <w:rsid w:val="00AD5ACB"/>
    <w:rsid w:val="00AD5B22"/>
    <w:rsid w:val="00AD5B94"/>
    <w:rsid w:val="00AD5C3C"/>
    <w:rsid w:val="00AD5CF4"/>
    <w:rsid w:val="00AD5D51"/>
    <w:rsid w:val="00AD6086"/>
    <w:rsid w:val="00AD6214"/>
    <w:rsid w:val="00AD6270"/>
    <w:rsid w:val="00AD63AE"/>
    <w:rsid w:val="00AD66C9"/>
    <w:rsid w:val="00AD67E3"/>
    <w:rsid w:val="00AD689B"/>
    <w:rsid w:val="00AD68CB"/>
    <w:rsid w:val="00AD69B5"/>
    <w:rsid w:val="00AD6B68"/>
    <w:rsid w:val="00AD6F2F"/>
    <w:rsid w:val="00AD6FC8"/>
    <w:rsid w:val="00AD701F"/>
    <w:rsid w:val="00AD70BE"/>
    <w:rsid w:val="00AD719C"/>
    <w:rsid w:val="00AD7243"/>
    <w:rsid w:val="00AD7371"/>
    <w:rsid w:val="00AD7479"/>
    <w:rsid w:val="00AD74A2"/>
    <w:rsid w:val="00AD76CA"/>
    <w:rsid w:val="00AD7723"/>
    <w:rsid w:val="00AD78CA"/>
    <w:rsid w:val="00AD795D"/>
    <w:rsid w:val="00AD7FE3"/>
    <w:rsid w:val="00AE0129"/>
    <w:rsid w:val="00AE02D8"/>
    <w:rsid w:val="00AE0A12"/>
    <w:rsid w:val="00AE0BF2"/>
    <w:rsid w:val="00AE0CFC"/>
    <w:rsid w:val="00AE0D99"/>
    <w:rsid w:val="00AE10AF"/>
    <w:rsid w:val="00AE121E"/>
    <w:rsid w:val="00AE14A8"/>
    <w:rsid w:val="00AE14C3"/>
    <w:rsid w:val="00AE1542"/>
    <w:rsid w:val="00AE1A35"/>
    <w:rsid w:val="00AE1A53"/>
    <w:rsid w:val="00AE1AF1"/>
    <w:rsid w:val="00AE1C8B"/>
    <w:rsid w:val="00AE1E62"/>
    <w:rsid w:val="00AE1FCA"/>
    <w:rsid w:val="00AE20CE"/>
    <w:rsid w:val="00AE224B"/>
    <w:rsid w:val="00AE22F9"/>
    <w:rsid w:val="00AE237B"/>
    <w:rsid w:val="00AE24C0"/>
    <w:rsid w:val="00AE2770"/>
    <w:rsid w:val="00AE27CF"/>
    <w:rsid w:val="00AE2C23"/>
    <w:rsid w:val="00AE2DB9"/>
    <w:rsid w:val="00AE2F88"/>
    <w:rsid w:val="00AE3170"/>
    <w:rsid w:val="00AE3298"/>
    <w:rsid w:val="00AE33E3"/>
    <w:rsid w:val="00AE3464"/>
    <w:rsid w:val="00AE3500"/>
    <w:rsid w:val="00AE3560"/>
    <w:rsid w:val="00AE3573"/>
    <w:rsid w:val="00AE363D"/>
    <w:rsid w:val="00AE376F"/>
    <w:rsid w:val="00AE3771"/>
    <w:rsid w:val="00AE37D7"/>
    <w:rsid w:val="00AE3818"/>
    <w:rsid w:val="00AE3871"/>
    <w:rsid w:val="00AE39CE"/>
    <w:rsid w:val="00AE3B05"/>
    <w:rsid w:val="00AE3BA1"/>
    <w:rsid w:val="00AE3BFD"/>
    <w:rsid w:val="00AE3CFB"/>
    <w:rsid w:val="00AE3FAF"/>
    <w:rsid w:val="00AE4048"/>
    <w:rsid w:val="00AE4224"/>
    <w:rsid w:val="00AE422C"/>
    <w:rsid w:val="00AE426A"/>
    <w:rsid w:val="00AE4282"/>
    <w:rsid w:val="00AE4285"/>
    <w:rsid w:val="00AE4450"/>
    <w:rsid w:val="00AE44E7"/>
    <w:rsid w:val="00AE44F1"/>
    <w:rsid w:val="00AE45F8"/>
    <w:rsid w:val="00AE4620"/>
    <w:rsid w:val="00AE4682"/>
    <w:rsid w:val="00AE4763"/>
    <w:rsid w:val="00AE4866"/>
    <w:rsid w:val="00AE49BF"/>
    <w:rsid w:val="00AE4C86"/>
    <w:rsid w:val="00AE4D51"/>
    <w:rsid w:val="00AE4D97"/>
    <w:rsid w:val="00AE4E5B"/>
    <w:rsid w:val="00AE5096"/>
    <w:rsid w:val="00AE509D"/>
    <w:rsid w:val="00AE51ED"/>
    <w:rsid w:val="00AE52B4"/>
    <w:rsid w:val="00AE554A"/>
    <w:rsid w:val="00AE570B"/>
    <w:rsid w:val="00AE5741"/>
    <w:rsid w:val="00AE5F8F"/>
    <w:rsid w:val="00AE617B"/>
    <w:rsid w:val="00AE61B4"/>
    <w:rsid w:val="00AE61BE"/>
    <w:rsid w:val="00AE627F"/>
    <w:rsid w:val="00AE6393"/>
    <w:rsid w:val="00AE6451"/>
    <w:rsid w:val="00AE6812"/>
    <w:rsid w:val="00AE68F9"/>
    <w:rsid w:val="00AE6950"/>
    <w:rsid w:val="00AE69D9"/>
    <w:rsid w:val="00AE6C15"/>
    <w:rsid w:val="00AE6D0F"/>
    <w:rsid w:val="00AE6E04"/>
    <w:rsid w:val="00AE70D0"/>
    <w:rsid w:val="00AE71A0"/>
    <w:rsid w:val="00AE71B4"/>
    <w:rsid w:val="00AE75EC"/>
    <w:rsid w:val="00AE763A"/>
    <w:rsid w:val="00AE78E0"/>
    <w:rsid w:val="00AE7914"/>
    <w:rsid w:val="00AE7A52"/>
    <w:rsid w:val="00AE7C6F"/>
    <w:rsid w:val="00AE7CB1"/>
    <w:rsid w:val="00AE7EBE"/>
    <w:rsid w:val="00AE7ED1"/>
    <w:rsid w:val="00AE7F10"/>
    <w:rsid w:val="00AF0269"/>
    <w:rsid w:val="00AF03E9"/>
    <w:rsid w:val="00AF03EE"/>
    <w:rsid w:val="00AF0493"/>
    <w:rsid w:val="00AF07A8"/>
    <w:rsid w:val="00AF0841"/>
    <w:rsid w:val="00AF0854"/>
    <w:rsid w:val="00AF090A"/>
    <w:rsid w:val="00AF0C6F"/>
    <w:rsid w:val="00AF0C91"/>
    <w:rsid w:val="00AF0E28"/>
    <w:rsid w:val="00AF0EED"/>
    <w:rsid w:val="00AF10BF"/>
    <w:rsid w:val="00AF10F5"/>
    <w:rsid w:val="00AF154F"/>
    <w:rsid w:val="00AF1663"/>
    <w:rsid w:val="00AF1CC7"/>
    <w:rsid w:val="00AF1D6C"/>
    <w:rsid w:val="00AF1E4C"/>
    <w:rsid w:val="00AF1F77"/>
    <w:rsid w:val="00AF2103"/>
    <w:rsid w:val="00AF22E8"/>
    <w:rsid w:val="00AF2399"/>
    <w:rsid w:val="00AF24CC"/>
    <w:rsid w:val="00AF267F"/>
    <w:rsid w:val="00AF29CC"/>
    <w:rsid w:val="00AF2A58"/>
    <w:rsid w:val="00AF2A6F"/>
    <w:rsid w:val="00AF2CF5"/>
    <w:rsid w:val="00AF2D5E"/>
    <w:rsid w:val="00AF2DD5"/>
    <w:rsid w:val="00AF2E2E"/>
    <w:rsid w:val="00AF2E69"/>
    <w:rsid w:val="00AF3161"/>
    <w:rsid w:val="00AF3407"/>
    <w:rsid w:val="00AF34C1"/>
    <w:rsid w:val="00AF3540"/>
    <w:rsid w:val="00AF36FE"/>
    <w:rsid w:val="00AF37B5"/>
    <w:rsid w:val="00AF38D8"/>
    <w:rsid w:val="00AF3AE9"/>
    <w:rsid w:val="00AF3C6D"/>
    <w:rsid w:val="00AF3D5E"/>
    <w:rsid w:val="00AF418D"/>
    <w:rsid w:val="00AF4296"/>
    <w:rsid w:val="00AF4C60"/>
    <w:rsid w:val="00AF4D78"/>
    <w:rsid w:val="00AF4FA8"/>
    <w:rsid w:val="00AF5183"/>
    <w:rsid w:val="00AF54CC"/>
    <w:rsid w:val="00AF5635"/>
    <w:rsid w:val="00AF56DC"/>
    <w:rsid w:val="00AF5831"/>
    <w:rsid w:val="00AF58C8"/>
    <w:rsid w:val="00AF5905"/>
    <w:rsid w:val="00AF59BD"/>
    <w:rsid w:val="00AF59C8"/>
    <w:rsid w:val="00AF5A32"/>
    <w:rsid w:val="00AF5A6F"/>
    <w:rsid w:val="00AF5AAB"/>
    <w:rsid w:val="00AF5B71"/>
    <w:rsid w:val="00AF5D77"/>
    <w:rsid w:val="00AF5EFB"/>
    <w:rsid w:val="00AF5FE3"/>
    <w:rsid w:val="00AF5FFB"/>
    <w:rsid w:val="00AF60D5"/>
    <w:rsid w:val="00AF611D"/>
    <w:rsid w:val="00AF627C"/>
    <w:rsid w:val="00AF62A3"/>
    <w:rsid w:val="00AF643C"/>
    <w:rsid w:val="00AF644E"/>
    <w:rsid w:val="00AF6492"/>
    <w:rsid w:val="00AF64FA"/>
    <w:rsid w:val="00AF6711"/>
    <w:rsid w:val="00AF67D7"/>
    <w:rsid w:val="00AF6A3B"/>
    <w:rsid w:val="00AF6D1E"/>
    <w:rsid w:val="00AF6D50"/>
    <w:rsid w:val="00AF6D93"/>
    <w:rsid w:val="00AF6E4D"/>
    <w:rsid w:val="00AF6F7E"/>
    <w:rsid w:val="00AF706E"/>
    <w:rsid w:val="00AF70C5"/>
    <w:rsid w:val="00AF70E5"/>
    <w:rsid w:val="00AF722F"/>
    <w:rsid w:val="00AF736F"/>
    <w:rsid w:val="00AF759C"/>
    <w:rsid w:val="00AF7A29"/>
    <w:rsid w:val="00AF7DA3"/>
    <w:rsid w:val="00AF7F21"/>
    <w:rsid w:val="00AF7F41"/>
    <w:rsid w:val="00AFE667"/>
    <w:rsid w:val="00B0035E"/>
    <w:rsid w:val="00B00639"/>
    <w:rsid w:val="00B00649"/>
    <w:rsid w:val="00B00679"/>
    <w:rsid w:val="00B00709"/>
    <w:rsid w:val="00B0091C"/>
    <w:rsid w:val="00B00DEF"/>
    <w:rsid w:val="00B0124A"/>
    <w:rsid w:val="00B01375"/>
    <w:rsid w:val="00B014BD"/>
    <w:rsid w:val="00B0171A"/>
    <w:rsid w:val="00B018A7"/>
    <w:rsid w:val="00B019B0"/>
    <w:rsid w:val="00B01BA7"/>
    <w:rsid w:val="00B01C47"/>
    <w:rsid w:val="00B01C4E"/>
    <w:rsid w:val="00B01DF8"/>
    <w:rsid w:val="00B02009"/>
    <w:rsid w:val="00B0236A"/>
    <w:rsid w:val="00B02769"/>
    <w:rsid w:val="00B02B0F"/>
    <w:rsid w:val="00B02D06"/>
    <w:rsid w:val="00B02F4E"/>
    <w:rsid w:val="00B03102"/>
    <w:rsid w:val="00B0326C"/>
    <w:rsid w:val="00B03325"/>
    <w:rsid w:val="00B03374"/>
    <w:rsid w:val="00B033C3"/>
    <w:rsid w:val="00B03829"/>
    <w:rsid w:val="00B0384B"/>
    <w:rsid w:val="00B03991"/>
    <w:rsid w:val="00B03A8E"/>
    <w:rsid w:val="00B03E72"/>
    <w:rsid w:val="00B0403B"/>
    <w:rsid w:val="00B040FD"/>
    <w:rsid w:val="00B0428D"/>
    <w:rsid w:val="00B0431E"/>
    <w:rsid w:val="00B04533"/>
    <w:rsid w:val="00B045B4"/>
    <w:rsid w:val="00B04757"/>
    <w:rsid w:val="00B04A97"/>
    <w:rsid w:val="00B04ADE"/>
    <w:rsid w:val="00B04C25"/>
    <w:rsid w:val="00B04E19"/>
    <w:rsid w:val="00B04FC6"/>
    <w:rsid w:val="00B051B8"/>
    <w:rsid w:val="00B0525A"/>
    <w:rsid w:val="00B05455"/>
    <w:rsid w:val="00B05516"/>
    <w:rsid w:val="00B05543"/>
    <w:rsid w:val="00B05D20"/>
    <w:rsid w:val="00B05D59"/>
    <w:rsid w:val="00B05D8D"/>
    <w:rsid w:val="00B05FD8"/>
    <w:rsid w:val="00B05FFD"/>
    <w:rsid w:val="00B06022"/>
    <w:rsid w:val="00B060A8"/>
    <w:rsid w:val="00B06101"/>
    <w:rsid w:val="00B06225"/>
    <w:rsid w:val="00B062C5"/>
    <w:rsid w:val="00B06661"/>
    <w:rsid w:val="00B066C5"/>
    <w:rsid w:val="00B06826"/>
    <w:rsid w:val="00B06951"/>
    <w:rsid w:val="00B06EE7"/>
    <w:rsid w:val="00B07181"/>
    <w:rsid w:val="00B0734A"/>
    <w:rsid w:val="00B0757A"/>
    <w:rsid w:val="00B07853"/>
    <w:rsid w:val="00B07917"/>
    <w:rsid w:val="00B07D7B"/>
    <w:rsid w:val="00B100FA"/>
    <w:rsid w:val="00B10295"/>
    <w:rsid w:val="00B1032D"/>
    <w:rsid w:val="00B1033E"/>
    <w:rsid w:val="00B10714"/>
    <w:rsid w:val="00B108CF"/>
    <w:rsid w:val="00B1096F"/>
    <w:rsid w:val="00B10A33"/>
    <w:rsid w:val="00B10A7F"/>
    <w:rsid w:val="00B10AF4"/>
    <w:rsid w:val="00B10D97"/>
    <w:rsid w:val="00B10F78"/>
    <w:rsid w:val="00B10F7F"/>
    <w:rsid w:val="00B1104B"/>
    <w:rsid w:val="00B1112E"/>
    <w:rsid w:val="00B11192"/>
    <w:rsid w:val="00B111C1"/>
    <w:rsid w:val="00B113B2"/>
    <w:rsid w:val="00B114D0"/>
    <w:rsid w:val="00B115EB"/>
    <w:rsid w:val="00B11618"/>
    <w:rsid w:val="00B116CB"/>
    <w:rsid w:val="00B1185F"/>
    <w:rsid w:val="00B11897"/>
    <w:rsid w:val="00B1190A"/>
    <w:rsid w:val="00B119A1"/>
    <w:rsid w:val="00B11A08"/>
    <w:rsid w:val="00B11A78"/>
    <w:rsid w:val="00B11ACD"/>
    <w:rsid w:val="00B11BDD"/>
    <w:rsid w:val="00B11BF2"/>
    <w:rsid w:val="00B11C5E"/>
    <w:rsid w:val="00B11DF9"/>
    <w:rsid w:val="00B11E5E"/>
    <w:rsid w:val="00B11EF0"/>
    <w:rsid w:val="00B11FD7"/>
    <w:rsid w:val="00B1210B"/>
    <w:rsid w:val="00B12299"/>
    <w:rsid w:val="00B122C0"/>
    <w:rsid w:val="00B12514"/>
    <w:rsid w:val="00B12529"/>
    <w:rsid w:val="00B126AB"/>
    <w:rsid w:val="00B126E3"/>
    <w:rsid w:val="00B1277F"/>
    <w:rsid w:val="00B1281B"/>
    <w:rsid w:val="00B12875"/>
    <w:rsid w:val="00B128A2"/>
    <w:rsid w:val="00B12A55"/>
    <w:rsid w:val="00B12B90"/>
    <w:rsid w:val="00B12C65"/>
    <w:rsid w:val="00B13389"/>
    <w:rsid w:val="00B1343A"/>
    <w:rsid w:val="00B1353C"/>
    <w:rsid w:val="00B1363E"/>
    <w:rsid w:val="00B137A5"/>
    <w:rsid w:val="00B138D7"/>
    <w:rsid w:val="00B13A2C"/>
    <w:rsid w:val="00B13D1E"/>
    <w:rsid w:val="00B13E9E"/>
    <w:rsid w:val="00B13FAE"/>
    <w:rsid w:val="00B14009"/>
    <w:rsid w:val="00B14213"/>
    <w:rsid w:val="00B144B4"/>
    <w:rsid w:val="00B1474A"/>
    <w:rsid w:val="00B14966"/>
    <w:rsid w:val="00B14AD2"/>
    <w:rsid w:val="00B14B73"/>
    <w:rsid w:val="00B14F54"/>
    <w:rsid w:val="00B14FB7"/>
    <w:rsid w:val="00B14FFC"/>
    <w:rsid w:val="00B1502C"/>
    <w:rsid w:val="00B1508C"/>
    <w:rsid w:val="00B151DE"/>
    <w:rsid w:val="00B153E4"/>
    <w:rsid w:val="00B1544A"/>
    <w:rsid w:val="00B154D5"/>
    <w:rsid w:val="00B1555A"/>
    <w:rsid w:val="00B155E5"/>
    <w:rsid w:val="00B1571D"/>
    <w:rsid w:val="00B15845"/>
    <w:rsid w:val="00B15B00"/>
    <w:rsid w:val="00B15E8D"/>
    <w:rsid w:val="00B15FD6"/>
    <w:rsid w:val="00B1607B"/>
    <w:rsid w:val="00B163E7"/>
    <w:rsid w:val="00B164EF"/>
    <w:rsid w:val="00B167B8"/>
    <w:rsid w:val="00B1687D"/>
    <w:rsid w:val="00B16947"/>
    <w:rsid w:val="00B16AEC"/>
    <w:rsid w:val="00B16B2C"/>
    <w:rsid w:val="00B16BF7"/>
    <w:rsid w:val="00B16C9F"/>
    <w:rsid w:val="00B16D32"/>
    <w:rsid w:val="00B16FED"/>
    <w:rsid w:val="00B16FEE"/>
    <w:rsid w:val="00B1707B"/>
    <w:rsid w:val="00B173F2"/>
    <w:rsid w:val="00B1755E"/>
    <w:rsid w:val="00B1765D"/>
    <w:rsid w:val="00B1795D"/>
    <w:rsid w:val="00B17A6D"/>
    <w:rsid w:val="00B17D80"/>
    <w:rsid w:val="00B17FA2"/>
    <w:rsid w:val="00B20133"/>
    <w:rsid w:val="00B20262"/>
    <w:rsid w:val="00B203CB"/>
    <w:rsid w:val="00B203E6"/>
    <w:rsid w:val="00B20437"/>
    <w:rsid w:val="00B204F5"/>
    <w:rsid w:val="00B205DF"/>
    <w:rsid w:val="00B20694"/>
    <w:rsid w:val="00B20A28"/>
    <w:rsid w:val="00B20A5A"/>
    <w:rsid w:val="00B20B51"/>
    <w:rsid w:val="00B20B63"/>
    <w:rsid w:val="00B20BF9"/>
    <w:rsid w:val="00B20CC8"/>
    <w:rsid w:val="00B20D05"/>
    <w:rsid w:val="00B20E08"/>
    <w:rsid w:val="00B20E9B"/>
    <w:rsid w:val="00B20F5E"/>
    <w:rsid w:val="00B2142F"/>
    <w:rsid w:val="00B217A5"/>
    <w:rsid w:val="00B21826"/>
    <w:rsid w:val="00B21911"/>
    <w:rsid w:val="00B21B94"/>
    <w:rsid w:val="00B21C39"/>
    <w:rsid w:val="00B21DA9"/>
    <w:rsid w:val="00B21FD0"/>
    <w:rsid w:val="00B2204D"/>
    <w:rsid w:val="00B22583"/>
    <w:rsid w:val="00B226C8"/>
    <w:rsid w:val="00B229CA"/>
    <w:rsid w:val="00B22AC8"/>
    <w:rsid w:val="00B22B6B"/>
    <w:rsid w:val="00B22B85"/>
    <w:rsid w:val="00B22C2D"/>
    <w:rsid w:val="00B22DDB"/>
    <w:rsid w:val="00B22E45"/>
    <w:rsid w:val="00B230F2"/>
    <w:rsid w:val="00B23552"/>
    <w:rsid w:val="00B23609"/>
    <w:rsid w:val="00B23735"/>
    <w:rsid w:val="00B23893"/>
    <w:rsid w:val="00B23A2E"/>
    <w:rsid w:val="00B23BF7"/>
    <w:rsid w:val="00B23C3D"/>
    <w:rsid w:val="00B23EA9"/>
    <w:rsid w:val="00B242B6"/>
    <w:rsid w:val="00B2431D"/>
    <w:rsid w:val="00B243B7"/>
    <w:rsid w:val="00B244E2"/>
    <w:rsid w:val="00B2474B"/>
    <w:rsid w:val="00B249B6"/>
    <w:rsid w:val="00B24A28"/>
    <w:rsid w:val="00B24A5F"/>
    <w:rsid w:val="00B24D23"/>
    <w:rsid w:val="00B25089"/>
    <w:rsid w:val="00B252DC"/>
    <w:rsid w:val="00B2542D"/>
    <w:rsid w:val="00B2546F"/>
    <w:rsid w:val="00B2591B"/>
    <w:rsid w:val="00B25ACE"/>
    <w:rsid w:val="00B25FE5"/>
    <w:rsid w:val="00B260F2"/>
    <w:rsid w:val="00B26472"/>
    <w:rsid w:val="00B266B5"/>
    <w:rsid w:val="00B266C3"/>
    <w:rsid w:val="00B2681F"/>
    <w:rsid w:val="00B26B00"/>
    <w:rsid w:val="00B26B05"/>
    <w:rsid w:val="00B26B16"/>
    <w:rsid w:val="00B26C50"/>
    <w:rsid w:val="00B26C86"/>
    <w:rsid w:val="00B26CC3"/>
    <w:rsid w:val="00B27041"/>
    <w:rsid w:val="00B2713D"/>
    <w:rsid w:val="00B27213"/>
    <w:rsid w:val="00B272EC"/>
    <w:rsid w:val="00B273D1"/>
    <w:rsid w:val="00B276B1"/>
    <w:rsid w:val="00B2776E"/>
    <w:rsid w:val="00B27B1F"/>
    <w:rsid w:val="00B27C4E"/>
    <w:rsid w:val="00B27DEA"/>
    <w:rsid w:val="00B300AA"/>
    <w:rsid w:val="00B3017D"/>
    <w:rsid w:val="00B3018B"/>
    <w:rsid w:val="00B30248"/>
    <w:rsid w:val="00B30430"/>
    <w:rsid w:val="00B30472"/>
    <w:rsid w:val="00B30663"/>
    <w:rsid w:val="00B3068E"/>
    <w:rsid w:val="00B306F1"/>
    <w:rsid w:val="00B30920"/>
    <w:rsid w:val="00B30930"/>
    <w:rsid w:val="00B309ED"/>
    <w:rsid w:val="00B30A7D"/>
    <w:rsid w:val="00B3122F"/>
    <w:rsid w:val="00B3129E"/>
    <w:rsid w:val="00B314BF"/>
    <w:rsid w:val="00B3174F"/>
    <w:rsid w:val="00B31893"/>
    <w:rsid w:val="00B3191B"/>
    <w:rsid w:val="00B319DE"/>
    <w:rsid w:val="00B31D92"/>
    <w:rsid w:val="00B31F3D"/>
    <w:rsid w:val="00B32166"/>
    <w:rsid w:val="00B32319"/>
    <w:rsid w:val="00B32397"/>
    <w:rsid w:val="00B3265C"/>
    <w:rsid w:val="00B32666"/>
    <w:rsid w:val="00B32719"/>
    <w:rsid w:val="00B32819"/>
    <w:rsid w:val="00B329F6"/>
    <w:rsid w:val="00B32B3D"/>
    <w:rsid w:val="00B32BBA"/>
    <w:rsid w:val="00B32C36"/>
    <w:rsid w:val="00B32F25"/>
    <w:rsid w:val="00B32FF7"/>
    <w:rsid w:val="00B32FFD"/>
    <w:rsid w:val="00B33249"/>
    <w:rsid w:val="00B33273"/>
    <w:rsid w:val="00B332E8"/>
    <w:rsid w:val="00B3334C"/>
    <w:rsid w:val="00B3351E"/>
    <w:rsid w:val="00B33579"/>
    <w:rsid w:val="00B336A2"/>
    <w:rsid w:val="00B3370C"/>
    <w:rsid w:val="00B3372D"/>
    <w:rsid w:val="00B33763"/>
    <w:rsid w:val="00B33767"/>
    <w:rsid w:val="00B3383B"/>
    <w:rsid w:val="00B338EB"/>
    <w:rsid w:val="00B33B74"/>
    <w:rsid w:val="00B33BBD"/>
    <w:rsid w:val="00B33BD5"/>
    <w:rsid w:val="00B33C8E"/>
    <w:rsid w:val="00B33DD4"/>
    <w:rsid w:val="00B3405F"/>
    <w:rsid w:val="00B34433"/>
    <w:rsid w:val="00B34481"/>
    <w:rsid w:val="00B344B5"/>
    <w:rsid w:val="00B3450E"/>
    <w:rsid w:val="00B345AC"/>
    <w:rsid w:val="00B349F1"/>
    <w:rsid w:val="00B34A9C"/>
    <w:rsid w:val="00B34C91"/>
    <w:rsid w:val="00B34C99"/>
    <w:rsid w:val="00B34D1C"/>
    <w:rsid w:val="00B34FF8"/>
    <w:rsid w:val="00B350EA"/>
    <w:rsid w:val="00B35120"/>
    <w:rsid w:val="00B353DF"/>
    <w:rsid w:val="00B356F2"/>
    <w:rsid w:val="00B3591C"/>
    <w:rsid w:val="00B35BF6"/>
    <w:rsid w:val="00B35C54"/>
    <w:rsid w:val="00B35C70"/>
    <w:rsid w:val="00B35C7D"/>
    <w:rsid w:val="00B35D06"/>
    <w:rsid w:val="00B35D21"/>
    <w:rsid w:val="00B35E76"/>
    <w:rsid w:val="00B36298"/>
    <w:rsid w:val="00B36407"/>
    <w:rsid w:val="00B364D7"/>
    <w:rsid w:val="00B365D6"/>
    <w:rsid w:val="00B3680B"/>
    <w:rsid w:val="00B36886"/>
    <w:rsid w:val="00B368B3"/>
    <w:rsid w:val="00B36900"/>
    <w:rsid w:val="00B36D03"/>
    <w:rsid w:val="00B36EFF"/>
    <w:rsid w:val="00B36F29"/>
    <w:rsid w:val="00B372D9"/>
    <w:rsid w:val="00B375EA"/>
    <w:rsid w:val="00B37712"/>
    <w:rsid w:val="00B37831"/>
    <w:rsid w:val="00B37930"/>
    <w:rsid w:val="00B37B75"/>
    <w:rsid w:val="00B37BDC"/>
    <w:rsid w:val="00B37D44"/>
    <w:rsid w:val="00B37EF1"/>
    <w:rsid w:val="00B37FEE"/>
    <w:rsid w:val="00B3A051"/>
    <w:rsid w:val="00B4005E"/>
    <w:rsid w:val="00B40319"/>
    <w:rsid w:val="00B406A0"/>
    <w:rsid w:val="00B40773"/>
    <w:rsid w:val="00B40DA1"/>
    <w:rsid w:val="00B40E85"/>
    <w:rsid w:val="00B40E87"/>
    <w:rsid w:val="00B40F40"/>
    <w:rsid w:val="00B40FBC"/>
    <w:rsid w:val="00B4125B"/>
    <w:rsid w:val="00B4127B"/>
    <w:rsid w:val="00B41611"/>
    <w:rsid w:val="00B4166C"/>
    <w:rsid w:val="00B4188D"/>
    <w:rsid w:val="00B41A9F"/>
    <w:rsid w:val="00B41B24"/>
    <w:rsid w:val="00B41BB5"/>
    <w:rsid w:val="00B41C8C"/>
    <w:rsid w:val="00B41F29"/>
    <w:rsid w:val="00B42173"/>
    <w:rsid w:val="00B42B6E"/>
    <w:rsid w:val="00B42C2A"/>
    <w:rsid w:val="00B42C61"/>
    <w:rsid w:val="00B42C97"/>
    <w:rsid w:val="00B42EBA"/>
    <w:rsid w:val="00B42F24"/>
    <w:rsid w:val="00B42F8F"/>
    <w:rsid w:val="00B42FEE"/>
    <w:rsid w:val="00B4309E"/>
    <w:rsid w:val="00B433A9"/>
    <w:rsid w:val="00B433B8"/>
    <w:rsid w:val="00B433E7"/>
    <w:rsid w:val="00B43476"/>
    <w:rsid w:val="00B43C39"/>
    <w:rsid w:val="00B43E8F"/>
    <w:rsid w:val="00B44009"/>
    <w:rsid w:val="00B4416E"/>
    <w:rsid w:val="00B443F4"/>
    <w:rsid w:val="00B44883"/>
    <w:rsid w:val="00B44C67"/>
    <w:rsid w:val="00B44DEF"/>
    <w:rsid w:val="00B44F6E"/>
    <w:rsid w:val="00B450A8"/>
    <w:rsid w:val="00B450DC"/>
    <w:rsid w:val="00B45120"/>
    <w:rsid w:val="00B45174"/>
    <w:rsid w:val="00B4524F"/>
    <w:rsid w:val="00B453AD"/>
    <w:rsid w:val="00B457CA"/>
    <w:rsid w:val="00B458A0"/>
    <w:rsid w:val="00B45A1D"/>
    <w:rsid w:val="00B45B7C"/>
    <w:rsid w:val="00B45B8F"/>
    <w:rsid w:val="00B45C07"/>
    <w:rsid w:val="00B45D00"/>
    <w:rsid w:val="00B45E21"/>
    <w:rsid w:val="00B45FEA"/>
    <w:rsid w:val="00B461F5"/>
    <w:rsid w:val="00B46726"/>
    <w:rsid w:val="00B469A4"/>
    <w:rsid w:val="00B46DD3"/>
    <w:rsid w:val="00B46F09"/>
    <w:rsid w:val="00B46F76"/>
    <w:rsid w:val="00B46FF5"/>
    <w:rsid w:val="00B4707C"/>
    <w:rsid w:val="00B470C2"/>
    <w:rsid w:val="00B470F0"/>
    <w:rsid w:val="00B4713E"/>
    <w:rsid w:val="00B471F5"/>
    <w:rsid w:val="00B473FE"/>
    <w:rsid w:val="00B475DD"/>
    <w:rsid w:val="00B4778B"/>
    <w:rsid w:val="00B47886"/>
    <w:rsid w:val="00B47A0C"/>
    <w:rsid w:val="00B47B31"/>
    <w:rsid w:val="00B47D48"/>
    <w:rsid w:val="00B47E81"/>
    <w:rsid w:val="00B500BA"/>
    <w:rsid w:val="00B500CA"/>
    <w:rsid w:val="00B50491"/>
    <w:rsid w:val="00B50538"/>
    <w:rsid w:val="00B5098D"/>
    <w:rsid w:val="00B509F1"/>
    <w:rsid w:val="00B50D0B"/>
    <w:rsid w:val="00B50D7D"/>
    <w:rsid w:val="00B50D91"/>
    <w:rsid w:val="00B50F16"/>
    <w:rsid w:val="00B50F3D"/>
    <w:rsid w:val="00B50FC6"/>
    <w:rsid w:val="00B5100B"/>
    <w:rsid w:val="00B51031"/>
    <w:rsid w:val="00B511FF"/>
    <w:rsid w:val="00B51379"/>
    <w:rsid w:val="00B5147B"/>
    <w:rsid w:val="00B51710"/>
    <w:rsid w:val="00B517A7"/>
    <w:rsid w:val="00B51B5B"/>
    <w:rsid w:val="00B51C6E"/>
    <w:rsid w:val="00B52113"/>
    <w:rsid w:val="00B5231A"/>
    <w:rsid w:val="00B5247E"/>
    <w:rsid w:val="00B52617"/>
    <w:rsid w:val="00B5263F"/>
    <w:rsid w:val="00B527E8"/>
    <w:rsid w:val="00B527EF"/>
    <w:rsid w:val="00B52AFD"/>
    <w:rsid w:val="00B52B6B"/>
    <w:rsid w:val="00B52C6B"/>
    <w:rsid w:val="00B53060"/>
    <w:rsid w:val="00B531AC"/>
    <w:rsid w:val="00B531B0"/>
    <w:rsid w:val="00B53369"/>
    <w:rsid w:val="00B53409"/>
    <w:rsid w:val="00B5344E"/>
    <w:rsid w:val="00B53537"/>
    <w:rsid w:val="00B535A0"/>
    <w:rsid w:val="00B537D8"/>
    <w:rsid w:val="00B539A6"/>
    <w:rsid w:val="00B53C8A"/>
    <w:rsid w:val="00B53D52"/>
    <w:rsid w:val="00B53DAE"/>
    <w:rsid w:val="00B540B7"/>
    <w:rsid w:val="00B54461"/>
    <w:rsid w:val="00B545AC"/>
    <w:rsid w:val="00B5475E"/>
    <w:rsid w:val="00B54902"/>
    <w:rsid w:val="00B5495E"/>
    <w:rsid w:val="00B54966"/>
    <w:rsid w:val="00B54A13"/>
    <w:rsid w:val="00B54D99"/>
    <w:rsid w:val="00B554FF"/>
    <w:rsid w:val="00B556D1"/>
    <w:rsid w:val="00B558FE"/>
    <w:rsid w:val="00B55A56"/>
    <w:rsid w:val="00B55B65"/>
    <w:rsid w:val="00B55D2B"/>
    <w:rsid w:val="00B55E44"/>
    <w:rsid w:val="00B55E9C"/>
    <w:rsid w:val="00B55F24"/>
    <w:rsid w:val="00B56348"/>
    <w:rsid w:val="00B563FD"/>
    <w:rsid w:val="00B567D5"/>
    <w:rsid w:val="00B5686E"/>
    <w:rsid w:val="00B56BD6"/>
    <w:rsid w:val="00B56E62"/>
    <w:rsid w:val="00B56EDD"/>
    <w:rsid w:val="00B56F8D"/>
    <w:rsid w:val="00B5720E"/>
    <w:rsid w:val="00B572E2"/>
    <w:rsid w:val="00B57558"/>
    <w:rsid w:val="00B577CA"/>
    <w:rsid w:val="00B57A27"/>
    <w:rsid w:val="00B57AC3"/>
    <w:rsid w:val="00B57DDE"/>
    <w:rsid w:val="00B57EB3"/>
    <w:rsid w:val="00B57F6D"/>
    <w:rsid w:val="00B601C1"/>
    <w:rsid w:val="00B601C5"/>
    <w:rsid w:val="00B602DC"/>
    <w:rsid w:val="00B6052D"/>
    <w:rsid w:val="00B60621"/>
    <w:rsid w:val="00B606C7"/>
    <w:rsid w:val="00B608A3"/>
    <w:rsid w:val="00B609A0"/>
    <w:rsid w:val="00B60A14"/>
    <w:rsid w:val="00B60B97"/>
    <w:rsid w:val="00B60CD1"/>
    <w:rsid w:val="00B60F67"/>
    <w:rsid w:val="00B60F8B"/>
    <w:rsid w:val="00B6100E"/>
    <w:rsid w:val="00B61057"/>
    <w:rsid w:val="00B610B5"/>
    <w:rsid w:val="00B61243"/>
    <w:rsid w:val="00B61352"/>
    <w:rsid w:val="00B613EC"/>
    <w:rsid w:val="00B6140F"/>
    <w:rsid w:val="00B61506"/>
    <w:rsid w:val="00B61918"/>
    <w:rsid w:val="00B61C87"/>
    <w:rsid w:val="00B6223E"/>
    <w:rsid w:val="00B6225F"/>
    <w:rsid w:val="00B6230E"/>
    <w:rsid w:val="00B6254A"/>
    <w:rsid w:val="00B626CF"/>
    <w:rsid w:val="00B62A4B"/>
    <w:rsid w:val="00B62AF2"/>
    <w:rsid w:val="00B62CBA"/>
    <w:rsid w:val="00B62E6A"/>
    <w:rsid w:val="00B62F37"/>
    <w:rsid w:val="00B63025"/>
    <w:rsid w:val="00B6308B"/>
    <w:rsid w:val="00B63120"/>
    <w:rsid w:val="00B63253"/>
    <w:rsid w:val="00B63260"/>
    <w:rsid w:val="00B63674"/>
    <w:rsid w:val="00B6389A"/>
    <w:rsid w:val="00B63A2E"/>
    <w:rsid w:val="00B63A6B"/>
    <w:rsid w:val="00B63C3A"/>
    <w:rsid w:val="00B63E84"/>
    <w:rsid w:val="00B6412E"/>
    <w:rsid w:val="00B64132"/>
    <w:rsid w:val="00B64183"/>
    <w:rsid w:val="00B64317"/>
    <w:rsid w:val="00B64446"/>
    <w:rsid w:val="00B6448D"/>
    <w:rsid w:val="00B645B4"/>
    <w:rsid w:val="00B64623"/>
    <w:rsid w:val="00B64678"/>
    <w:rsid w:val="00B64831"/>
    <w:rsid w:val="00B64AB1"/>
    <w:rsid w:val="00B64B81"/>
    <w:rsid w:val="00B64BA1"/>
    <w:rsid w:val="00B64C4D"/>
    <w:rsid w:val="00B64FD2"/>
    <w:rsid w:val="00B6504B"/>
    <w:rsid w:val="00B65209"/>
    <w:rsid w:val="00B6549D"/>
    <w:rsid w:val="00B655A6"/>
    <w:rsid w:val="00B6562E"/>
    <w:rsid w:val="00B656C6"/>
    <w:rsid w:val="00B65714"/>
    <w:rsid w:val="00B65765"/>
    <w:rsid w:val="00B65835"/>
    <w:rsid w:val="00B6588E"/>
    <w:rsid w:val="00B65906"/>
    <w:rsid w:val="00B65948"/>
    <w:rsid w:val="00B65B37"/>
    <w:rsid w:val="00B65C70"/>
    <w:rsid w:val="00B65CD7"/>
    <w:rsid w:val="00B65E22"/>
    <w:rsid w:val="00B65EE9"/>
    <w:rsid w:val="00B65FDC"/>
    <w:rsid w:val="00B65FF7"/>
    <w:rsid w:val="00B6610F"/>
    <w:rsid w:val="00B66156"/>
    <w:rsid w:val="00B66377"/>
    <w:rsid w:val="00B6651D"/>
    <w:rsid w:val="00B66732"/>
    <w:rsid w:val="00B66867"/>
    <w:rsid w:val="00B66884"/>
    <w:rsid w:val="00B66981"/>
    <w:rsid w:val="00B66D0F"/>
    <w:rsid w:val="00B67191"/>
    <w:rsid w:val="00B673A6"/>
    <w:rsid w:val="00B67419"/>
    <w:rsid w:val="00B67860"/>
    <w:rsid w:val="00B67989"/>
    <w:rsid w:val="00B67AA9"/>
    <w:rsid w:val="00B67CA2"/>
    <w:rsid w:val="00B67D0A"/>
    <w:rsid w:val="00B67D0B"/>
    <w:rsid w:val="00B67D19"/>
    <w:rsid w:val="00B67D48"/>
    <w:rsid w:val="00B67DC0"/>
    <w:rsid w:val="00B67E64"/>
    <w:rsid w:val="00B67E98"/>
    <w:rsid w:val="00B67EBE"/>
    <w:rsid w:val="00B68A41"/>
    <w:rsid w:val="00B6AD8B"/>
    <w:rsid w:val="00B7061D"/>
    <w:rsid w:val="00B70798"/>
    <w:rsid w:val="00B70892"/>
    <w:rsid w:val="00B70988"/>
    <w:rsid w:val="00B70AD5"/>
    <w:rsid w:val="00B70F44"/>
    <w:rsid w:val="00B7111B"/>
    <w:rsid w:val="00B711F1"/>
    <w:rsid w:val="00B71200"/>
    <w:rsid w:val="00B716C5"/>
    <w:rsid w:val="00B71A8C"/>
    <w:rsid w:val="00B71B7F"/>
    <w:rsid w:val="00B71D06"/>
    <w:rsid w:val="00B71E81"/>
    <w:rsid w:val="00B71E83"/>
    <w:rsid w:val="00B7214E"/>
    <w:rsid w:val="00B72200"/>
    <w:rsid w:val="00B722F3"/>
    <w:rsid w:val="00B7247B"/>
    <w:rsid w:val="00B7260E"/>
    <w:rsid w:val="00B72D45"/>
    <w:rsid w:val="00B72E01"/>
    <w:rsid w:val="00B72F88"/>
    <w:rsid w:val="00B72F96"/>
    <w:rsid w:val="00B730B0"/>
    <w:rsid w:val="00B73320"/>
    <w:rsid w:val="00B7355F"/>
    <w:rsid w:val="00B73947"/>
    <w:rsid w:val="00B73A03"/>
    <w:rsid w:val="00B73A95"/>
    <w:rsid w:val="00B73FD1"/>
    <w:rsid w:val="00B7430D"/>
    <w:rsid w:val="00B74376"/>
    <w:rsid w:val="00B744EC"/>
    <w:rsid w:val="00B748B0"/>
    <w:rsid w:val="00B7498F"/>
    <w:rsid w:val="00B749AC"/>
    <w:rsid w:val="00B74A0F"/>
    <w:rsid w:val="00B74A87"/>
    <w:rsid w:val="00B74DBD"/>
    <w:rsid w:val="00B74EC3"/>
    <w:rsid w:val="00B75102"/>
    <w:rsid w:val="00B751EA"/>
    <w:rsid w:val="00B759C0"/>
    <w:rsid w:val="00B75A1A"/>
    <w:rsid w:val="00B75B6E"/>
    <w:rsid w:val="00B75B99"/>
    <w:rsid w:val="00B75DF8"/>
    <w:rsid w:val="00B7600D"/>
    <w:rsid w:val="00B76A54"/>
    <w:rsid w:val="00B76C75"/>
    <w:rsid w:val="00B76C85"/>
    <w:rsid w:val="00B76D5E"/>
    <w:rsid w:val="00B76D95"/>
    <w:rsid w:val="00B76DEC"/>
    <w:rsid w:val="00B77053"/>
    <w:rsid w:val="00B770A5"/>
    <w:rsid w:val="00B7728E"/>
    <w:rsid w:val="00B775C8"/>
    <w:rsid w:val="00B776A3"/>
    <w:rsid w:val="00B777E5"/>
    <w:rsid w:val="00B77852"/>
    <w:rsid w:val="00B7785E"/>
    <w:rsid w:val="00B77C2F"/>
    <w:rsid w:val="00B77C9B"/>
    <w:rsid w:val="00B77ED0"/>
    <w:rsid w:val="00B77F35"/>
    <w:rsid w:val="00B8022B"/>
    <w:rsid w:val="00B80367"/>
    <w:rsid w:val="00B80440"/>
    <w:rsid w:val="00B80500"/>
    <w:rsid w:val="00B80527"/>
    <w:rsid w:val="00B805C0"/>
    <w:rsid w:val="00B806E1"/>
    <w:rsid w:val="00B808A1"/>
    <w:rsid w:val="00B80A00"/>
    <w:rsid w:val="00B80AEC"/>
    <w:rsid w:val="00B80BFF"/>
    <w:rsid w:val="00B80C01"/>
    <w:rsid w:val="00B80C38"/>
    <w:rsid w:val="00B80E25"/>
    <w:rsid w:val="00B8114F"/>
    <w:rsid w:val="00B814B2"/>
    <w:rsid w:val="00B8152B"/>
    <w:rsid w:val="00B81592"/>
    <w:rsid w:val="00B81626"/>
    <w:rsid w:val="00B81695"/>
    <w:rsid w:val="00B818B8"/>
    <w:rsid w:val="00B81AFC"/>
    <w:rsid w:val="00B81BC4"/>
    <w:rsid w:val="00B81D3B"/>
    <w:rsid w:val="00B81D3F"/>
    <w:rsid w:val="00B81F44"/>
    <w:rsid w:val="00B81F89"/>
    <w:rsid w:val="00B820B7"/>
    <w:rsid w:val="00B82317"/>
    <w:rsid w:val="00B823C7"/>
    <w:rsid w:val="00B825C7"/>
    <w:rsid w:val="00B8262F"/>
    <w:rsid w:val="00B82642"/>
    <w:rsid w:val="00B82756"/>
    <w:rsid w:val="00B8276E"/>
    <w:rsid w:val="00B82FD8"/>
    <w:rsid w:val="00B83023"/>
    <w:rsid w:val="00B83143"/>
    <w:rsid w:val="00B8339C"/>
    <w:rsid w:val="00B83623"/>
    <w:rsid w:val="00B83684"/>
    <w:rsid w:val="00B83A94"/>
    <w:rsid w:val="00B83AAA"/>
    <w:rsid w:val="00B83FD9"/>
    <w:rsid w:val="00B840DF"/>
    <w:rsid w:val="00B842A7"/>
    <w:rsid w:val="00B84350"/>
    <w:rsid w:val="00B846B8"/>
    <w:rsid w:val="00B84752"/>
    <w:rsid w:val="00B84755"/>
    <w:rsid w:val="00B84774"/>
    <w:rsid w:val="00B8483C"/>
    <w:rsid w:val="00B84C49"/>
    <w:rsid w:val="00B84F9B"/>
    <w:rsid w:val="00B85217"/>
    <w:rsid w:val="00B8534A"/>
    <w:rsid w:val="00B85537"/>
    <w:rsid w:val="00B85936"/>
    <w:rsid w:val="00B85993"/>
    <w:rsid w:val="00B85A25"/>
    <w:rsid w:val="00B85D7C"/>
    <w:rsid w:val="00B85ED2"/>
    <w:rsid w:val="00B85F93"/>
    <w:rsid w:val="00B86214"/>
    <w:rsid w:val="00B8627E"/>
    <w:rsid w:val="00B86459"/>
    <w:rsid w:val="00B8645A"/>
    <w:rsid w:val="00B8674D"/>
    <w:rsid w:val="00B869A1"/>
    <w:rsid w:val="00B86A70"/>
    <w:rsid w:val="00B86ACE"/>
    <w:rsid w:val="00B86B33"/>
    <w:rsid w:val="00B86D52"/>
    <w:rsid w:val="00B86D8A"/>
    <w:rsid w:val="00B86F2C"/>
    <w:rsid w:val="00B86F51"/>
    <w:rsid w:val="00B86FF2"/>
    <w:rsid w:val="00B87030"/>
    <w:rsid w:val="00B87122"/>
    <w:rsid w:val="00B8717A"/>
    <w:rsid w:val="00B87183"/>
    <w:rsid w:val="00B87640"/>
    <w:rsid w:val="00B87779"/>
    <w:rsid w:val="00B877FC"/>
    <w:rsid w:val="00B87925"/>
    <w:rsid w:val="00B879C8"/>
    <w:rsid w:val="00B87C2C"/>
    <w:rsid w:val="00B87C56"/>
    <w:rsid w:val="00B87E70"/>
    <w:rsid w:val="00B903E4"/>
    <w:rsid w:val="00B905A3"/>
    <w:rsid w:val="00B907B8"/>
    <w:rsid w:val="00B90A20"/>
    <w:rsid w:val="00B90A70"/>
    <w:rsid w:val="00B90B4D"/>
    <w:rsid w:val="00B90C07"/>
    <w:rsid w:val="00B90F18"/>
    <w:rsid w:val="00B90F82"/>
    <w:rsid w:val="00B90FDF"/>
    <w:rsid w:val="00B91046"/>
    <w:rsid w:val="00B910A2"/>
    <w:rsid w:val="00B91636"/>
    <w:rsid w:val="00B918FD"/>
    <w:rsid w:val="00B91BF3"/>
    <w:rsid w:val="00B91FC1"/>
    <w:rsid w:val="00B91FEB"/>
    <w:rsid w:val="00B9216E"/>
    <w:rsid w:val="00B9218A"/>
    <w:rsid w:val="00B92248"/>
    <w:rsid w:val="00B9232D"/>
    <w:rsid w:val="00B923BF"/>
    <w:rsid w:val="00B92515"/>
    <w:rsid w:val="00B9265C"/>
    <w:rsid w:val="00B92677"/>
    <w:rsid w:val="00B926E1"/>
    <w:rsid w:val="00B92865"/>
    <w:rsid w:val="00B929C8"/>
    <w:rsid w:val="00B92A26"/>
    <w:rsid w:val="00B92AE3"/>
    <w:rsid w:val="00B92B68"/>
    <w:rsid w:val="00B92BDA"/>
    <w:rsid w:val="00B92E1C"/>
    <w:rsid w:val="00B93096"/>
    <w:rsid w:val="00B930CE"/>
    <w:rsid w:val="00B93213"/>
    <w:rsid w:val="00B933CD"/>
    <w:rsid w:val="00B9367E"/>
    <w:rsid w:val="00B936B5"/>
    <w:rsid w:val="00B936E9"/>
    <w:rsid w:val="00B93BE1"/>
    <w:rsid w:val="00B93C01"/>
    <w:rsid w:val="00B93C0E"/>
    <w:rsid w:val="00B93DD3"/>
    <w:rsid w:val="00B93E0A"/>
    <w:rsid w:val="00B93E65"/>
    <w:rsid w:val="00B93EAB"/>
    <w:rsid w:val="00B93F3F"/>
    <w:rsid w:val="00B93F8C"/>
    <w:rsid w:val="00B941A0"/>
    <w:rsid w:val="00B94200"/>
    <w:rsid w:val="00B94236"/>
    <w:rsid w:val="00B94285"/>
    <w:rsid w:val="00B944EB"/>
    <w:rsid w:val="00B94545"/>
    <w:rsid w:val="00B94722"/>
    <w:rsid w:val="00B94989"/>
    <w:rsid w:val="00B94C31"/>
    <w:rsid w:val="00B953E0"/>
    <w:rsid w:val="00B95403"/>
    <w:rsid w:val="00B95646"/>
    <w:rsid w:val="00B95919"/>
    <w:rsid w:val="00B95959"/>
    <w:rsid w:val="00B9595D"/>
    <w:rsid w:val="00B959FB"/>
    <w:rsid w:val="00B95B62"/>
    <w:rsid w:val="00B95C0E"/>
    <w:rsid w:val="00B95C2A"/>
    <w:rsid w:val="00B95E56"/>
    <w:rsid w:val="00B963D8"/>
    <w:rsid w:val="00B965E8"/>
    <w:rsid w:val="00B96685"/>
    <w:rsid w:val="00B9670B"/>
    <w:rsid w:val="00B96C8B"/>
    <w:rsid w:val="00B96CD0"/>
    <w:rsid w:val="00B96F2B"/>
    <w:rsid w:val="00B9700E"/>
    <w:rsid w:val="00B97111"/>
    <w:rsid w:val="00B973F0"/>
    <w:rsid w:val="00B9743B"/>
    <w:rsid w:val="00B97631"/>
    <w:rsid w:val="00B97667"/>
    <w:rsid w:val="00B976B4"/>
    <w:rsid w:val="00B9784F"/>
    <w:rsid w:val="00B97983"/>
    <w:rsid w:val="00B97A1D"/>
    <w:rsid w:val="00B97CC6"/>
    <w:rsid w:val="00B97DE3"/>
    <w:rsid w:val="00B97FED"/>
    <w:rsid w:val="00B98F82"/>
    <w:rsid w:val="00B9964F"/>
    <w:rsid w:val="00BA01C7"/>
    <w:rsid w:val="00BA04A5"/>
    <w:rsid w:val="00BA04C8"/>
    <w:rsid w:val="00BA05C3"/>
    <w:rsid w:val="00BA05E7"/>
    <w:rsid w:val="00BA08A4"/>
    <w:rsid w:val="00BA08B5"/>
    <w:rsid w:val="00BA0A3A"/>
    <w:rsid w:val="00BA0C9D"/>
    <w:rsid w:val="00BA0D35"/>
    <w:rsid w:val="00BA0DBB"/>
    <w:rsid w:val="00BA0E0B"/>
    <w:rsid w:val="00BA0F41"/>
    <w:rsid w:val="00BA0F87"/>
    <w:rsid w:val="00BA1272"/>
    <w:rsid w:val="00BA135E"/>
    <w:rsid w:val="00BA151D"/>
    <w:rsid w:val="00BA1612"/>
    <w:rsid w:val="00BA16C7"/>
    <w:rsid w:val="00BA17AA"/>
    <w:rsid w:val="00BA189B"/>
    <w:rsid w:val="00BA1939"/>
    <w:rsid w:val="00BA1974"/>
    <w:rsid w:val="00BA19AE"/>
    <w:rsid w:val="00BA1AB6"/>
    <w:rsid w:val="00BA1CFE"/>
    <w:rsid w:val="00BA1DF8"/>
    <w:rsid w:val="00BA1DFC"/>
    <w:rsid w:val="00BA1F3A"/>
    <w:rsid w:val="00BA1F71"/>
    <w:rsid w:val="00BA22E2"/>
    <w:rsid w:val="00BA2382"/>
    <w:rsid w:val="00BA23BD"/>
    <w:rsid w:val="00BA241F"/>
    <w:rsid w:val="00BA2508"/>
    <w:rsid w:val="00BA274C"/>
    <w:rsid w:val="00BA2A17"/>
    <w:rsid w:val="00BA2B51"/>
    <w:rsid w:val="00BA2C57"/>
    <w:rsid w:val="00BA2D56"/>
    <w:rsid w:val="00BA2DC7"/>
    <w:rsid w:val="00BA2F90"/>
    <w:rsid w:val="00BA2F91"/>
    <w:rsid w:val="00BA336A"/>
    <w:rsid w:val="00BA34E5"/>
    <w:rsid w:val="00BA38DB"/>
    <w:rsid w:val="00BA3B12"/>
    <w:rsid w:val="00BA3B2C"/>
    <w:rsid w:val="00BA3C29"/>
    <w:rsid w:val="00BA3DA7"/>
    <w:rsid w:val="00BA44D1"/>
    <w:rsid w:val="00BA4599"/>
    <w:rsid w:val="00BA46EF"/>
    <w:rsid w:val="00BA488C"/>
    <w:rsid w:val="00BA48D8"/>
    <w:rsid w:val="00BA4A54"/>
    <w:rsid w:val="00BA4AD5"/>
    <w:rsid w:val="00BA4CAD"/>
    <w:rsid w:val="00BA4EA1"/>
    <w:rsid w:val="00BA4F33"/>
    <w:rsid w:val="00BA4FB0"/>
    <w:rsid w:val="00BA504A"/>
    <w:rsid w:val="00BA56F2"/>
    <w:rsid w:val="00BA5846"/>
    <w:rsid w:val="00BA589D"/>
    <w:rsid w:val="00BA58B9"/>
    <w:rsid w:val="00BA59CF"/>
    <w:rsid w:val="00BA5A05"/>
    <w:rsid w:val="00BA5A82"/>
    <w:rsid w:val="00BA5AAB"/>
    <w:rsid w:val="00BA5DC1"/>
    <w:rsid w:val="00BA5F9B"/>
    <w:rsid w:val="00BA60A6"/>
    <w:rsid w:val="00BA62E9"/>
    <w:rsid w:val="00BA6391"/>
    <w:rsid w:val="00BA6474"/>
    <w:rsid w:val="00BA66E1"/>
    <w:rsid w:val="00BA67AD"/>
    <w:rsid w:val="00BA68C2"/>
    <w:rsid w:val="00BA6A10"/>
    <w:rsid w:val="00BA6D5F"/>
    <w:rsid w:val="00BA6E35"/>
    <w:rsid w:val="00BA6E50"/>
    <w:rsid w:val="00BA7122"/>
    <w:rsid w:val="00BA718E"/>
    <w:rsid w:val="00BA72EA"/>
    <w:rsid w:val="00BA76C1"/>
    <w:rsid w:val="00BA77A0"/>
    <w:rsid w:val="00BA78D3"/>
    <w:rsid w:val="00BA78E7"/>
    <w:rsid w:val="00BA7CD4"/>
    <w:rsid w:val="00BA7DD4"/>
    <w:rsid w:val="00BA7E56"/>
    <w:rsid w:val="00BA7FB8"/>
    <w:rsid w:val="00BB00D0"/>
    <w:rsid w:val="00BB01E8"/>
    <w:rsid w:val="00BB01FE"/>
    <w:rsid w:val="00BB02DA"/>
    <w:rsid w:val="00BB032F"/>
    <w:rsid w:val="00BB0961"/>
    <w:rsid w:val="00BB0981"/>
    <w:rsid w:val="00BB09C1"/>
    <w:rsid w:val="00BB0A2F"/>
    <w:rsid w:val="00BB0D8B"/>
    <w:rsid w:val="00BB0EC4"/>
    <w:rsid w:val="00BB1006"/>
    <w:rsid w:val="00BB1134"/>
    <w:rsid w:val="00BB120C"/>
    <w:rsid w:val="00BB130D"/>
    <w:rsid w:val="00BB1357"/>
    <w:rsid w:val="00BB1444"/>
    <w:rsid w:val="00BB178A"/>
    <w:rsid w:val="00BB17B7"/>
    <w:rsid w:val="00BB19FC"/>
    <w:rsid w:val="00BB1B81"/>
    <w:rsid w:val="00BB1BE7"/>
    <w:rsid w:val="00BB1C0F"/>
    <w:rsid w:val="00BB1C14"/>
    <w:rsid w:val="00BB1DCE"/>
    <w:rsid w:val="00BB1E97"/>
    <w:rsid w:val="00BB1F43"/>
    <w:rsid w:val="00BB1FA2"/>
    <w:rsid w:val="00BB1FE5"/>
    <w:rsid w:val="00BB1FED"/>
    <w:rsid w:val="00BB1FEF"/>
    <w:rsid w:val="00BB231A"/>
    <w:rsid w:val="00BB24A5"/>
    <w:rsid w:val="00BB26EE"/>
    <w:rsid w:val="00BB27A3"/>
    <w:rsid w:val="00BB2955"/>
    <w:rsid w:val="00BB2CB7"/>
    <w:rsid w:val="00BB2CC6"/>
    <w:rsid w:val="00BB2D3B"/>
    <w:rsid w:val="00BB2F3E"/>
    <w:rsid w:val="00BB2FB1"/>
    <w:rsid w:val="00BB2FBA"/>
    <w:rsid w:val="00BB304B"/>
    <w:rsid w:val="00BB305B"/>
    <w:rsid w:val="00BB31BE"/>
    <w:rsid w:val="00BB32D3"/>
    <w:rsid w:val="00BB32F6"/>
    <w:rsid w:val="00BB34E7"/>
    <w:rsid w:val="00BB36FA"/>
    <w:rsid w:val="00BB389C"/>
    <w:rsid w:val="00BB3954"/>
    <w:rsid w:val="00BB39D7"/>
    <w:rsid w:val="00BB3B42"/>
    <w:rsid w:val="00BB3B90"/>
    <w:rsid w:val="00BB3B9E"/>
    <w:rsid w:val="00BB3BF6"/>
    <w:rsid w:val="00BB3C2D"/>
    <w:rsid w:val="00BB3D5B"/>
    <w:rsid w:val="00BB3F49"/>
    <w:rsid w:val="00BB4086"/>
    <w:rsid w:val="00BB408D"/>
    <w:rsid w:val="00BB435A"/>
    <w:rsid w:val="00BB43B8"/>
    <w:rsid w:val="00BB4649"/>
    <w:rsid w:val="00BB4793"/>
    <w:rsid w:val="00BB4856"/>
    <w:rsid w:val="00BB489F"/>
    <w:rsid w:val="00BB48B5"/>
    <w:rsid w:val="00BB498E"/>
    <w:rsid w:val="00BB4CA2"/>
    <w:rsid w:val="00BB4D69"/>
    <w:rsid w:val="00BB4E91"/>
    <w:rsid w:val="00BB503A"/>
    <w:rsid w:val="00BB5175"/>
    <w:rsid w:val="00BB51A5"/>
    <w:rsid w:val="00BB5564"/>
    <w:rsid w:val="00BB5648"/>
    <w:rsid w:val="00BB56D6"/>
    <w:rsid w:val="00BB5A5D"/>
    <w:rsid w:val="00BB5B75"/>
    <w:rsid w:val="00BB5E10"/>
    <w:rsid w:val="00BB5E51"/>
    <w:rsid w:val="00BB609E"/>
    <w:rsid w:val="00BB617F"/>
    <w:rsid w:val="00BB6308"/>
    <w:rsid w:val="00BB63CF"/>
    <w:rsid w:val="00BB6812"/>
    <w:rsid w:val="00BB6D9D"/>
    <w:rsid w:val="00BB6E9B"/>
    <w:rsid w:val="00BB701F"/>
    <w:rsid w:val="00BB7069"/>
    <w:rsid w:val="00BB7119"/>
    <w:rsid w:val="00BB7229"/>
    <w:rsid w:val="00BB72B5"/>
    <w:rsid w:val="00BB7578"/>
    <w:rsid w:val="00BB7763"/>
    <w:rsid w:val="00BB7966"/>
    <w:rsid w:val="00BB7C28"/>
    <w:rsid w:val="00BB7C6D"/>
    <w:rsid w:val="00BB7CF7"/>
    <w:rsid w:val="00BB7D21"/>
    <w:rsid w:val="00BC003B"/>
    <w:rsid w:val="00BC0212"/>
    <w:rsid w:val="00BC02A0"/>
    <w:rsid w:val="00BC02C6"/>
    <w:rsid w:val="00BC043B"/>
    <w:rsid w:val="00BC067E"/>
    <w:rsid w:val="00BC089C"/>
    <w:rsid w:val="00BC08D2"/>
    <w:rsid w:val="00BC0904"/>
    <w:rsid w:val="00BC0952"/>
    <w:rsid w:val="00BC0990"/>
    <w:rsid w:val="00BC0AB6"/>
    <w:rsid w:val="00BC0B7F"/>
    <w:rsid w:val="00BC0CA6"/>
    <w:rsid w:val="00BC0EAC"/>
    <w:rsid w:val="00BC109C"/>
    <w:rsid w:val="00BC113F"/>
    <w:rsid w:val="00BC12D5"/>
    <w:rsid w:val="00BC130C"/>
    <w:rsid w:val="00BC145A"/>
    <w:rsid w:val="00BC1506"/>
    <w:rsid w:val="00BC15B6"/>
    <w:rsid w:val="00BC1640"/>
    <w:rsid w:val="00BC181B"/>
    <w:rsid w:val="00BC19C1"/>
    <w:rsid w:val="00BC19F0"/>
    <w:rsid w:val="00BC1BDB"/>
    <w:rsid w:val="00BC1DB8"/>
    <w:rsid w:val="00BC1E01"/>
    <w:rsid w:val="00BC1F25"/>
    <w:rsid w:val="00BC1FF9"/>
    <w:rsid w:val="00BC207C"/>
    <w:rsid w:val="00BC215C"/>
    <w:rsid w:val="00BC21FB"/>
    <w:rsid w:val="00BC223F"/>
    <w:rsid w:val="00BC2330"/>
    <w:rsid w:val="00BC23D6"/>
    <w:rsid w:val="00BC26F5"/>
    <w:rsid w:val="00BC285C"/>
    <w:rsid w:val="00BC296A"/>
    <w:rsid w:val="00BC2AD6"/>
    <w:rsid w:val="00BC2B27"/>
    <w:rsid w:val="00BC2B57"/>
    <w:rsid w:val="00BC2C6F"/>
    <w:rsid w:val="00BC2CD1"/>
    <w:rsid w:val="00BC2D47"/>
    <w:rsid w:val="00BC2E18"/>
    <w:rsid w:val="00BC302C"/>
    <w:rsid w:val="00BC32EB"/>
    <w:rsid w:val="00BC3318"/>
    <w:rsid w:val="00BC3441"/>
    <w:rsid w:val="00BC371C"/>
    <w:rsid w:val="00BC3BFF"/>
    <w:rsid w:val="00BC3C41"/>
    <w:rsid w:val="00BC3D22"/>
    <w:rsid w:val="00BC3E01"/>
    <w:rsid w:val="00BC3F3E"/>
    <w:rsid w:val="00BC4044"/>
    <w:rsid w:val="00BC4156"/>
    <w:rsid w:val="00BC453C"/>
    <w:rsid w:val="00BC454E"/>
    <w:rsid w:val="00BC4572"/>
    <w:rsid w:val="00BC47D0"/>
    <w:rsid w:val="00BC484F"/>
    <w:rsid w:val="00BC48BA"/>
    <w:rsid w:val="00BC498D"/>
    <w:rsid w:val="00BC49A4"/>
    <w:rsid w:val="00BC4ABF"/>
    <w:rsid w:val="00BC4D97"/>
    <w:rsid w:val="00BC5043"/>
    <w:rsid w:val="00BC51BF"/>
    <w:rsid w:val="00BC52B5"/>
    <w:rsid w:val="00BC5364"/>
    <w:rsid w:val="00BC5390"/>
    <w:rsid w:val="00BC5595"/>
    <w:rsid w:val="00BC55CF"/>
    <w:rsid w:val="00BC5655"/>
    <w:rsid w:val="00BC5806"/>
    <w:rsid w:val="00BC5908"/>
    <w:rsid w:val="00BC5C0C"/>
    <w:rsid w:val="00BC5D10"/>
    <w:rsid w:val="00BC5E4C"/>
    <w:rsid w:val="00BC5E55"/>
    <w:rsid w:val="00BC5E87"/>
    <w:rsid w:val="00BC5EF5"/>
    <w:rsid w:val="00BC601A"/>
    <w:rsid w:val="00BC6045"/>
    <w:rsid w:val="00BC636C"/>
    <w:rsid w:val="00BC65A4"/>
    <w:rsid w:val="00BC65EA"/>
    <w:rsid w:val="00BC6784"/>
    <w:rsid w:val="00BC688F"/>
    <w:rsid w:val="00BC68A0"/>
    <w:rsid w:val="00BC6952"/>
    <w:rsid w:val="00BC6AF3"/>
    <w:rsid w:val="00BC6AFC"/>
    <w:rsid w:val="00BC6B25"/>
    <w:rsid w:val="00BC6BC5"/>
    <w:rsid w:val="00BC6CC0"/>
    <w:rsid w:val="00BC6CCA"/>
    <w:rsid w:val="00BC6F21"/>
    <w:rsid w:val="00BC705B"/>
    <w:rsid w:val="00BC725C"/>
    <w:rsid w:val="00BC72F3"/>
    <w:rsid w:val="00BC7336"/>
    <w:rsid w:val="00BC7626"/>
    <w:rsid w:val="00BC7B3E"/>
    <w:rsid w:val="00BC7C9C"/>
    <w:rsid w:val="00BC7ED7"/>
    <w:rsid w:val="00BC7F4E"/>
    <w:rsid w:val="00BCCAF0"/>
    <w:rsid w:val="00BD0239"/>
    <w:rsid w:val="00BD0240"/>
    <w:rsid w:val="00BD02B7"/>
    <w:rsid w:val="00BD02D7"/>
    <w:rsid w:val="00BD04DA"/>
    <w:rsid w:val="00BD05DE"/>
    <w:rsid w:val="00BD0693"/>
    <w:rsid w:val="00BD0954"/>
    <w:rsid w:val="00BD0BEE"/>
    <w:rsid w:val="00BD1029"/>
    <w:rsid w:val="00BD1260"/>
    <w:rsid w:val="00BD1396"/>
    <w:rsid w:val="00BD1748"/>
    <w:rsid w:val="00BD19D9"/>
    <w:rsid w:val="00BD1B34"/>
    <w:rsid w:val="00BD1C10"/>
    <w:rsid w:val="00BD1C12"/>
    <w:rsid w:val="00BD1D0B"/>
    <w:rsid w:val="00BD1D2D"/>
    <w:rsid w:val="00BD2451"/>
    <w:rsid w:val="00BD2493"/>
    <w:rsid w:val="00BD2580"/>
    <w:rsid w:val="00BD2687"/>
    <w:rsid w:val="00BD281F"/>
    <w:rsid w:val="00BD294D"/>
    <w:rsid w:val="00BD299B"/>
    <w:rsid w:val="00BD2B7A"/>
    <w:rsid w:val="00BD333F"/>
    <w:rsid w:val="00BD34BF"/>
    <w:rsid w:val="00BD3568"/>
    <w:rsid w:val="00BD3766"/>
    <w:rsid w:val="00BD3923"/>
    <w:rsid w:val="00BD3CBC"/>
    <w:rsid w:val="00BD3D42"/>
    <w:rsid w:val="00BD3DE1"/>
    <w:rsid w:val="00BD3E2F"/>
    <w:rsid w:val="00BD3E6B"/>
    <w:rsid w:val="00BD408E"/>
    <w:rsid w:val="00BD4114"/>
    <w:rsid w:val="00BD427A"/>
    <w:rsid w:val="00BD42B0"/>
    <w:rsid w:val="00BD42F3"/>
    <w:rsid w:val="00BD4448"/>
    <w:rsid w:val="00BD46CA"/>
    <w:rsid w:val="00BD482F"/>
    <w:rsid w:val="00BD4A63"/>
    <w:rsid w:val="00BD4A8E"/>
    <w:rsid w:val="00BD4BE5"/>
    <w:rsid w:val="00BD4C67"/>
    <w:rsid w:val="00BD4CC0"/>
    <w:rsid w:val="00BD4CE5"/>
    <w:rsid w:val="00BD4F79"/>
    <w:rsid w:val="00BD5292"/>
    <w:rsid w:val="00BD5330"/>
    <w:rsid w:val="00BD545E"/>
    <w:rsid w:val="00BD54A2"/>
    <w:rsid w:val="00BD54D0"/>
    <w:rsid w:val="00BD55CA"/>
    <w:rsid w:val="00BD55FE"/>
    <w:rsid w:val="00BD5843"/>
    <w:rsid w:val="00BD599B"/>
    <w:rsid w:val="00BD5B23"/>
    <w:rsid w:val="00BD5BE7"/>
    <w:rsid w:val="00BD5FD0"/>
    <w:rsid w:val="00BD6273"/>
    <w:rsid w:val="00BD640B"/>
    <w:rsid w:val="00BD685F"/>
    <w:rsid w:val="00BD6D00"/>
    <w:rsid w:val="00BD6DA7"/>
    <w:rsid w:val="00BD72D5"/>
    <w:rsid w:val="00BD752A"/>
    <w:rsid w:val="00BD758A"/>
    <w:rsid w:val="00BD759A"/>
    <w:rsid w:val="00BD7748"/>
    <w:rsid w:val="00BD7BEE"/>
    <w:rsid w:val="00BD7C64"/>
    <w:rsid w:val="00BD7CCF"/>
    <w:rsid w:val="00BD7DAE"/>
    <w:rsid w:val="00BD7DD8"/>
    <w:rsid w:val="00BD7FD0"/>
    <w:rsid w:val="00BE00A5"/>
    <w:rsid w:val="00BE00DA"/>
    <w:rsid w:val="00BE0331"/>
    <w:rsid w:val="00BE03A4"/>
    <w:rsid w:val="00BE03AA"/>
    <w:rsid w:val="00BE05E0"/>
    <w:rsid w:val="00BE0755"/>
    <w:rsid w:val="00BE0821"/>
    <w:rsid w:val="00BE0846"/>
    <w:rsid w:val="00BE08AD"/>
    <w:rsid w:val="00BE0925"/>
    <w:rsid w:val="00BE0B16"/>
    <w:rsid w:val="00BE0DA7"/>
    <w:rsid w:val="00BE0DCC"/>
    <w:rsid w:val="00BE123E"/>
    <w:rsid w:val="00BE1290"/>
    <w:rsid w:val="00BE144D"/>
    <w:rsid w:val="00BE1531"/>
    <w:rsid w:val="00BE15D9"/>
    <w:rsid w:val="00BE15EC"/>
    <w:rsid w:val="00BE1668"/>
    <w:rsid w:val="00BE1735"/>
    <w:rsid w:val="00BE1750"/>
    <w:rsid w:val="00BE1935"/>
    <w:rsid w:val="00BE1A34"/>
    <w:rsid w:val="00BE1B00"/>
    <w:rsid w:val="00BE1D04"/>
    <w:rsid w:val="00BE1DD0"/>
    <w:rsid w:val="00BE204F"/>
    <w:rsid w:val="00BE23D8"/>
    <w:rsid w:val="00BE2413"/>
    <w:rsid w:val="00BE25C3"/>
    <w:rsid w:val="00BE26D8"/>
    <w:rsid w:val="00BE271A"/>
    <w:rsid w:val="00BE288A"/>
    <w:rsid w:val="00BE292A"/>
    <w:rsid w:val="00BE299D"/>
    <w:rsid w:val="00BE2C9D"/>
    <w:rsid w:val="00BE2D68"/>
    <w:rsid w:val="00BE2DE4"/>
    <w:rsid w:val="00BE2E0F"/>
    <w:rsid w:val="00BE2FE5"/>
    <w:rsid w:val="00BE303B"/>
    <w:rsid w:val="00BE31FD"/>
    <w:rsid w:val="00BE3390"/>
    <w:rsid w:val="00BE392F"/>
    <w:rsid w:val="00BE3A56"/>
    <w:rsid w:val="00BE3BBD"/>
    <w:rsid w:val="00BE3CDF"/>
    <w:rsid w:val="00BE4079"/>
    <w:rsid w:val="00BE40DD"/>
    <w:rsid w:val="00BE4246"/>
    <w:rsid w:val="00BE428A"/>
    <w:rsid w:val="00BE4312"/>
    <w:rsid w:val="00BE4348"/>
    <w:rsid w:val="00BE445A"/>
    <w:rsid w:val="00BE4754"/>
    <w:rsid w:val="00BE480F"/>
    <w:rsid w:val="00BE4946"/>
    <w:rsid w:val="00BE4FB5"/>
    <w:rsid w:val="00BE5663"/>
    <w:rsid w:val="00BE56ED"/>
    <w:rsid w:val="00BE5788"/>
    <w:rsid w:val="00BE584F"/>
    <w:rsid w:val="00BE58E8"/>
    <w:rsid w:val="00BE59F6"/>
    <w:rsid w:val="00BE5D86"/>
    <w:rsid w:val="00BE5E2B"/>
    <w:rsid w:val="00BE618A"/>
    <w:rsid w:val="00BE6288"/>
    <w:rsid w:val="00BE6350"/>
    <w:rsid w:val="00BE65C7"/>
    <w:rsid w:val="00BE66A5"/>
    <w:rsid w:val="00BE66E4"/>
    <w:rsid w:val="00BE6916"/>
    <w:rsid w:val="00BE696D"/>
    <w:rsid w:val="00BE6AE0"/>
    <w:rsid w:val="00BE6CA0"/>
    <w:rsid w:val="00BE6EEF"/>
    <w:rsid w:val="00BE7095"/>
    <w:rsid w:val="00BE721E"/>
    <w:rsid w:val="00BE75FE"/>
    <w:rsid w:val="00BE7608"/>
    <w:rsid w:val="00BE76E5"/>
    <w:rsid w:val="00BE784F"/>
    <w:rsid w:val="00BE794D"/>
    <w:rsid w:val="00BE7B76"/>
    <w:rsid w:val="00BE7C77"/>
    <w:rsid w:val="00BE7D18"/>
    <w:rsid w:val="00BE7D59"/>
    <w:rsid w:val="00BE7ECD"/>
    <w:rsid w:val="00BE7F03"/>
    <w:rsid w:val="00BEEC8C"/>
    <w:rsid w:val="00BF04F0"/>
    <w:rsid w:val="00BF056F"/>
    <w:rsid w:val="00BF07E6"/>
    <w:rsid w:val="00BF0C15"/>
    <w:rsid w:val="00BF0D80"/>
    <w:rsid w:val="00BF0E3E"/>
    <w:rsid w:val="00BF0EFF"/>
    <w:rsid w:val="00BF10D8"/>
    <w:rsid w:val="00BF1225"/>
    <w:rsid w:val="00BF1227"/>
    <w:rsid w:val="00BF129D"/>
    <w:rsid w:val="00BF1431"/>
    <w:rsid w:val="00BF148A"/>
    <w:rsid w:val="00BF150E"/>
    <w:rsid w:val="00BF1649"/>
    <w:rsid w:val="00BF16EF"/>
    <w:rsid w:val="00BF18A4"/>
    <w:rsid w:val="00BF1928"/>
    <w:rsid w:val="00BF1A18"/>
    <w:rsid w:val="00BF1D8B"/>
    <w:rsid w:val="00BF2078"/>
    <w:rsid w:val="00BF2084"/>
    <w:rsid w:val="00BF21AC"/>
    <w:rsid w:val="00BF221B"/>
    <w:rsid w:val="00BF222E"/>
    <w:rsid w:val="00BF2271"/>
    <w:rsid w:val="00BF2597"/>
    <w:rsid w:val="00BF26F0"/>
    <w:rsid w:val="00BF276F"/>
    <w:rsid w:val="00BF2834"/>
    <w:rsid w:val="00BF285C"/>
    <w:rsid w:val="00BF29C7"/>
    <w:rsid w:val="00BF2B14"/>
    <w:rsid w:val="00BF2C51"/>
    <w:rsid w:val="00BF2CD5"/>
    <w:rsid w:val="00BF2CED"/>
    <w:rsid w:val="00BF2EED"/>
    <w:rsid w:val="00BF2FCE"/>
    <w:rsid w:val="00BF30DF"/>
    <w:rsid w:val="00BF3195"/>
    <w:rsid w:val="00BF33A0"/>
    <w:rsid w:val="00BF33D1"/>
    <w:rsid w:val="00BF36E3"/>
    <w:rsid w:val="00BF38C6"/>
    <w:rsid w:val="00BF39BF"/>
    <w:rsid w:val="00BF39ED"/>
    <w:rsid w:val="00BF39F0"/>
    <w:rsid w:val="00BF3D67"/>
    <w:rsid w:val="00BF4186"/>
    <w:rsid w:val="00BF4225"/>
    <w:rsid w:val="00BF4292"/>
    <w:rsid w:val="00BF42B2"/>
    <w:rsid w:val="00BF463A"/>
    <w:rsid w:val="00BF47B6"/>
    <w:rsid w:val="00BF49E0"/>
    <w:rsid w:val="00BF4E4A"/>
    <w:rsid w:val="00BF4E7E"/>
    <w:rsid w:val="00BF52F6"/>
    <w:rsid w:val="00BF53F7"/>
    <w:rsid w:val="00BF555E"/>
    <w:rsid w:val="00BF561B"/>
    <w:rsid w:val="00BF5719"/>
    <w:rsid w:val="00BF5827"/>
    <w:rsid w:val="00BF5A5F"/>
    <w:rsid w:val="00BF5AD6"/>
    <w:rsid w:val="00BF5B12"/>
    <w:rsid w:val="00BF5B3A"/>
    <w:rsid w:val="00BF5CE7"/>
    <w:rsid w:val="00BF5DCE"/>
    <w:rsid w:val="00BF5DDC"/>
    <w:rsid w:val="00BF6009"/>
    <w:rsid w:val="00BF60CD"/>
    <w:rsid w:val="00BF6151"/>
    <w:rsid w:val="00BF622E"/>
    <w:rsid w:val="00BF6328"/>
    <w:rsid w:val="00BF6514"/>
    <w:rsid w:val="00BF6579"/>
    <w:rsid w:val="00BF6753"/>
    <w:rsid w:val="00BF6763"/>
    <w:rsid w:val="00BF681D"/>
    <w:rsid w:val="00BF68E5"/>
    <w:rsid w:val="00BF6913"/>
    <w:rsid w:val="00BF6C8E"/>
    <w:rsid w:val="00BF6CD2"/>
    <w:rsid w:val="00BF6E4A"/>
    <w:rsid w:val="00BF7129"/>
    <w:rsid w:val="00BF71EB"/>
    <w:rsid w:val="00BF7506"/>
    <w:rsid w:val="00BF751C"/>
    <w:rsid w:val="00BF755A"/>
    <w:rsid w:val="00BF7740"/>
    <w:rsid w:val="00BF7797"/>
    <w:rsid w:val="00BF7AB5"/>
    <w:rsid w:val="00BF7AE6"/>
    <w:rsid w:val="00BF7AE7"/>
    <w:rsid w:val="00BF7BB6"/>
    <w:rsid w:val="00BF7E28"/>
    <w:rsid w:val="00C00070"/>
    <w:rsid w:val="00C00081"/>
    <w:rsid w:val="00C004CD"/>
    <w:rsid w:val="00C0055D"/>
    <w:rsid w:val="00C00584"/>
    <w:rsid w:val="00C007FC"/>
    <w:rsid w:val="00C008A7"/>
    <w:rsid w:val="00C00981"/>
    <w:rsid w:val="00C00ABC"/>
    <w:rsid w:val="00C00ADE"/>
    <w:rsid w:val="00C00D8E"/>
    <w:rsid w:val="00C00E6B"/>
    <w:rsid w:val="00C00F02"/>
    <w:rsid w:val="00C0106C"/>
    <w:rsid w:val="00C011C5"/>
    <w:rsid w:val="00C012A7"/>
    <w:rsid w:val="00C0145F"/>
    <w:rsid w:val="00C014D4"/>
    <w:rsid w:val="00C01611"/>
    <w:rsid w:val="00C0167E"/>
    <w:rsid w:val="00C0179E"/>
    <w:rsid w:val="00C018F4"/>
    <w:rsid w:val="00C01938"/>
    <w:rsid w:val="00C01A9E"/>
    <w:rsid w:val="00C01AC1"/>
    <w:rsid w:val="00C01AEB"/>
    <w:rsid w:val="00C01BAD"/>
    <w:rsid w:val="00C01C51"/>
    <w:rsid w:val="00C01D46"/>
    <w:rsid w:val="00C01E7F"/>
    <w:rsid w:val="00C020CC"/>
    <w:rsid w:val="00C0245F"/>
    <w:rsid w:val="00C02743"/>
    <w:rsid w:val="00C02A14"/>
    <w:rsid w:val="00C02AB1"/>
    <w:rsid w:val="00C02B21"/>
    <w:rsid w:val="00C02B55"/>
    <w:rsid w:val="00C02E70"/>
    <w:rsid w:val="00C02F15"/>
    <w:rsid w:val="00C02F46"/>
    <w:rsid w:val="00C03318"/>
    <w:rsid w:val="00C033E8"/>
    <w:rsid w:val="00C033FA"/>
    <w:rsid w:val="00C03471"/>
    <w:rsid w:val="00C03555"/>
    <w:rsid w:val="00C0367E"/>
    <w:rsid w:val="00C036C5"/>
    <w:rsid w:val="00C03962"/>
    <w:rsid w:val="00C03EAA"/>
    <w:rsid w:val="00C03F8F"/>
    <w:rsid w:val="00C03FA2"/>
    <w:rsid w:val="00C040FC"/>
    <w:rsid w:val="00C04270"/>
    <w:rsid w:val="00C042D9"/>
    <w:rsid w:val="00C0433B"/>
    <w:rsid w:val="00C0441D"/>
    <w:rsid w:val="00C044F2"/>
    <w:rsid w:val="00C045D7"/>
    <w:rsid w:val="00C04723"/>
    <w:rsid w:val="00C047F5"/>
    <w:rsid w:val="00C047F9"/>
    <w:rsid w:val="00C04A97"/>
    <w:rsid w:val="00C04D3E"/>
    <w:rsid w:val="00C04D55"/>
    <w:rsid w:val="00C04F79"/>
    <w:rsid w:val="00C05469"/>
    <w:rsid w:val="00C054AC"/>
    <w:rsid w:val="00C05638"/>
    <w:rsid w:val="00C056E5"/>
    <w:rsid w:val="00C05713"/>
    <w:rsid w:val="00C05933"/>
    <w:rsid w:val="00C05937"/>
    <w:rsid w:val="00C05939"/>
    <w:rsid w:val="00C059A3"/>
    <w:rsid w:val="00C059CE"/>
    <w:rsid w:val="00C059D3"/>
    <w:rsid w:val="00C05B10"/>
    <w:rsid w:val="00C05BA7"/>
    <w:rsid w:val="00C05C1A"/>
    <w:rsid w:val="00C05CB6"/>
    <w:rsid w:val="00C05D4E"/>
    <w:rsid w:val="00C05FD7"/>
    <w:rsid w:val="00C06075"/>
    <w:rsid w:val="00C060D1"/>
    <w:rsid w:val="00C060E6"/>
    <w:rsid w:val="00C060ED"/>
    <w:rsid w:val="00C0610D"/>
    <w:rsid w:val="00C06548"/>
    <w:rsid w:val="00C06810"/>
    <w:rsid w:val="00C06A3E"/>
    <w:rsid w:val="00C06D28"/>
    <w:rsid w:val="00C06D6B"/>
    <w:rsid w:val="00C06DE2"/>
    <w:rsid w:val="00C06F51"/>
    <w:rsid w:val="00C06FA0"/>
    <w:rsid w:val="00C0712E"/>
    <w:rsid w:val="00C072E9"/>
    <w:rsid w:val="00C073F5"/>
    <w:rsid w:val="00C07587"/>
    <w:rsid w:val="00C077B6"/>
    <w:rsid w:val="00C078BB"/>
    <w:rsid w:val="00C07978"/>
    <w:rsid w:val="00C07E24"/>
    <w:rsid w:val="00C07F99"/>
    <w:rsid w:val="00C07FBE"/>
    <w:rsid w:val="00C1004C"/>
    <w:rsid w:val="00C10056"/>
    <w:rsid w:val="00C10229"/>
    <w:rsid w:val="00C1040D"/>
    <w:rsid w:val="00C1058E"/>
    <w:rsid w:val="00C1059C"/>
    <w:rsid w:val="00C106D6"/>
    <w:rsid w:val="00C106F4"/>
    <w:rsid w:val="00C107C2"/>
    <w:rsid w:val="00C10AD9"/>
    <w:rsid w:val="00C10B72"/>
    <w:rsid w:val="00C10BCE"/>
    <w:rsid w:val="00C10D4C"/>
    <w:rsid w:val="00C10F97"/>
    <w:rsid w:val="00C110DA"/>
    <w:rsid w:val="00C1110B"/>
    <w:rsid w:val="00C11405"/>
    <w:rsid w:val="00C119C5"/>
    <w:rsid w:val="00C11CE1"/>
    <w:rsid w:val="00C11D80"/>
    <w:rsid w:val="00C11F44"/>
    <w:rsid w:val="00C11F88"/>
    <w:rsid w:val="00C11FBA"/>
    <w:rsid w:val="00C1203A"/>
    <w:rsid w:val="00C120FD"/>
    <w:rsid w:val="00C12156"/>
    <w:rsid w:val="00C12158"/>
    <w:rsid w:val="00C122D1"/>
    <w:rsid w:val="00C123C2"/>
    <w:rsid w:val="00C1245E"/>
    <w:rsid w:val="00C124CF"/>
    <w:rsid w:val="00C1250B"/>
    <w:rsid w:val="00C12777"/>
    <w:rsid w:val="00C12839"/>
    <w:rsid w:val="00C12A89"/>
    <w:rsid w:val="00C12B5F"/>
    <w:rsid w:val="00C12B72"/>
    <w:rsid w:val="00C12C90"/>
    <w:rsid w:val="00C12E4B"/>
    <w:rsid w:val="00C131D9"/>
    <w:rsid w:val="00C1320A"/>
    <w:rsid w:val="00C1340D"/>
    <w:rsid w:val="00C1346A"/>
    <w:rsid w:val="00C135CB"/>
    <w:rsid w:val="00C136CE"/>
    <w:rsid w:val="00C1386F"/>
    <w:rsid w:val="00C13A98"/>
    <w:rsid w:val="00C13B98"/>
    <w:rsid w:val="00C13C28"/>
    <w:rsid w:val="00C13C83"/>
    <w:rsid w:val="00C13E0D"/>
    <w:rsid w:val="00C13EF6"/>
    <w:rsid w:val="00C1411E"/>
    <w:rsid w:val="00C14241"/>
    <w:rsid w:val="00C14253"/>
    <w:rsid w:val="00C14426"/>
    <w:rsid w:val="00C145A2"/>
    <w:rsid w:val="00C14645"/>
    <w:rsid w:val="00C149A4"/>
    <w:rsid w:val="00C14A90"/>
    <w:rsid w:val="00C14F5C"/>
    <w:rsid w:val="00C15095"/>
    <w:rsid w:val="00C150F9"/>
    <w:rsid w:val="00C1535D"/>
    <w:rsid w:val="00C153C5"/>
    <w:rsid w:val="00C153E6"/>
    <w:rsid w:val="00C1557A"/>
    <w:rsid w:val="00C1560A"/>
    <w:rsid w:val="00C1588F"/>
    <w:rsid w:val="00C1598C"/>
    <w:rsid w:val="00C15A9B"/>
    <w:rsid w:val="00C15BBF"/>
    <w:rsid w:val="00C15C28"/>
    <w:rsid w:val="00C15ED5"/>
    <w:rsid w:val="00C16107"/>
    <w:rsid w:val="00C162ED"/>
    <w:rsid w:val="00C1641C"/>
    <w:rsid w:val="00C16617"/>
    <w:rsid w:val="00C1693D"/>
    <w:rsid w:val="00C16E40"/>
    <w:rsid w:val="00C16E97"/>
    <w:rsid w:val="00C16EFF"/>
    <w:rsid w:val="00C16F1C"/>
    <w:rsid w:val="00C16FB0"/>
    <w:rsid w:val="00C17025"/>
    <w:rsid w:val="00C1708A"/>
    <w:rsid w:val="00C170EA"/>
    <w:rsid w:val="00C1712B"/>
    <w:rsid w:val="00C17368"/>
    <w:rsid w:val="00C17438"/>
    <w:rsid w:val="00C17619"/>
    <w:rsid w:val="00C176CB"/>
    <w:rsid w:val="00C178D1"/>
    <w:rsid w:val="00C17CFE"/>
    <w:rsid w:val="00C17F48"/>
    <w:rsid w:val="00C200E4"/>
    <w:rsid w:val="00C201A3"/>
    <w:rsid w:val="00C20509"/>
    <w:rsid w:val="00C206B5"/>
    <w:rsid w:val="00C2080B"/>
    <w:rsid w:val="00C20835"/>
    <w:rsid w:val="00C20B15"/>
    <w:rsid w:val="00C20C31"/>
    <w:rsid w:val="00C20C47"/>
    <w:rsid w:val="00C20CAD"/>
    <w:rsid w:val="00C20D0D"/>
    <w:rsid w:val="00C20D34"/>
    <w:rsid w:val="00C20DC1"/>
    <w:rsid w:val="00C20EBC"/>
    <w:rsid w:val="00C20EC2"/>
    <w:rsid w:val="00C2108E"/>
    <w:rsid w:val="00C210DB"/>
    <w:rsid w:val="00C211DE"/>
    <w:rsid w:val="00C21396"/>
    <w:rsid w:val="00C21B4B"/>
    <w:rsid w:val="00C21B4C"/>
    <w:rsid w:val="00C21E89"/>
    <w:rsid w:val="00C21F3B"/>
    <w:rsid w:val="00C221AB"/>
    <w:rsid w:val="00C221CB"/>
    <w:rsid w:val="00C224FF"/>
    <w:rsid w:val="00C22603"/>
    <w:rsid w:val="00C22CC4"/>
    <w:rsid w:val="00C22CEC"/>
    <w:rsid w:val="00C22D99"/>
    <w:rsid w:val="00C23153"/>
    <w:rsid w:val="00C2344A"/>
    <w:rsid w:val="00C23539"/>
    <w:rsid w:val="00C235AF"/>
    <w:rsid w:val="00C235BB"/>
    <w:rsid w:val="00C2362B"/>
    <w:rsid w:val="00C23817"/>
    <w:rsid w:val="00C2387C"/>
    <w:rsid w:val="00C23882"/>
    <w:rsid w:val="00C238EE"/>
    <w:rsid w:val="00C23BBD"/>
    <w:rsid w:val="00C23DF5"/>
    <w:rsid w:val="00C23EEB"/>
    <w:rsid w:val="00C23F13"/>
    <w:rsid w:val="00C24147"/>
    <w:rsid w:val="00C24152"/>
    <w:rsid w:val="00C244DB"/>
    <w:rsid w:val="00C2452D"/>
    <w:rsid w:val="00C247D1"/>
    <w:rsid w:val="00C248B2"/>
    <w:rsid w:val="00C24B83"/>
    <w:rsid w:val="00C24E58"/>
    <w:rsid w:val="00C24FCA"/>
    <w:rsid w:val="00C25138"/>
    <w:rsid w:val="00C251EF"/>
    <w:rsid w:val="00C25214"/>
    <w:rsid w:val="00C25797"/>
    <w:rsid w:val="00C258DA"/>
    <w:rsid w:val="00C25A26"/>
    <w:rsid w:val="00C25B70"/>
    <w:rsid w:val="00C25D07"/>
    <w:rsid w:val="00C25E80"/>
    <w:rsid w:val="00C25EFA"/>
    <w:rsid w:val="00C2606F"/>
    <w:rsid w:val="00C26264"/>
    <w:rsid w:val="00C2629B"/>
    <w:rsid w:val="00C262CF"/>
    <w:rsid w:val="00C2630D"/>
    <w:rsid w:val="00C26714"/>
    <w:rsid w:val="00C2696C"/>
    <w:rsid w:val="00C269EC"/>
    <w:rsid w:val="00C26A38"/>
    <w:rsid w:val="00C26D26"/>
    <w:rsid w:val="00C26D8C"/>
    <w:rsid w:val="00C26DA8"/>
    <w:rsid w:val="00C26F1E"/>
    <w:rsid w:val="00C26F21"/>
    <w:rsid w:val="00C26FF9"/>
    <w:rsid w:val="00C27009"/>
    <w:rsid w:val="00C27025"/>
    <w:rsid w:val="00C270AB"/>
    <w:rsid w:val="00C270AD"/>
    <w:rsid w:val="00C273C6"/>
    <w:rsid w:val="00C2743E"/>
    <w:rsid w:val="00C27477"/>
    <w:rsid w:val="00C27488"/>
    <w:rsid w:val="00C275CA"/>
    <w:rsid w:val="00C27606"/>
    <w:rsid w:val="00C278B7"/>
    <w:rsid w:val="00C27C2D"/>
    <w:rsid w:val="00C27D07"/>
    <w:rsid w:val="00C27DAD"/>
    <w:rsid w:val="00C27DD7"/>
    <w:rsid w:val="00C27FCF"/>
    <w:rsid w:val="00C2A717"/>
    <w:rsid w:val="00C30103"/>
    <w:rsid w:val="00C301D8"/>
    <w:rsid w:val="00C303B2"/>
    <w:rsid w:val="00C303B6"/>
    <w:rsid w:val="00C30619"/>
    <w:rsid w:val="00C30703"/>
    <w:rsid w:val="00C30A19"/>
    <w:rsid w:val="00C30A75"/>
    <w:rsid w:val="00C30AD1"/>
    <w:rsid w:val="00C30D7F"/>
    <w:rsid w:val="00C30EF3"/>
    <w:rsid w:val="00C31186"/>
    <w:rsid w:val="00C312D5"/>
    <w:rsid w:val="00C31426"/>
    <w:rsid w:val="00C31B8E"/>
    <w:rsid w:val="00C31E64"/>
    <w:rsid w:val="00C32649"/>
    <w:rsid w:val="00C3272E"/>
    <w:rsid w:val="00C32801"/>
    <w:rsid w:val="00C32AAD"/>
    <w:rsid w:val="00C32AB8"/>
    <w:rsid w:val="00C32D6F"/>
    <w:rsid w:val="00C32DA5"/>
    <w:rsid w:val="00C32F19"/>
    <w:rsid w:val="00C32F2F"/>
    <w:rsid w:val="00C3301C"/>
    <w:rsid w:val="00C3306F"/>
    <w:rsid w:val="00C3309A"/>
    <w:rsid w:val="00C33252"/>
    <w:rsid w:val="00C33289"/>
    <w:rsid w:val="00C33613"/>
    <w:rsid w:val="00C33654"/>
    <w:rsid w:val="00C336DC"/>
    <w:rsid w:val="00C3387C"/>
    <w:rsid w:val="00C338AA"/>
    <w:rsid w:val="00C33942"/>
    <w:rsid w:val="00C33973"/>
    <w:rsid w:val="00C33CA2"/>
    <w:rsid w:val="00C33E77"/>
    <w:rsid w:val="00C3474D"/>
    <w:rsid w:val="00C34C0E"/>
    <w:rsid w:val="00C34C6A"/>
    <w:rsid w:val="00C34DD2"/>
    <w:rsid w:val="00C34FFD"/>
    <w:rsid w:val="00C350C6"/>
    <w:rsid w:val="00C3529A"/>
    <w:rsid w:val="00C35352"/>
    <w:rsid w:val="00C35637"/>
    <w:rsid w:val="00C35967"/>
    <w:rsid w:val="00C35C06"/>
    <w:rsid w:val="00C35CC2"/>
    <w:rsid w:val="00C35DE4"/>
    <w:rsid w:val="00C35E4C"/>
    <w:rsid w:val="00C35E80"/>
    <w:rsid w:val="00C3602B"/>
    <w:rsid w:val="00C360D1"/>
    <w:rsid w:val="00C36161"/>
    <w:rsid w:val="00C361CD"/>
    <w:rsid w:val="00C362C5"/>
    <w:rsid w:val="00C365AC"/>
    <w:rsid w:val="00C366B6"/>
    <w:rsid w:val="00C36725"/>
    <w:rsid w:val="00C36738"/>
    <w:rsid w:val="00C36834"/>
    <w:rsid w:val="00C3683A"/>
    <w:rsid w:val="00C369C5"/>
    <w:rsid w:val="00C36A8C"/>
    <w:rsid w:val="00C36B0A"/>
    <w:rsid w:val="00C36CC4"/>
    <w:rsid w:val="00C36E0C"/>
    <w:rsid w:val="00C36E70"/>
    <w:rsid w:val="00C36EB4"/>
    <w:rsid w:val="00C36EE3"/>
    <w:rsid w:val="00C3714A"/>
    <w:rsid w:val="00C37202"/>
    <w:rsid w:val="00C37505"/>
    <w:rsid w:val="00C37557"/>
    <w:rsid w:val="00C375E4"/>
    <w:rsid w:val="00C376CC"/>
    <w:rsid w:val="00C37734"/>
    <w:rsid w:val="00C37982"/>
    <w:rsid w:val="00C37AE1"/>
    <w:rsid w:val="00C37BA3"/>
    <w:rsid w:val="00C37E1F"/>
    <w:rsid w:val="00C40010"/>
    <w:rsid w:val="00C401A6"/>
    <w:rsid w:val="00C402C6"/>
    <w:rsid w:val="00C403F1"/>
    <w:rsid w:val="00C40681"/>
    <w:rsid w:val="00C40942"/>
    <w:rsid w:val="00C40957"/>
    <w:rsid w:val="00C40A58"/>
    <w:rsid w:val="00C40B16"/>
    <w:rsid w:val="00C40B7E"/>
    <w:rsid w:val="00C40BB2"/>
    <w:rsid w:val="00C40C50"/>
    <w:rsid w:val="00C40E23"/>
    <w:rsid w:val="00C40E60"/>
    <w:rsid w:val="00C40FD4"/>
    <w:rsid w:val="00C40FEB"/>
    <w:rsid w:val="00C4100E"/>
    <w:rsid w:val="00C41048"/>
    <w:rsid w:val="00C411FF"/>
    <w:rsid w:val="00C414C4"/>
    <w:rsid w:val="00C41699"/>
    <w:rsid w:val="00C41789"/>
    <w:rsid w:val="00C4179A"/>
    <w:rsid w:val="00C41807"/>
    <w:rsid w:val="00C41D50"/>
    <w:rsid w:val="00C421E4"/>
    <w:rsid w:val="00C42255"/>
    <w:rsid w:val="00C423D8"/>
    <w:rsid w:val="00C42419"/>
    <w:rsid w:val="00C42955"/>
    <w:rsid w:val="00C429A3"/>
    <w:rsid w:val="00C429F3"/>
    <w:rsid w:val="00C42A28"/>
    <w:rsid w:val="00C42A29"/>
    <w:rsid w:val="00C42B52"/>
    <w:rsid w:val="00C42B72"/>
    <w:rsid w:val="00C42BD0"/>
    <w:rsid w:val="00C42D16"/>
    <w:rsid w:val="00C42D7F"/>
    <w:rsid w:val="00C42F0B"/>
    <w:rsid w:val="00C4334D"/>
    <w:rsid w:val="00C43390"/>
    <w:rsid w:val="00C433CB"/>
    <w:rsid w:val="00C435F5"/>
    <w:rsid w:val="00C43620"/>
    <w:rsid w:val="00C437D7"/>
    <w:rsid w:val="00C438B3"/>
    <w:rsid w:val="00C439E0"/>
    <w:rsid w:val="00C439F1"/>
    <w:rsid w:val="00C43A34"/>
    <w:rsid w:val="00C43EBE"/>
    <w:rsid w:val="00C43F11"/>
    <w:rsid w:val="00C43F42"/>
    <w:rsid w:val="00C440B4"/>
    <w:rsid w:val="00C44702"/>
    <w:rsid w:val="00C44956"/>
    <w:rsid w:val="00C44987"/>
    <w:rsid w:val="00C449A0"/>
    <w:rsid w:val="00C449E1"/>
    <w:rsid w:val="00C44A8E"/>
    <w:rsid w:val="00C44C68"/>
    <w:rsid w:val="00C44E77"/>
    <w:rsid w:val="00C45266"/>
    <w:rsid w:val="00C452EE"/>
    <w:rsid w:val="00C45452"/>
    <w:rsid w:val="00C454C2"/>
    <w:rsid w:val="00C454E7"/>
    <w:rsid w:val="00C456BA"/>
    <w:rsid w:val="00C456C5"/>
    <w:rsid w:val="00C456DF"/>
    <w:rsid w:val="00C4581A"/>
    <w:rsid w:val="00C458EE"/>
    <w:rsid w:val="00C45A30"/>
    <w:rsid w:val="00C45B17"/>
    <w:rsid w:val="00C45C5B"/>
    <w:rsid w:val="00C45CCA"/>
    <w:rsid w:val="00C45D09"/>
    <w:rsid w:val="00C45E91"/>
    <w:rsid w:val="00C4601D"/>
    <w:rsid w:val="00C462EC"/>
    <w:rsid w:val="00C464DF"/>
    <w:rsid w:val="00C467BF"/>
    <w:rsid w:val="00C468DB"/>
    <w:rsid w:val="00C46A90"/>
    <w:rsid w:val="00C46AF6"/>
    <w:rsid w:val="00C46B52"/>
    <w:rsid w:val="00C46B82"/>
    <w:rsid w:val="00C46BD6"/>
    <w:rsid w:val="00C46D93"/>
    <w:rsid w:val="00C46EF3"/>
    <w:rsid w:val="00C470BA"/>
    <w:rsid w:val="00C47593"/>
    <w:rsid w:val="00C47751"/>
    <w:rsid w:val="00C47764"/>
    <w:rsid w:val="00C47766"/>
    <w:rsid w:val="00C47838"/>
    <w:rsid w:val="00C47860"/>
    <w:rsid w:val="00C479F7"/>
    <w:rsid w:val="00C47B81"/>
    <w:rsid w:val="00C47CC1"/>
    <w:rsid w:val="00C47CF8"/>
    <w:rsid w:val="00C47D05"/>
    <w:rsid w:val="00C47FB9"/>
    <w:rsid w:val="00C5005E"/>
    <w:rsid w:val="00C501B3"/>
    <w:rsid w:val="00C5025D"/>
    <w:rsid w:val="00C50550"/>
    <w:rsid w:val="00C50635"/>
    <w:rsid w:val="00C50727"/>
    <w:rsid w:val="00C50BA8"/>
    <w:rsid w:val="00C50DF2"/>
    <w:rsid w:val="00C50E50"/>
    <w:rsid w:val="00C50E8E"/>
    <w:rsid w:val="00C50F8D"/>
    <w:rsid w:val="00C5116B"/>
    <w:rsid w:val="00C51178"/>
    <w:rsid w:val="00C51184"/>
    <w:rsid w:val="00C511B3"/>
    <w:rsid w:val="00C51295"/>
    <w:rsid w:val="00C51312"/>
    <w:rsid w:val="00C51488"/>
    <w:rsid w:val="00C514D5"/>
    <w:rsid w:val="00C5156E"/>
    <w:rsid w:val="00C51574"/>
    <w:rsid w:val="00C515E8"/>
    <w:rsid w:val="00C51BF3"/>
    <w:rsid w:val="00C51D16"/>
    <w:rsid w:val="00C51D1B"/>
    <w:rsid w:val="00C51ECF"/>
    <w:rsid w:val="00C5207E"/>
    <w:rsid w:val="00C523A4"/>
    <w:rsid w:val="00C5245E"/>
    <w:rsid w:val="00C52557"/>
    <w:rsid w:val="00C5264C"/>
    <w:rsid w:val="00C526BF"/>
    <w:rsid w:val="00C527A3"/>
    <w:rsid w:val="00C527CC"/>
    <w:rsid w:val="00C5280D"/>
    <w:rsid w:val="00C52A73"/>
    <w:rsid w:val="00C52BC5"/>
    <w:rsid w:val="00C52C88"/>
    <w:rsid w:val="00C52D37"/>
    <w:rsid w:val="00C52FFA"/>
    <w:rsid w:val="00C530B1"/>
    <w:rsid w:val="00C530C8"/>
    <w:rsid w:val="00C532FD"/>
    <w:rsid w:val="00C5335A"/>
    <w:rsid w:val="00C534F4"/>
    <w:rsid w:val="00C53625"/>
    <w:rsid w:val="00C53A3B"/>
    <w:rsid w:val="00C53AEA"/>
    <w:rsid w:val="00C53B30"/>
    <w:rsid w:val="00C53BA9"/>
    <w:rsid w:val="00C53DC1"/>
    <w:rsid w:val="00C53E33"/>
    <w:rsid w:val="00C53E56"/>
    <w:rsid w:val="00C54007"/>
    <w:rsid w:val="00C5402A"/>
    <w:rsid w:val="00C542C3"/>
    <w:rsid w:val="00C54670"/>
    <w:rsid w:val="00C54735"/>
    <w:rsid w:val="00C54A1C"/>
    <w:rsid w:val="00C54AA9"/>
    <w:rsid w:val="00C54AF3"/>
    <w:rsid w:val="00C54CF3"/>
    <w:rsid w:val="00C54DC1"/>
    <w:rsid w:val="00C54F57"/>
    <w:rsid w:val="00C55136"/>
    <w:rsid w:val="00C55360"/>
    <w:rsid w:val="00C5543B"/>
    <w:rsid w:val="00C555E8"/>
    <w:rsid w:val="00C5561E"/>
    <w:rsid w:val="00C55732"/>
    <w:rsid w:val="00C557AD"/>
    <w:rsid w:val="00C55968"/>
    <w:rsid w:val="00C55A9C"/>
    <w:rsid w:val="00C55CE2"/>
    <w:rsid w:val="00C55D74"/>
    <w:rsid w:val="00C55DA3"/>
    <w:rsid w:val="00C55F9E"/>
    <w:rsid w:val="00C56201"/>
    <w:rsid w:val="00C5632E"/>
    <w:rsid w:val="00C564C6"/>
    <w:rsid w:val="00C5661C"/>
    <w:rsid w:val="00C56742"/>
    <w:rsid w:val="00C56985"/>
    <w:rsid w:val="00C569D0"/>
    <w:rsid w:val="00C56B30"/>
    <w:rsid w:val="00C56C16"/>
    <w:rsid w:val="00C56F06"/>
    <w:rsid w:val="00C57050"/>
    <w:rsid w:val="00C57146"/>
    <w:rsid w:val="00C57290"/>
    <w:rsid w:val="00C575DB"/>
    <w:rsid w:val="00C577C5"/>
    <w:rsid w:val="00C57A34"/>
    <w:rsid w:val="00C57A53"/>
    <w:rsid w:val="00C57D3A"/>
    <w:rsid w:val="00C57D56"/>
    <w:rsid w:val="00C600C5"/>
    <w:rsid w:val="00C602CF"/>
    <w:rsid w:val="00C6035A"/>
    <w:rsid w:val="00C603A8"/>
    <w:rsid w:val="00C603DE"/>
    <w:rsid w:val="00C603E1"/>
    <w:rsid w:val="00C60617"/>
    <w:rsid w:val="00C6062E"/>
    <w:rsid w:val="00C607F3"/>
    <w:rsid w:val="00C609A1"/>
    <w:rsid w:val="00C60AB0"/>
    <w:rsid w:val="00C60BA8"/>
    <w:rsid w:val="00C60C04"/>
    <w:rsid w:val="00C60C29"/>
    <w:rsid w:val="00C60F21"/>
    <w:rsid w:val="00C60F6B"/>
    <w:rsid w:val="00C613DF"/>
    <w:rsid w:val="00C61690"/>
    <w:rsid w:val="00C6188C"/>
    <w:rsid w:val="00C61A11"/>
    <w:rsid w:val="00C61C60"/>
    <w:rsid w:val="00C61D0C"/>
    <w:rsid w:val="00C61F71"/>
    <w:rsid w:val="00C61FF0"/>
    <w:rsid w:val="00C620CC"/>
    <w:rsid w:val="00C62112"/>
    <w:rsid w:val="00C621CE"/>
    <w:rsid w:val="00C621D8"/>
    <w:rsid w:val="00C6220B"/>
    <w:rsid w:val="00C6220E"/>
    <w:rsid w:val="00C62222"/>
    <w:rsid w:val="00C6223B"/>
    <w:rsid w:val="00C622E1"/>
    <w:rsid w:val="00C623D7"/>
    <w:rsid w:val="00C6258D"/>
    <w:rsid w:val="00C6265A"/>
    <w:rsid w:val="00C626CA"/>
    <w:rsid w:val="00C62C88"/>
    <w:rsid w:val="00C62C8E"/>
    <w:rsid w:val="00C62D64"/>
    <w:rsid w:val="00C62ECA"/>
    <w:rsid w:val="00C62F95"/>
    <w:rsid w:val="00C630D3"/>
    <w:rsid w:val="00C63275"/>
    <w:rsid w:val="00C63574"/>
    <w:rsid w:val="00C63795"/>
    <w:rsid w:val="00C63894"/>
    <w:rsid w:val="00C638B1"/>
    <w:rsid w:val="00C63C21"/>
    <w:rsid w:val="00C63DDF"/>
    <w:rsid w:val="00C63F85"/>
    <w:rsid w:val="00C640AB"/>
    <w:rsid w:val="00C64246"/>
    <w:rsid w:val="00C64505"/>
    <w:rsid w:val="00C6451F"/>
    <w:rsid w:val="00C6462D"/>
    <w:rsid w:val="00C64751"/>
    <w:rsid w:val="00C64837"/>
    <w:rsid w:val="00C6485D"/>
    <w:rsid w:val="00C649BB"/>
    <w:rsid w:val="00C649DE"/>
    <w:rsid w:val="00C64A16"/>
    <w:rsid w:val="00C64AD2"/>
    <w:rsid w:val="00C64DDE"/>
    <w:rsid w:val="00C64E4D"/>
    <w:rsid w:val="00C64EB3"/>
    <w:rsid w:val="00C64ED9"/>
    <w:rsid w:val="00C64F05"/>
    <w:rsid w:val="00C6505D"/>
    <w:rsid w:val="00C65318"/>
    <w:rsid w:val="00C65403"/>
    <w:rsid w:val="00C6541C"/>
    <w:rsid w:val="00C6544D"/>
    <w:rsid w:val="00C656C6"/>
    <w:rsid w:val="00C65921"/>
    <w:rsid w:val="00C6594B"/>
    <w:rsid w:val="00C659BA"/>
    <w:rsid w:val="00C65B2E"/>
    <w:rsid w:val="00C65BD0"/>
    <w:rsid w:val="00C65CC1"/>
    <w:rsid w:val="00C65DCB"/>
    <w:rsid w:val="00C66051"/>
    <w:rsid w:val="00C661E0"/>
    <w:rsid w:val="00C66200"/>
    <w:rsid w:val="00C663DF"/>
    <w:rsid w:val="00C666B3"/>
    <w:rsid w:val="00C66705"/>
    <w:rsid w:val="00C6692E"/>
    <w:rsid w:val="00C66988"/>
    <w:rsid w:val="00C669DC"/>
    <w:rsid w:val="00C66A0A"/>
    <w:rsid w:val="00C66BF0"/>
    <w:rsid w:val="00C66D1D"/>
    <w:rsid w:val="00C66DA6"/>
    <w:rsid w:val="00C66DC8"/>
    <w:rsid w:val="00C66E08"/>
    <w:rsid w:val="00C66F29"/>
    <w:rsid w:val="00C66F79"/>
    <w:rsid w:val="00C6717E"/>
    <w:rsid w:val="00C671AA"/>
    <w:rsid w:val="00C67535"/>
    <w:rsid w:val="00C6766A"/>
    <w:rsid w:val="00C67839"/>
    <w:rsid w:val="00C6797F"/>
    <w:rsid w:val="00C67A54"/>
    <w:rsid w:val="00C67B1E"/>
    <w:rsid w:val="00C67C59"/>
    <w:rsid w:val="00C67C5F"/>
    <w:rsid w:val="00C67C97"/>
    <w:rsid w:val="00C67E3F"/>
    <w:rsid w:val="00C67ED5"/>
    <w:rsid w:val="00C69FFE"/>
    <w:rsid w:val="00C7004C"/>
    <w:rsid w:val="00C70103"/>
    <w:rsid w:val="00C70351"/>
    <w:rsid w:val="00C70370"/>
    <w:rsid w:val="00C706D1"/>
    <w:rsid w:val="00C7079C"/>
    <w:rsid w:val="00C707D8"/>
    <w:rsid w:val="00C70857"/>
    <w:rsid w:val="00C70B7C"/>
    <w:rsid w:val="00C70DC9"/>
    <w:rsid w:val="00C70FAF"/>
    <w:rsid w:val="00C7127F"/>
    <w:rsid w:val="00C71293"/>
    <w:rsid w:val="00C71365"/>
    <w:rsid w:val="00C7137B"/>
    <w:rsid w:val="00C714AB"/>
    <w:rsid w:val="00C71740"/>
    <w:rsid w:val="00C71813"/>
    <w:rsid w:val="00C7191B"/>
    <w:rsid w:val="00C71994"/>
    <w:rsid w:val="00C71D2C"/>
    <w:rsid w:val="00C71F7E"/>
    <w:rsid w:val="00C7205C"/>
    <w:rsid w:val="00C72367"/>
    <w:rsid w:val="00C7245C"/>
    <w:rsid w:val="00C72735"/>
    <w:rsid w:val="00C727B8"/>
    <w:rsid w:val="00C727D7"/>
    <w:rsid w:val="00C72846"/>
    <w:rsid w:val="00C73039"/>
    <w:rsid w:val="00C7306A"/>
    <w:rsid w:val="00C73071"/>
    <w:rsid w:val="00C73264"/>
    <w:rsid w:val="00C73296"/>
    <w:rsid w:val="00C732A9"/>
    <w:rsid w:val="00C7346C"/>
    <w:rsid w:val="00C734B2"/>
    <w:rsid w:val="00C735DA"/>
    <w:rsid w:val="00C7366C"/>
    <w:rsid w:val="00C738B3"/>
    <w:rsid w:val="00C7399F"/>
    <w:rsid w:val="00C73C36"/>
    <w:rsid w:val="00C73C6C"/>
    <w:rsid w:val="00C73E1E"/>
    <w:rsid w:val="00C73E75"/>
    <w:rsid w:val="00C73EFE"/>
    <w:rsid w:val="00C7421B"/>
    <w:rsid w:val="00C742AB"/>
    <w:rsid w:val="00C742C1"/>
    <w:rsid w:val="00C7445F"/>
    <w:rsid w:val="00C74739"/>
    <w:rsid w:val="00C749BD"/>
    <w:rsid w:val="00C74A6A"/>
    <w:rsid w:val="00C74C1C"/>
    <w:rsid w:val="00C74D53"/>
    <w:rsid w:val="00C74E10"/>
    <w:rsid w:val="00C74F2A"/>
    <w:rsid w:val="00C74FAA"/>
    <w:rsid w:val="00C75597"/>
    <w:rsid w:val="00C755A9"/>
    <w:rsid w:val="00C755CC"/>
    <w:rsid w:val="00C7590F"/>
    <w:rsid w:val="00C75C77"/>
    <w:rsid w:val="00C75D56"/>
    <w:rsid w:val="00C75F52"/>
    <w:rsid w:val="00C764AD"/>
    <w:rsid w:val="00C76573"/>
    <w:rsid w:val="00C7662C"/>
    <w:rsid w:val="00C7666F"/>
    <w:rsid w:val="00C76C11"/>
    <w:rsid w:val="00C76E37"/>
    <w:rsid w:val="00C76E3A"/>
    <w:rsid w:val="00C76E9D"/>
    <w:rsid w:val="00C76EC3"/>
    <w:rsid w:val="00C76F39"/>
    <w:rsid w:val="00C7707C"/>
    <w:rsid w:val="00C773B8"/>
    <w:rsid w:val="00C7741E"/>
    <w:rsid w:val="00C7748B"/>
    <w:rsid w:val="00C776D3"/>
    <w:rsid w:val="00C777BA"/>
    <w:rsid w:val="00C77A79"/>
    <w:rsid w:val="00C77B8F"/>
    <w:rsid w:val="00C77BCA"/>
    <w:rsid w:val="00C77C5F"/>
    <w:rsid w:val="00C77D41"/>
    <w:rsid w:val="00C77E17"/>
    <w:rsid w:val="00C77F6D"/>
    <w:rsid w:val="00C8024E"/>
    <w:rsid w:val="00C803EC"/>
    <w:rsid w:val="00C8040D"/>
    <w:rsid w:val="00C806C5"/>
    <w:rsid w:val="00C807ED"/>
    <w:rsid w:val="00C80858"/>
    <w:rsid w:val="00C80923"/>
    <w:rsid w:val="00C8094D"/>
    <w:rsid w:val="00C80A88"/>
    <w:rsid w:val="00C80BE6"/>
    <w:rsid w:val="00C80CC9"/>
    <w:rsid w:val="00C8106F"/>
    <w:rsid w:val="00C8131B"/>
    <w:rsid w:val="00C81441"/>
    <w:rsid w:val="00C8147A"/>
    <w:rsid w:val="00C81689"/>
    <w:rsid w:val="00C81769"/>
    <w:rsid w:val="00C81861"/>
    <w:rsid w:val="00C8197A"/>
    <w:rsid w:val="00C819B4"/>
    <w:rsid w:val="00C81BF7"/>
    <w:rsid w:val="00C81CEC"/>
    <w:rsid w:val="00C81DB1"/>
    <w:rsid w:val="00C81EE6"/>
    <w:rsid w:val="00C81F32"/>
    <w:rsid w:val="00C8229A"/>
    <w:rsid w:val="00C822EA"/>
    <w:rsid w:val="00C82357"/>
    <w:rsid w:val="00C82550"/>
    <w:rsid w:val="00C825B9"/>
    <w:rsid w:val="00C826D9"/>
    <w:rsid w:val="00C829E9"/>
    <w:rsid w:val="00C82D5B"/>
    <w:rsid w:val="00C82DF3"/>
    <w:rsid w:val="00C82F2F"/>
    <w:rsid w:val="00C8331B"/>
    <w:rsid w:val="00C8334D"/>
    <w:rsid w:val="00C83375"/>
    <w:rsid w:val="00C839F9"/>
    <w:rsid w:val="00C83ABD"/>
    <w:rsid w:val="00C83E45"/>
    <w:rsid w:val="00C83E62"/>
    <w:rsid w:val="00C83F48"/>
    <w:rsid w:val="00C84035"/>
    <w:rsid w:val="00C840DB"/>
    <w:rsid w:val="00C8420A"/>
    <w:rsid w:val="00C8431F"/>
    <w:rsid w:val="00C84345"/>
    <w:rsid w:val="00C84494"/>
    <w:rsid w:val="00C84900"/>
    <w:rsid w:val="00C849DB"/>
    <w:rsid w:val="00C84BD9"/>
    <w:rsid w:val="00C84C06"/>
    <w:rsid w:val="00C84E8A"/>
    <w:rsid w:val="00C84FAE"/>
    <w:rsid w:val="00C852D7"/>
    <w:rsid w:val="00C85389"/>
    <w:rsid w:val="00C85395"/>
    <w:rsid w:val="00C853C5"/>
    <w:rsid w:val="00C8541C"/>
    <w:rsid w:val="00C85436"/>
    <w:rsid w:val="00C8543D"/>
    <w:rsid w:val="00C854A0"/>
    <w:rsid w:val="00C85502"/>
    <w:rsid w:val="00C85531"/>
    <w:rsid w:val="00C855AE"/>
    <w:rsid w:val="00C855F8"/>
    <w:rsid w:val="00C8567E"/>
    <w:rsid w:val="00C85761"/>
    <w:rsid w:val="00C863B4"/>
    <w:rsid w:val="00C863DA"/>
    <w:rsid w:val="00C864E4"/>
    <w:rsid w:val="00C86676"/>
    <w:rsid w:val="00C86FCE"/>
    <w:rsid w:val="00C87254"/>
    <w:rsid w:val="00C872D7"/>
    <w:rsid w:val="00C875A3"/>
    <w:rsid w:val="00C875E6"/>
    <w:rsid w:val="00C87650"/>
    <w:rsid w:val="00C8772C"/>
    <w:rsid w:val="00C878B4"/>
    <w:rsid w:val="00C87A92"/>
    <w:rsid w:val="00C87D04"/>
    <w:rsid w:val="00C87DF3"/>
    <w:rsid w:val="00C87E59"/>
    <w:rsid w:val="00C904B0"/>
    <w:rsid w:val="00C904B9"/>
    <w:rsid w:val="00C904D8"/>
    <w:rsid w:val="00C909E6"/>
    <w:rsid w:val="00C90A8F"/>
    <w:rsid w:val="00C90CF7"/>
    <w:rsid w:val="00C90F87"/>
    <w:rsid w:val="00C9111A"/>
    <w:rsid w:val="00C9136E"/>
    <w:rsid w:val="00C9182F"/>
    <w:rsid w:val="00C919F8"/>
    <w:rsid w:val="00C919FC"/>
    <w:rsid w:val="00C91A7D"/>
    <w:rsid w:val="00C91B05"/>
    <w:rsid w:val="00C91D3D"/>
    <w:rsid w:val="00C91F31"/>
    <w:rsid w:val="00C92817"/>
    <w:rsid w:val="00C92952"/>
    <w:rsid w:val="00C9297C"/>
    <w:rsid w:val="00C929F7"/>
    <w:rsid w:val="00C92BF3"/>
    <w:rsid w:val="00C92D60"/>
    <w:rsid w:val="00C92DCF"/>
    <w:rsid w:val="00C92F88"/>
    <w:rsid w:val="00C93034"/>
    <w:rsid w:val="00C9307E"/>
    <w:rsid w:val="00C9352F"/>
    <w:rsid w:val="00C9359A"/>
    <w:rsid w:val="00C93775"/>
    <w:rsid w:val="00C93AF0"/>
    <w:rsid w:val="00C93C9B"/>
    <w:rsid w:val="00C94010"/>
    <w:rsid w:val="00C941D4"/>
    <w:rsid w:val="00C9464B"/>
    <w:rsid w:val="00C9466B"/>
    <w:rsid w:val="00C94BB4"/>
    <w:rsid w:val="00C94BF1"/>
    <w:rsid w:val="00C94D3A"/>
    <w:rsid w:val="00C94D7F"/>
    <w:rsid w:val="00C94F1E"/>
    <w:rsid w:val="00C9508A"/>
    <w:rsid w:val="00C9509C"/>
    <w:rsid w:val="00C95104"/>
    <w:rsid w:val="00C95566"/>
    <w:rsid w:val="00C956E1"/>
    <w:rsid w:val="00C95B26"/>
    <w:rsid w:val="00C95B36"/>
    <w:rsid w:val="00C95C1C"/>
    <w:rsid w:val="00C95EBF"/>
    <w:rsid w:val="00C95F57"/>
    <w:rsid w:val="00C960C2"/>
    <w:rsid w:val="00C96328"/>
    <w:rsid w:val="00C96936"/>
    <w:rsid w:val="00C96BCE"/>
    <w:rsid w:val="00C96C42"/>
    <w:rsid w:val="00C96C60"/>
    <w:rsid w:val="00C96C67"/>
    <w:rsid w:val="00C96E97"/>
    <w:rsid w:val="00C96EB0"/>
    <w:rsid w:val="00C970CA"/>
    <w:rsid w:val="00C97180"/>
    <w:rsid w:val="00C971E2"/>
    <w:rsid w:val="00C9745F"/>
    <w:rsid w:val="00C97490"/>
    <w:rsid w:val="00C975C7"/>
    <w:rsid w:val="00C978A6"/>
    <w:rsid w:val="00C97DE7"/>
    <w:rsid w:val="00C97F28"/>
    <w:rsid w:val="00C97F75"/>
    <w:rsid w:val="00CA044A"/>
    <w:rsid w:val="00CA045B"/>
    <w:rsid w:val="00CA058C"/>
    <w:rsid w:val="00CA05D7"/>
    <w:rsid w:val="00CA05E9"/>
    <w:rsid w:val="00CA063D"/>
    <w:rsid w:val="00CA0750"/>
    <w:rsid w:val="00CA079A"/>
    <w:rsid w:val="00CA07FD"/>
    <w:rsid w:val="00CA0881"/>
    <w:rsid w:val="00CA0915"/>
    <w:rsid w:val="00CA0954"/>
    <w:rsid w:val="00CA0B41"/>
    <w:rsid w:val="00CA0C44"/>
    <w:rsid w:val="00CA0DB1"/>
    <w:rsid w:val="00CA0FDF"/>
    <w:rsid w:val="00CA1062"/>
    <w:rsid w:val="00CA12BD"/>
    <w:rsid w:val="00CA12EC"/>
    <w:rsid w:val="00CA15EC"/>
    <w:rsid w:val="00CA167F"/>
    <w:rsid w:val="00CA1785"/>
    <w:rsid w:val="00CA1D07"/>
    <w:rsid w:val="00CA1E42"/>
    <w:rsid w:val="00CA1E85"/>
    <w:rsid w:val="00CA1EDE"/>
    <w:rsid w:val="00CA1F7B"/>
    <w:rsid w:val="00CA1FD8"/>
    <w:rsid w:val="00CA22E7"/>
    <w:rsid w:val="00CA24B6"/>
    <w:rsid w:val="00CA25C8"/>
    <w:rsid w:val="00CA25DB"/>
    <w:rsid w:val="00CA2626"/>
    <w:rsid w:val="00CA26ED"/>
    <w:rsid w:val="00CA27A0"/>
    <w:rsid w:val="00CA2845"/>
    <w:rsid w:val="00CA2B86"/>
    <w:rsid w:val="00CA2B98"/>
    <w:rsid w:val="00CA2C4A"/>
    <w:rsid w:val="00CA2CA4"/>
    <w:rsid w:val="00CA2DC7"/>
    <w:rsid w:val="00CA2E38"/>
    <w:rsid w:val="00CA30BC"/>
    <w:rsid w:val="00CA3192"/>
    <w:rsid w:val="00CA3278"/>
    <w:rsid w:val="00CA32DF"/>
    <w:rsid w:val="00CA3479"/>
    <w:rsid w:val="00CA34AA"/>
    <w:rsid w:val="00CA363A"/>
    <w:rsid w:val="00CA3989"/>
    <w:rsid w:val="00CA3A21"/>
    <w:rsid w:val="00CA3D5F"/>
    <w:rsid w:val="00CA3EBC"/>
    <w:rsid w:val="00CA3F49"/>
    <w:rsid w:val="00CA4094"/>
    <w:rsid w:val="00CA41AB"/>
    <w:rsid w:val="00CA423A"/>
    <w:rsid w:val="00CA42AD"/>
    <w:rsid w:val="00CA44B7"/>
    <w:rsid w:val="00CA44F0"/>
    <w:rsid w:val="00CA466D"/>
    <w:rsid w:val="00CA481B"/>
    <w:rsid w:val="00CA4A73"/>
    <w:rsid w:val="00CA4C27"/>
    <w:rsid w:val="00CA4C69"/>
    <w:rsid w:val="00CA4E50"/>
    <w:rsid w:val="00CA4FA6"/>
    <w:rsid w:val="00CA51C8"/>
    <w:rsid w:val="00CA524F"/>
    <w:rsid w:val="00CA52DE"/>
    <w:rsid w:val="00CA530B"/>
    <w:rsid w:val="00CA53A7"/>
    <w:rsid w:val="00CA54AD"/>
    <w:rsid w:val="00CA56EC"/>
    <w:rsid w:val="00CA5BC8"/>
    <w:rsid w:val="00CA5D97"/>
    <w:rsid w:val="00CA5FF6"/>
    <w:rsid w:val="00CA6126"/>
    <w:rsid w:val="00CA63D5"/>
    <w:rsid w:val="00CA68D0"/>
    <w:rsid w:val="00CA6C05"/>
    <w:rsid w:val="00CA6C41"/>
    <w:rsid w:val="00CA6D0D"/>
    <w:rsid w:val="00CA7003"/>
    <w:rsid w:val="00CA7102"/>
    <w:rsid w:val="00CA71F6"/>
    <w:rsid w:val="00CA7350"/>
    <w:rsid w:val="00CA745A"/>
    <w:rsid w:val="00CA76E1"/>
    <w:rsid w:val="00CA796A"/>
    <w:rsid w:val="00CA7A54"/>
    <w:rsid w:val="00CA7C25"/>
    <w:rsid w:val="00CA7C45"/>
    <w:rsid w:val="00CA7C6F"/>
    <w:rsid w:val="00CA7E1C"/>
    <w:rsid w:val="00CA7E1E"/>
    <w:rsid w:val="00CA7EC0"/>
    <w:rsid w:val="00CA7ED1"/>
    <w:rsid w:val="00CB000C"/>
    <w:rsid w:val="00CB004E"/>
    <w:rsid w:val="00CB0089"/>
    <w:rsid w:val="00CB0240"/>
    <w:rsid w:val="00CB02BB"/>
    <w:rsid w:val="00CB030A"/>
    <w:rsid w:val="00CB0329"/>
    <w:rsid w:val="00CB03C5"/>
    <w:rsid w:val="00CB0440"/>
    <w:rsid w:val="00CB04ED"/>
    <w:rsid w:val="00CB06B0"/>
    <w:rsid w:val="00CB07A3"/>
    <w:rsid w:val="00CB08D9"/>
    <w:rsid w:val="00CB0AAD"/>
    <w:rsid w:val="00CB0AB8"/>
    <w:rsid w:val="00CB0BA6"/>
    <w:rsid w:val="00CB0C24"/>
    <w:rsid w:val="00CB0C5D"/>
    <w:rsid w:val="00CB0EF7"/>
    <w:rsid w:val="00CB0F7B"/>
    <w:rsid w:val="00CB0FA2"/>
    <w:rsid w:val="00CB0FED"/>
    <w:rsid w:val="00CB1007"/>
    <w:rsid w:val="00CB1076"/>
    <w:rsid w:val="00CB11C9"/>
    <w:rsid w:val="00CB13C1"/>
    <w:rsid w:val="00CB13FB"/>
    <w:rsid w:val="00CB148E"/>
    <w:rsid w:val="00CB1AA5"/>
    <w:rsid w:val="00CB1C77"/>
    <w:rsid w:val="00CB1EBE"/>
    <w:rsid w:val="00CB20CA"/>
    <w:rsid w:val="00CB225B"/>
    <w:rsid w:val="00CB2357"/>
    <w:rsid w:val="00CB237A"/>
    <w:rsid w:val="00CB23AF"/>
    <w:rsid w:val="00CB23BC"/>
    <w:rsid w:val="00CB23E4"/>
    <w:rsid w:val="00CB2587"/>
    <w:rsid w:val="00CB25B1"/>
    <w:rsid w:val="00CB2699"/>
    <w:rsid w:val="00CB26C8"/>
    <w:rsid w:val="00CB26F8"/>
    <w:rsid w:val="00CB2777"/>
    <w:rsid w:val="00CB2A8F"/>
    <w:rsid w:val="00CB2ABC"/>
    <w:rsid w:val="00CB2CDF"/>
    <w:rsid w:val="00CB3092"/>
    <w:rsid w:val="00CB312C"/>
    <w:rsid w:val="00CB320D"/>
    <w:rsid w:val="00CB3289"/>
    <w:rsid w:val="00CB33A6"/>
    <w:rsid w:val="00CB33D9"/>
    <w:rsid w:val="00CB3855"/>
    <w:rsid w:val="00CB3934"/>
    <w:rsid w:val="00CB3B5B"/>
    <w:rsid w:val="00CB3FDC"/>
    <w:rsid w:val="00CB43AA"/>
    <w:rsid w:val="00CB456D"/>
    <w:rsid w:val="00CB48F8"/>
    <w:rsid w:val="00CB4C3A"/>
    <w:rsid w:val="00CB4D01"/>
    <w:rsid w:val="00CB4E13"/>
    <w:rsid w:val="00CB4E2A"/>
    <w:rsid w:val="00CB4FCE"/>
    <w:rsid w:val="00CB502A"/>
    <w:rsid w:val="00CB52E7"/>
    <w:rsid w:val="00CB53EA"/>
    <w:rsid w:val="00CB5468"/>
    <w:rsid w:val="00CB580B"/>
    <w:rsid w:val="00CB5810"/>
    <w:rsid w:val="00CB589A"/>
    <w:rsid w:val="00CB597A"/>
    <w:rsid w:val="00CB59F5"/>
    <w:rsid w:val="00CB5BCC"/>
    <w:rsid w:val="00CB5D57"/>
    <w:rsid w:val="00CB5DC5"/>
    <w:rsid w:val="00CB6A7A"/>
    <w:rsid w:val="00CB6C3B"/>
    <w:rsid w:val="00CB6DBD"/>
    <w:rsid w:val="00CB7031"/>
    <w:rsid w:val="00CB71DF"/>
    <w:rsid w:val="00CB725C"/>
    <w:rsid w:val="00CB73F2"/>
    <w:rsid w:val="00CB7CCB"/>
    <w:rsid w:val="00CB7DBD"/>
    <w:rsid w:val="00CB7E7C"/>
    <w:rsid w:val="00CB7E97"/>
    <w:rsid w:val="00CC0030"/>
    <w:rsid w:val="00CC023A"/>
    <w:rsid w:val="00CC05A9"/>
    <w:rsid w:val="00CC0690"/>
    <w:rsid w:val="00CC06E4"/>
    <w:rsid w:val="00CC0902"/>
    <w:rsid w:val="00CC09B2"/>
    <w:rsid w:val="00CC0C1F"/>
    <w:rsid w:val="00CC0E7D"/>
    <w:rsid w:val="00CC10C6"/>
    <w:rsid w:val="00CC10F8"/>
    <w:rsid w:val="00CC12AF"/>
    <w:rsid w:val="00CC13D8"/>
    <w:rsid w:val="00CC1A1E"/>
    <w:rsid w:val="00CC1CF4"/>
    <w:rsid w:val="00CC1D66"/>
    <w:rsid w:val="00CC1F4E"/>
    <w:rsid w:val="00CC1FC6"/>
    <w:rsid w:val="00CC1FEF"/>
    <w:rsid w:val="00CC20D2"/>
    <w:rsid w:val="00CC213D"/>
    <w:rsid w:val="00CC2224"/>
    <w:rsid w:val="00CC2343"/>
    <w:rsid w:val="00CC2370"/>
    <w:rsid w:val="00CC243F"/>
    <w:rsid w:val="00CC25C7"/>
    <w:rsid w:val="00CC2711"/>
    <w:rsid w:val="00CC27AD"/>
    <w:rsid w:val="00CC2951"/>
    <w:rsid w:val="00CC2A33"/>
    <w:rsid w:val="00CC2A9D"/>
    <w:rsid w:val="00CC2E94"/>
    <w:rsid w:val="00CC2F16"/>
    <w:rsid w:val="00CC2FF7"/>
    <w:rsid w:val="00CC3006"/>
    <w:rsid w:val="00CC3053"/>
    <w:rsid w:val="00CC3239"/>
    <w:rsid w:val="00CC335E"/>
    <w:rsid w:val="00CC3362"/>
    <w:rsid w:val="00CC3411"/>
    <w:rsid w:val="00CC354A"/>
    <w:rsid w:val="00CC368D"/>
    <w:rsid w:val="00CC3755"/>
    <w:rsid w:val="00CC3762"/>
    <w:rsid w:val="00CC37A2"/>
    <w:rsid w:val="00CC39D0"/>
    <w:rsid w:val="00CC3A60"/>
    <w:rsid w:val="00CC3D7A"/>
    <w:rsid w:val="00CC3DDA"/>
    <w:rsid w:val="00CC3FAE"/>
    <w:rsid w:val="00CC4154"/>
    <w:rsid w:val="00CC438C"/>
    <w:rsid w:val="00CC4499"/>
    <w:rsid w:val="00CC452F"/>
    <w:rsid w:val="00CC4633"/>
    <w:rsid w:val="00CC474E"/>
    <w:rsid w:val="00CC497D"/>
    <w:rsid w:val="00CC4C44"/>
    <w:rsid w:val="00CC4E1B"/>
    <w:rsid w:val="00CC4EA6"/>
    <w:rsid w:val="00CC4F3E"/>
    <w:rsid w:val="00CC50B4"/>
    <w:rsid w:val="00CC50D6"/>
    <w:rsid w:val="00CC530D"/>
    <w:rsid w:val="00CC538E"/>
    <w:rsid w:val="00CC53AC"/>
    <w:rsid w:val="00CC5403"/>
    <w:rsid w:val="00CC5422"/>
    <w:rsid w:val="00CC554E"/>
    <w:rsid w:val="00CC555E"/>
    <w:rsid w:val="00CC56DF"/>
    <w:rsid w:val="00CC5786"/>
    <w:rsid w:val="00CC58AE"/>
    <w:rsid w:val="00CC5980"/>
    <w:rsid w:val="00CC5CC6"/>
    <w:rsid w:val="00CC5F00"/>
    <w:rsid w:val="00CC608D"/>
    <w:rsid w:val="00CC6154"/>
    <w:rsid w:val="00CC6430"/>
    <w:rsid w:val="00CC69F7"/>
    <w:rsid w:val="00CC6BC3"/>
    <w:rsid w:val="00CC6C84"/>
    <w:rsid w:val="00CC6D84"/>
    <w:rsid w:val="00CC70F4"/>
    <w:rsid w:val="00CC7108"/>
    <w:rsid w:val="00CC72B6"/>
    <w:rsid w:val="00CC741F"/>
    <w:rsid w:val="00CC74E7"/>
    <w:rsid w:val="00CC7598"/>
    <w:rsid w:val="00CC75D2"/>
    <w:rsid w:val="00CC75E7"/>
    <w:rsid w:val="00CC76CA"/>
    <w:rsid w:val="00CC77F5"/>
    <w:rsid w:val="00CC783B"/>
    <w:rsid w:val="00CC7904"/>
    <w:rsid w:val="00CC7B6C"/>
    <w:rsid w:val="00CC7BAA"/>
    <w:rsid w:val="00CC7C03"/>
    <w:rsid w:val="00CC7C43"/>
    <w:rsid w:val="00CC7E4D"/>
    <w:rsid w:val="00CC7EC7"/>
    <w:rsid w:val="00CD05E9"/>
    <w:rsid w:val="00CD067E"/>
    <w:rsid w:val="00CD068E"/>
    <w:rsid w:val="00CD0798"/>
    <w:rsid w:val="00CD0943"/>
    <w:rsid w:val="00CD0BD9"/>
    <w:rsid w:val="00CD0F9A"/>
    <w:rsid w:val="00CD0FBF"/>
    <w:rsid w:val="00CD1049"/>
    <w:rsid w:val="00CD11F7"/>
    <w:rsid w:val="00CD1338"/>
    <w:rsid w:val="00CD1874"/>
    <w:rsid w:val="00CD1937"/>
    <w:rsid w:val="00CD1ABB"/>
    <w:rsid w:val="00CD1B92"/>
    <w:rsid w:val="00CD1DA7"/>
    <w:rsid w:val="00CD1FEB"/>
    <w:rsid w:val="00CD214D"/>
    <w:rsid w:val="00CD247E"/>
    <w:rsid w:val="00CD24B6"/>
    <w:rsid w:val="00CD24D0"/>
    <w:rsid w:val="00CD24DE"/>
    <w:rsid w:val="00CD260A"/>
    <w:rsid w:val="00CD2628"/>
    <w:rsid w:val="00CD2687"/>
    <w:rsid w:val="00CD2851"/>
    <w:rsid w:val="00CD2D7A"/>
    <w:rsid w:val="00CD2DF1"/>
    <w:rsid w:val="00CD31C0"/>
    <w:rsid w:val="00CD323C"/>
    <w:rsid w:val="00CD333B"/>
    <w:rsid w:val="00CD33A1"/>
    <w:rsid w:val="00CD33F5"/>
    <w:rsid w:val="00CD35AE"/>
    <w:rsid w:val="00CD36FF"/>
    <w:rsid w:val="00CD3878"/>
    <w:rsid w:val="00CD3946"/>
    <w:rsid w:val="00CD3AF1"/>
    <w:rsid w:val="00CD3C94"/>
    <w:rsid w:val="00CD3CDB"/>
    <w:rsid w:val="00CD3D6E"/>
    <w:rsid w:val="00CD3EA4"/>
    <w:rsid w:val="00CD4590"/>
    <w:rsid w:val="00CD47DC"/>
    <w:rsid w:val="00CD481D"/>
    <w:rsid w:val="00CD48DC"/>
    <w:rsid w:val="00CD4919"/>
    <w:rsid w:val="00CD4981"/>
    <w:rsid w:val="00CD4AD9"/>
    <w:rsid w:val="00CD4B1B"/>
    <w:rsid w:val="00CD4E88"/>
    <w:rsid w:val="00CD4F19"/>
    <w:rsid w:val="00CD50C7"/>
    <w:rsid w:val="00CD52FF"/>
    <w:rsid w:val="00CD530F"/>
    <w:rsid w:val="00CD5358"/>
    <w:rsid w:val="00CD5444"/>
    <w:rsid w:val="00CD578C"/>
    <w:rsid w:val="00CD594C"/>
    <w:rsid w:val="00CD5D6C"/>
    <w:rsid w:val="00CD5DFA"/>
    <w:rsid w:val="00CD63F0"/>
    <w:rsid w:val="00CD6739"/>
    <w:rsid w:val="00CD675F"/>
    <w:rsid w:val="00CD6956"/>
    <w:rsid w:val="00CD6AE5"/>
    <w:rsid w:val="00CD6BAA"/>
    <w:rsid w:val="00CD6CD5"/>
    <w:rsid w:val="00CD6D4F"/>
    <w:rsid w:val="00CD6D89"/>
    <w:rsid w:val="00CD6D92"/>
    <w:rsid w:val="00CD6DFB"/>
    <w:rsid w:val="00CD6F14"/>
    <w:rsid w:val="00CD709A"/>
    <w:rsid w:val="00CD70F1"/>
    <w:rsid w:val="00CD7218"/>
    <w:rsid w:val="00CD747C"/>
    <w:rsid w:val="00CD7564"/>
    <w:rsid w:val="00CD75B9"/>
    <w:rsid w:val="00CD766F"/>
    <w:rsid w:val="00CD76CE"/>
    <w:rsid w:val="00CD79C4"/>
    <w:rsid w:val="00CD7AE0"/>
    <w:rsid w:val="00CD7CE0"/>
    <w:rsid w:val="00CD7F2C"/>
    <w:rsid w:val="00CD7F38"/>
    <w:rsid w:val="00CD7FB1"/>
    <w:rsid w:val="00CE0025"/>
    <w:rsid w:val="00CE0242"/>
    <w:rsid w:val="00CE0344"/>
    <w:rsid w:val="00CE0357"/>
    <w:rsid w:val="00CE0376"/>
    <w:rsid w:val="00CE04FF"/>
    <w:rsid w:val="00CE052F"/>
    <w:rsid w:val="00CE053E"/>
    <w:rsid w:val="00CE0AF4"/>
    <w:rsid w:val="00CE0CF5"/>
    <w:rsid w:val="00CE10E1"/>
    <w:rsid w:val="00CE149B"/>
    <w:rsid w:val="00CE14E0"/>
    <w:rsid w:val="00CE193A"/>
    <w:rsid w:val="00CE1A29"/>
    <w:rsid w:val="00CE1A8D"/>
    <w:rsid w:val="00CE1E72"/>
    <w:rsid w:val="00CE208C"/>
    <w:rsid w:val="00CE2165"/>
    <w:rsid w:val="00CE223F"/>
    <w:rsid w:val="00CE2241"/>
    <w:rsid w:val="00CE2584"/>
    <w:rsid w:val="00CE280C"/>
    <w:rsid w:val="00CE28E7"/>
    <w:rsid w:val="00CE2AA2"/>
    <w:rsid w:val="00CE2BE0"/>
    <w:rsid w:val="00CE308F"/>
    <w:rsid w:val="00CE340B"/>
    <w:rsid w:val="00CE37AE"/>
    <w:rsid w:val="00CE37F5"/>
    <w:rsid w:val="00CE3811"/>
    <w:rsid w:val="00CE3ACA"/>
    <w:rsid w:val="00CE3D6A"/>
    <w:rsid w:val="00CE3F22"/>
    <w:rsid w:val="00CE42E5"/>
    <w:rsid w:val="00CE435C"/>
    <w:rsid w:val="00CE440D"/>
    <w:rsid w:val="00CE44ED"/>
    <w:rsid w:val="00CE45CA"/>
    <w:rsid w:val="00CE45DB"/>
    <w:rsid w:val="00CE470D"/>
    <w:rsid w:val="00CE4782"/>
    <w:rsid w:val="00CE49A4"/>
    <w:rsid w:val="00CE4BEE"/>
    <w:rsid w:val="00CE4D45"/>
    <w:rsid w:val="00CE4E82"/>
    <w:rsid w:val="00CE4E8A"/>
    <w:rsid w:val="00CE4F48"/>
    <w:rsid w:val="00CE4F6C"/>
    <w:rsid w:val="00CE4FB4"/>
    <w:rsid w:val="00CE4FBC"/>
    <w:rsid w:val="00CE5093"/>
    <w:rsid w:val="00CE50DE"/>
    <w:rsid w:val="00CE5120"/>
    <w:rsid w:val="00CE5536"/>
    <w:rsid w:val="00CE5977"/>
    <w:rsid w:val="00CE59BF"/>
    <w:rsid w:val="00CE5A5D"/>
    <w:rsid w:val="00CE5C22"/>
    <w:rsid w:val="00CE5C89"/>
    <w:rsid w:val="00CE5DF0"/>
    <w:rsid w:val="00CE5DFC"/>
    <w:rsid w:val="00CE6008"/>
    <w:rsid w:val="00CE6212"/>
    <w:rsid w:val="00CE6433"/>
    <w:rsid w:val="00CE657E"/>
    <w:rsid w:val="00CE6AEC"/>
    <w:rsid w:val="00CE6B59"/>
    <w:rsid w:val="00CE6B86"/>
    <w:rsid w:val="00CE6D25"/>
    <w:rsid w:val="00CE6DF9"/>
    <w:rsid w:val="00CE6F55"/>
    <w:rsid w:val="00CE6F70"/>
    <w:rsid w:val="00CE6F88"/>
    <w:rsid w:val="00CE7061"/>
    <w:rsid w:val="00CE732E"/>
    <w:rsid w:val="00CE767F"/>
    <w:rsid w:val="00CE76AD"/>
    <w:rsid w:val="00CE76E7"/>
    <w:rsid w:val="00CE7775"/>
    <w:rsid w:val="00CE788D"/>
    <w:rsid w:val="00CE7A2E"/>
    <w:rsid w:val="00CE7C3B"/>
    <w:rsid w:val="00CE7C51"/>
    <w:rsid w:val="00CE7E3F"/>
    <w:rsid w:val="00CE7E6E"/>
    <w:rsid w:val="00CE7FC6"/>
    <w:rsid w:val="00CF005B"/>
    <w:rsid w:val="00CF008D"/>
    <w:rsid w:val="00CF0157"/>
    <w:rsid w:val="00CF015D"/>
    <w:rsid w:val="00CF0235"/>
    <w:rsid w:val="00CF035C"/>
    <w:rsid w:val="00CF055B"/>
    <w:rsid w:val="00CF0621"/>
    <w:rsid w:val="00CF0631"/>
    <w:rsid w:val="00CF0682"/>
    <w:rsid w:val="00CF06D9"/>
    <w:rsid w:val="00CF0806"/>
    <w:rsid w:val="00CF0C7C"/>
    <w:rsid w:val="00CF0D7A"/>
    <w:rsid w:val="00CF0E1D"/>
    <w:rsid w:val="00CF0E89"/>
    <w:rsid w:val="00CF1027"/>
    <w:rsid w:val="00CF106B"/>
    <w:rsid w:val="00CF13BD"/>
    <w:rsid w:val="00CF14C6"/>
    <w:rsid w:val="00CF15B3"/>
    <w:rsid w:val="00CF1683"/>
    <w:rsid w:val="00CF1697"/>
    <w:rsid w:val="00CF16D6"/>
    <w:rsid w:val="00CF1878"/>
    <w:rsid w:val="00CF1957"/>
    <w:rsid w:val="00CF1A68"/>
    <w:rsid w:val="00CF1D1F"/>
    <w:rsid w:val="00CF1E28"/>
    <w:rsid w:val="00CF1FFE"/>
    <w:rsid w:val="00CF2262"/>
    <w:rsid w:val="00CF22B9"/>
    <w:rsid w:val="00CF23E9"/>
    <w:rsid w:val="00CF2519"/>
    <w:rsid w:val="00CF2538"/>
    <w:rsid w:val="00CF27FC"/>
    <w:rsid w:val="00CF2835"/>
    <w:rsid w:val="00CF28D9"/>
    <w:rsid w:val="00CF2C5A"/>
    <w:rsid w:val="00CF2C8E"/>
    <w:rsid w:val="00CF2D4F"/>
    <w:rsid w:val="00CF2FBD"/>
    <w:rsid w:val="00CF3085"/>
    <w:rsid w:val="00CF30CB"/>
    <w:rsid w:val="00CF3161"/>
    <w:rsid w:val="00CF32F1"/>
    <w:rsid w:val="00CF357E"/>
    <w:rsid w:val="00CF3665"/>
    <w:rsid w:val="00CF3BFC"/>
    <w:rsid w:val="00CF3E80"/>
    <w:rsid w:val="00CF3F18"/>
    <w:rsid w:val="00CF4158"/>
    <w:rsid w:val="00CF439E"/>
    <w:rsid w:val="00CF4458"/>
    <w:rsid w:val="00CF472B"/>
    <w:rsid w:val="00CF4A30"/>
    <w:rsid w:val="00CF4B0A"/>
    <w:rsid w:val="00CF4DD7"/>
    <w:rsid w:val="00CF523C"/>
    <w:rsid w:val="00CF53DD"/>
    <w:rsid w:val="00CF5439"/>
    <w:rsid w:val="00CF581C"/>
    <w:rsid w:val="00CF5828"/>
    <w:rsid w:val="00CF5E2B"/>
    <w:rsid w:val="00CF5E65"/>
    <w:rsid w:val="00CF5EFB"/>
    <w:rsid w:val="00CF5FE2"/>
    <w:rsid w:val="00CF6187"/>
    <w:rsid w:val="00CF6432"/>
    <w:rsid w:val="00CF6464"/>
    <w:rsid w:val="00CF6742"/>
    <w:rsid w:val="00CF6760"/>
    <w:rsid w:val="00CF6926"/>
    <w:rsid w:val="00CF6A2E"/>
    <w:rsid w:val="00CF6AA0"/>
    <w:rsid w:val="00CF6B6A"/>
    <w:rsid w:val="00CF6CA9"/>
    <w:rsid w:val="00CF6DC4"/>
    <w:rsid w:val="00CF6E10"/>
    <w:rsid w:val="00CF71E6"/>
    <w:rsid w:val="00CF722A"/>
    <w:rsid w:val="00CF7295"/>
    <w:rsid w:val="00CF72E4"/>
    <w:rsid w:val="00CF734A"/>
    <w:rsid w:val="00CF74B2"/>
    <w:rsid w:val="00CF766C"/>
    <w:rsid w:val="00CF76AA"/>
    <w:rsid w:val="00CF796F"/>
    <w:rsid w:val="00CF7CE7"/>
    <w:rsid w:val="00CF7D00"/>
    <w:rsid w:val="00CF7E83"/>
    <w:rsid w:val="00D00099"/>
    <w:rsid w:val="00D00210"/>
    <w:rsid w:val="00D00462"/>
    <w:rsid w:val="00D0048F"/>
    <w:rsid w:val="00D007AE"/>
    <w:rsid w:val="00D0091E"/>
    <w:rsid w:val="00D00BC0"/>
    <w:rsid w:val="00D00BF2"/>
    <w:rsid w:val="00D00E15"/>
    <w:rsid w:val="00D0106D"/>
    <w:rsid w:val="00D0131B"/>
    <w:rsid w:val="00D019A7"/>
    <w:rsid w:val="00D019C5"/>
    <w:rsid w:val="00D01A99"/>
    <w:rsid w:val="00D01BB0"/>
    <w:rsid w:val="00D01BE0"/>
    <w:rsid w:val="00D01C17"/>
    <w:rsid w:val="00D01EC7"/>
    <w:rsid w:val="00D01F76"/>
    <w:rsid w:val="00D02098"/>
    <w:rsid w:val="00D020A2"/>
    <w:rsid w:val="00D02150"/>
    <w:rsid w:val="00D021EA"/>
    <w:rsid w:val="00D022BF"/>
    <w:rsid w:val="00D022E4"/>
    <w:rsid w:val="00D023E6"/>
    <w:rsid w:val="00D02B44"/>
    <w:rsid w:val="00D02B6E"/>
    <w:rsid w:val="00D02D75"/>
    <w:rsid w:val="00D02F4F"/>
    <w:rsid w:val="00D03008"/>
    <w:rsid w:val="00D03017"/>
    <w:rsid w:val="00D0304D"/>
    <w:rsid w:val="00D03072"/>
    <w:rsid w:val="00D0319B"/>
    <w:rsid w:val="00D0322F"/>
    <w:rsid w:val="00D032FB"/>
    <w:rsid w:val="00D03303"/>
    <w:rsid w:val="00D03470"/>
    <w:rsid w:val="00D03732"/>
    <w:rsid w:val="00D0375B"/>
    <w:rsid w:val="00D03780"/>
    <w:rsid w:val="00D03997"/>
    <w:rsid w:val="00D03A67"/>
    <w:rsid w:val="00D03AE0"/>
    <w:rsid w:val="00D03AE3"/>
    <w:rsid w:val="00D03BE8"/>
    <w:rsid w:val="00D03CCD"/>
    <w:rsid w:val="00D03D96"/>
    <w:rsid w:val="00D041B0"/>
    <w:rsid w:val="00D042E3"/>
    <w:rsid w:val="00D0444A"/>
    <w:rsid w:val="00D0456E"/>
    <w:rsid w:val="00D046B3"/>
    <w:rsid w:val="00D0475E"/>
    <w:rsid w:val="00D04AA6"/>
    <w:rsid w:val="00D04ABF"/>
    <w:rsid w:val="00D04AE8"/>
    <w:rsid w:val="00D04C8E"/>
    <w:rsid w:val="00D04D8F"/>
    <w:rsid w:val="00D04EFE"/>
    <w:rsid w:val="00D0509F"/>
    <w:rsid w:val="00D050C2"/>
    <w:rsid w:val="00D0518A"/>
    <w:rsid w:val="00D05534"/>
    <w:rsid w:val="00D05918"/>
    <w:rsid w:val="00D05CC4"/>
    <w:rsid w:val="00D05E5A"/>
    <w:rsid w:val="00D05FC7"/>
    <w:rsid w:val="00D0611F"/>
    <w:rsid w:val="00D06193"/>
    <w:rsid w:val="00D06206"/>
    <w:rsid w:val="00D062B7"/>
    <w:rsid w:val="00D0645C"/>
    <w:rsid w:val="00D064DF"/>
    <w:rsid w:val="00D065E0"/>
    <w:rsid w:val="00D06801"/>
    <w:rsid w:val="00D0687D"/>
    <w:rsid w:val="00D06929"/>
    <w:rsid w:val="00D069DE"/>
    <w:rsid w:val="00D06A44"/>
    <w:rsid w:val="00D06A51"/>
    <w:rsid w:val="00D06DA7"/>
    <w:rsid w:val="00D06E05"/>
    <w:rsid w:val="00D07121"/>
    <w:rsid w:val="00D077AC"/>
    <w:rsid w:val="00D07AF7"/>
    <w:rsid w:val="00D07BAD"/>
    <w:rsid w:val="00D07D02"/>
    <w:rsid w:val="00D07D05"/>
    <w:rsid w:val="00D07D97"/>
    <w:rsid w:val="00D07EEA"/>
    <w:rsid w:val="00D10277"/>
    <w:rsid w:val="00D1040E"/>
    <w:rsid w:val="00D104AD"/>
    <w:rsid w:val="00D1085F"/>
    <w:rsid w:val="00D108E7"/>
    <w:rsid w:val="00D10ACF"/>
    <w:rsid w:val="00D10BEC"/>
    <w:rsid w:val="00D10D45"/>
    <w:rsid w:val="00D10DBE"/>
    <w:rsid w:val="00D10E7D"/>
    <w:rsid w:val="00D10EC9"/>
    <w:rsid w:val="00D110E3"/>
    <w:rsid w:val="00D11157"/>
    <w:rsid w:val="00D11215"/>
    <w:rsid w:val="00D11526"/>
    <w:rsid w:val="00D11727"/>
    <w:rsid w:val="00D118DF"/>
    <w:rsid w:val="00D119C9"/>
    <w:rsid w:val="00D11A63"/>
    <w:rsid w:val="00D11AAA"/>
    <w:rsid w:val="00D11B16"/>
    <w:rsid w:val="00D11BBC"/>
    <w:rsid w:val="00D11DEB"/>
    <w:rsid w:val="00D11E90"/>
    <w:rsid w:val="00D1223C"/>
    <w:rsid w:val="00D123EB"/>
    <w:rsid w:val="00D123F2"/>
    <w:rsid w:val="00D1244A"/>
    <w:rsid w:val="00D126F1"/>
    <w:rsid w:val="00D129B0"/>
    <w:rsid w:val="00D129D6"/>
    <w:rsid w:val="00D12B2B"/>
    <w:rsid w:val="00D12C76"/>
    <w:rsid w:val="00D12CEE"/>
    <w:rsid w:val="00D12D11"/>
    <w:rsid w:val="00D12D73"/>
    <w:rsid w:val="00D12D9A"/>
    <w:rsid w:val="00D12F99"/>
    <w:rsid w:val="00D13001"/>
    <w:rsid w:val="00D131C9"/>
    <w:rsid w:val="00D1326D"/>
    <w:rsid w:val="00D13357"/>
    <w:rsid w:val="00D13632"/>
    <w:rsid w:val="00D13753"/>
    <w:rsid w:val="00D13850"/>
    <w:rsid w:val="00D13C48"/>
    <w:rsid w:val="00D13D90"/>
    <w:rsid w:val="00D13E7C"/>
    <w:rsid w:val="00D13F4E"/>
    <w:rsid w:val="00D1405F"/>
    <w:rsid w:val="00D1428C"/>
    <w:rsid w:val="00D143AE"/>
    <w:rsid w:val="00D143E3"/>
    <w:rsid w:val="00D1451A"/>
    <w:rsid w:val="00D14574"/>
    <w:rsid w:val="00D147E9"/>
    <w:rsid w:val="00D14894"/>
    <w:rsid w:val="00D1496B"/>
    <w:rsid w:val="00D14AC5"/>
    <w:rsid w:val="00D14C02"/>
    <w:rsid w:val="00D14C5A"/>
    <w:rsid w:val="00D14C81"/>
    <w:rsid w:val="00D14C85"/>
    <w:rsid w:val="00D14CB4"/>
    <w:rsid w:val="00D14CD8"/>
    <w:rsid w:val="00D14D26"/>
    <w:rsid w:val="00D14DFE"/>
    <w:rsid w:val="00D14E98"/>
    <w:rsid w:val="00D14ED6"/>
    <w:rsid w:val="00D1538B"/>
    <w:rsid w:val="00D1540D"/>
    <w:rsid w:val="00D15908"/>
    <w:rsid w:val="00D159DC"/>
    <w:rsid w:val="00D15A3B"/>
    <w:rsid w:val="00D15BB2"/>
    <w:rsid w:val="00D15D1D"/>
    <w:rsid w:val="00D15DEC"/>
    <w:rsid w:val="00D16106"/>
    <w:rsid w:val="00D1638F"/>
    <w:rsid w:val="00D164E8"/>
    <w:rsid w:val="00D1651A"/>
    <w:rsid w:val="00D16846"/>
    <w:rsid w:val="00D16AFE"/>
    <w:rsid w:val="00D16D02"/>
    <w:rsid w:val="00D16E24"/>
    <w:rsid w:val="00D16EFA"/>
    <w:rsid w:val="00D16FC5"/>
    <w:rsid w:val="00D17592"/>
    <w:rsid w:val="00D176A5"/>
    <w:rsid w:val="00D176A6"/>
    <w:rsid w:val="00D178A8"/>
    <w:rsid w:val="00D17C22"/>
    <w:rsid w:val="00D17D23"/>
    <w:rsid w:val="00D17F94"/>
    <w:rsid w:val="00D200B2"/>
    <w:rsid w:val="00D20279"/>
    <w:rsid w:val="00D204E2"/>
    <w:rsid w:val="00D20801"/>
    <w:rsid w:val="00D20915"/>
    <w:rsid w:val="00D20945"/>
    <w:rsid w:val="00D20987"/>
    <w:rsid w:val="00D20A2E"/>
    <w:rsid w:val="00D20A52"/>
    <w:rsid w:val="00D20CFA"/>
    <w:rsid w:val="00D20D50"/>
    <w:rsid w:val="00D213A7"/>
    <w:rsid w:val="00D213D8"/>
    <w:rsid w:val="00D213FB"/>
    <w:rsid w:val="00D214A5"/>
    <w:rsid w:val="00D2161E"/>
    <w:rsid w:val="00D216FF"/>
    <w:rsid w:val="00D2179F"/>
    <w:rsid w:val="00D217B8"/>
    <w:rsid w:val="00D2187B"/>
    <w:rsid w:val="00D21946"/>
    <w:rsid w:val="00D219EC"/>
    <w:rsid w:val="00D21B0D"/>
    <w:rsid w:val="00D21CDD"/>
    <w:rsid w:val="00D21D3D"/>
    <w:rsid w:val="00D220F2"/>
    <w:rsid w:val="00D22561"/>
    <w:rsid w:val="00D2265D"/>
    <w:rsid w:val="00D22792"/>
    <w:rsid w:val="00D22A95"/>
    <w:rsid w:val="00D22F16"/>
    <w:rsid w:val="00D22F42"/>
    <w:rsid w:val="00D22FBD"/>
    <w:rsid w:val="00D231E1"/>
    <w:rsid w:val="00D23325"/>
    <w:rsid w:val="00D2354D"/>
    <w:rsid w:val="00D235F3"/>
    <w:rsid w:val="00D23651"/>
    <w:rsid w:val="00D2365D"/>
    <w:rsid w:val="00D23671"/>
    <w:rsid w:val="00D23678"/>
    <w:rsid w:val="00D23749"/>
    <w:rsid w:val="00D23C58"/>
    <w:rsid w:val="00D23E42"/>
    <w:rsid w:val="00D23FA0"/>
    <w:rsid w:val="00D2409D"/>
    <w:rsid w:val="00D24186"/>
    <w:rsid w:val="00D242BB"/>
    <w:rsid w:val="00D2460A"/>
    <w:rsid w:val="00D2474C"/>
    <w:rsid w:val="00D24829"/>
    <w:rsid w:val="00D24872"/>
    <w:rsid w:val="00D24D01"/>
    <w:rsid w:val="00D251D6"/>
    <w:rsid w:val="00D2555C"/>
    <w:rsid w:val="00D25755"/>
    <w:rsid w:val="00D25AAD"/>
    <w:rsid w:val="00D25B9A"/>
    <w:rsid w:val="00D25C85"/>
    <w:rsid w:val="00D25D89"/>
    <w:rsid w:val="00D25EF1"/>
    <w:rsid w:val="00D260B1"/>
    <w:rsid w:val="00D2620F"/>
    <w:rsid w:val="00D26292"/>
    <w:rsid w:val="00D264A9"/>
    <w:rsid w:val="00D265FB"/>
    <w:rsid w:val="00D2661F"/>
    <w:rsid w:val="00D267A3"/>
    <w:rsid w:val="00D26817"/>
    <w:rsid w:val="00D26847"/>
    <w:rsid w:val="00D26D6F"/>
    <w:rsid w:val="00D26E94"/>
    <w:rsid w:val="00D26E95"/>
    <w:rsid w:val="00D26EFF"/>
    <w:rsid w:val="00D27276"/>
    <w:rsid w:val="00D2735E"/>
    <w:rsid w:val="00D27364"/>
    <w:rsid w:val="00D2749E"/>
    <w:rsid w:val="00D279D7"/>
    <w:rsid w:val="00D27B7B"/>
    <w:rsid w:val="00D27C69"/>
    <w:rsid w:val="00D27CF8"/>
    <w:rsid w:val="00D27D18"/>
    <w:rsid w:val="00D27F61"/>
    <w:rsid w:val="00D30090"/>
    <w:rsid w:val="00D300A3"/>
    <w:rsid w:val="00D301D2"/>
    <w:rsid w:val="00D3023E"/>
    <w:rsid w:val="00D30351"/>
    <w:rsid w:val="00D30470"/>
    <w:rsid w:val="00D30B59"/>
    <w:rsid w:val="00D30C68"/>
    <w:rsid w:val="00D30D1C"/>
    <w:rsid w:val="00D30EE2"/>
    <w:rsid w:val="00D30F01"/>
    <w:rsid w:val="00D310E2"/>
    <w:rsid w:val="00D311C6"/>
    <w:rsid w:val="00D311E4"/>
    <w:rsid w:val="00D31422"/>
    <w:rsid w:val="00D31426"/>
    <w:rsid w:val="00D314CE"/>
    <w:rsid w:val="00D314DF"/>
    <w:rsid w:val="00D31567"/>
    <w:rsid w:val="00D31592"/>
    <w:rsid w:val="00D3159C"/>
    <w:rsid w:val="00D315D5"/>
    <w:rsid w:val="00D315ED"/>
    <w:rsid w:val="00D317AC"/>
    <w:rsid w:val="00D31842"/>
    <w:rsid w:val="00D3194E"/>
    <w:rsid w:val="00D31A38"/>
    <w:rsid w:val="00D31B2A"/>
    <w:rsid w:val="00D31EBD"/>
    <w:rsid w:val="00D31F8E"/>
    <w:rsid w:val="00D320A2"/>
    <w:rsid w:val="00D3217A"/>
    <w:rsid w:val="00D32326"/>
    <w:rsid w:val="00D3234B"/>
    <w:rsid w:val="00D32613"/>
    <w:rsid w:val="00D32667"/>
    <w:rsid w:val="00D326AD"/>
    <w:rsid w:val="00D32705"/>
    <w:rsid w:val="00D327D1"/>
    <w:rsid w:val="00D32868"/>
    <w:rsid w:val="00D32A1F"/>
    <w:rsid w:val="00D32C37"/>
    <w:rsid w:val="00D32E34"/>
    <w:rsid w:val="00D32F87"/>
    <w:rsid w:val="00D3300D"/>
    <w:rsid w:val="00D33021"/>
    <w:rsid w:val="00D33156"/>
    <w:rsid w:val="00D331EC"/>
    <w:rsid w:val="00D3326D"/>
    <w:rsid w:val="00D332FE"/>
    <w:rsid w:val="00D333EF"/>
    <w:rsid w:val="00D33529"/>
    <w:rsid w:val="00D33538"/>
    <w:rsid w:val="00D33639"/>
    <w:rsid w:val="00D33679"/>
    <w:rsid w:val="00D336B6"/>
    <w:rsid w:val="00D33838"/>
    <w:rsid w:val="00D338F5"/>
    <w:rsid w:val="00D33901"/>
    <w:rsid w:val="00D33A66"/>
    <w:rsid w:val="00D33B80"/>
    <w:rsid w:val="00D33B83"/>
    <w:rsid w:val="00D33C43"/>
    <w:rsid w:val="00D33D0B"/>
    <w:rsid w:val="00D33EFC"/>
    <w:rsid w:val="00D33F6B"/>
    <w:rsid w:val="00D34063"/>
    <w:rsid w:val="00D340FF"/>
    <w:rsid w:val="00D342A8"/>
    <w:rsid w:val="00D34326"/>
    <w:rsid w:val="00D3434F"/>
    <w:rsid w:val="00D3440D"/>
    <w:rsid w:val="00D34448"/>
    <w:rsid w:val="00D3456C"/>
    <w:rsid w:val="00D3475B"/>
    <w:rsid w:val="00D34BE3"/>
    <w:rsid w:val="00D34CEC"/>
    <w:rsid w:val="00D34D48"/>
    <w:rsid w:val="00D34DB5"/>
    <w:rsid w:val="00D350AD"/>
    <w:rsid w:val="00D35112"/>
    <w:rsid w:val="00D351A1"/>
    <w:rsid w:val="00D3575C"/>
    <w:rsid w:val="00D35801"/>
    <w:rsid w:val="00D35A6F"/>
    <w:rsid w:val="00D35ECF"/>
    <w:rsid w:val="00D35F2D"/>
    <w:rsid w:val="00D35F9A"/>
    <w:rsid w:val="00D35FC3"/>
    <w:rsid w:val="00D3612D"/>
    <w:rsid w:val="00D36544"/>
    <w:rsid w:val="00D36550"/>
    <w:rsid w:val="00D368B5"/>
    <w:rsid w:val="00D36A2C"/>
    <w:rsid w:val="00D36BDE"/>
    <w:rsid w:val="00D36D52"/>
    <w:rsid w:val="00D36E2B"/>
    <w:rsid w:val="00D36F9E"/>
    <w:rsid w:val="00D36FFC"/>
    <w:rsid w:val="00D37022"/>
    <w:rsid w:val="00D37137"/>
    <w:rsid w:val="00D37234"/>
    <w:rsid w:val="00D372AF"/>
    <w:rsid w:val="00D37360"/>
    <w:rsid w:val="00D37566"/>
    <w:rsid w:val="00D37629"/>
    <w:rsid w:val="00D3770C"/>
    <w:rsid w:val="00D377C2"/>
    <w:rsid w:val="00D37A9B"/>
    <w:rsid w:val="00D37BAC"/>
    <w:rsid w:val="00D37D74"/>
    <w:rsid w:val="00D37EA4"/>
    <w:rsid w:val="00D37FE3"/>
    <w:rsid w:val="00D3EC5B"/>
    <w:rsid w:val="00D40019"/>
    <w:rsid w:val="00D402F4"/>
    <w:rsid w:val="00D404B1"/>
    <w:rsid w:val="00D404B2"/>
    <w:rsid w:val="00D409C3"/>
    <w:rsid w:val="00D40EA9"/>
    <w:rsid w:val="00D4119D"/>
    <w:rsid w:val="00D414BA"/>
    <w:rsid w:val="00D4185C"/>
    <w:rsid w:val="00D41B6A"/>
    <w:rsid w:val="00D41BE6"/>
    <w:rsid w:val="00D41E22"/>
    <w:rsid w:val="00D41F0D"/>
    <w:rsid w:val="00D421F8"/>
    <w:rsid w:val="00D4231E"/>
    <w:rsid w:val="00D42484"/>
    <w:rsid w:val="00D42575"/>
    <w:rsid w:val="00D425C4"/>
    <w:rsid w:val="00D4272A"/>
    <w:rsid w:val="00D4289A"/>
    <w:rsid w:val="00D42A87"/>
    <w:rsid w:val="00D42AF3"/>
    <w:rsid w:val="00D42BFF"/>
    <w:rsid w:val="00D42C5A"/>
    <w:rsid w:val="00D42D22"/>
    <w:rsid w:val="00D42F87"/>
    <w:rsid w:val="00D43009"/>
    <w:rsid w:val="00D43044"/>
    <w:rsid w:val="00D4307C"/>
    <w:rsid w:val="00D4308F"/>
    <w:rsid w:val="00D43418"/>
    <w:rsid w:val="00D4345F"/>
    <w:rsid w:val="00D4349F"/>
    <w:rsid w:val="00D434E6"/>
    <w:rsid w:val="00D435C4"/>
    <w:rsid w:val="00D435DC"/>
    <w:rsid w:val="00D436F2"/>
    <w:rsid w:val="00D438FB"/>
    <w:rsid w:val="00D43945"/>
    <w:rsid w:val="00D43951"/>
    <w:rsid w:val="00D439EB"/>
    <w:rsid w:val="00D43AE5"/>
    <w:rsid w:val="00D43B33"/>
    <w:rsid w:val="00D43DDA"/>
    <w:rsid w:val="00D43E68"/>
    <w:rsid w:val="00D43E81"/>
    <w:rsid w:val="00D43FD8"/>
    <w:rsid w:val="00D4408D"/>
    <w:rsid w:val="00D4416C"/>
    <w:rsid w:val="00D444F7"/>
    <w:rsid w:val="00D44593"/>
    <w:rsid w:val="00D445CF"/>
    <w:rsid w:val="00D44C8F"/>
    <w:rsid w:val="00D44C9C"/>
    <w:rsid w:val="00D44E8A"/>
    <w:rsid w:val="00D44F11"/>
    <w:rsid w:val="00D4503B"/>
    <w:rsid w:val="00D4508B"/>
    <w:rsid w:val="00D451BF"/>
    <w:rsid w:val="00D45808"/>
    <w:rsid w:val="00D45AA1"/>
    <w:rsid w:val="00D45AF6"/>
    <w:rsid w:val="00D45B6D"/>
    <w:rsid w:val="00D45D43"/>
    <w:rsid w:val="00D45D73"/>
    <w:rsid w:val="00D45E40"/>
    <w:rsid w:val="00D45E9D"/>
    <w:rsid w:val="00D45FC8"/>
    <w:rsid w:val="00D460EF"/>
    <w:rsid w:val="00D46161"/>
    <w:rsid w:val="00D46194"/>
    <w:rsid w:val="00D46400"/>
    <w:rsid w:val="00D4656D"/>
    <w:rsid w:val="00D46670"/>
    <w:rsid w:val="00D467EF"/>
    <w:rsid w:val="00D468DB"/>
    <w:rsid w:val="00D46B60"/>
    <w:rsid w:val="00D46B73"/>
    <w:rsid w:val="00D46BF0"/>
    <w:rsid w:val="00D46C07"/>
    <w:rsid w:val="00D46CE7"/>
    <w:rsid w:val="00D46D32"/>
    <w:rsid w:val="00D475CD"/>
    <w:rsid w:val="00D475F9"/>
    <w:rsid w:val="00D477B8"/>
    <w:rsid w:val="00D478FA"/>
    <w:rsid w:val="00D4799B"/>
    <w:rsid w:val="00D47AB1"/>
    <w:rsid w:val="00D47AD9"/>
    <w:rsid w:val="00D47D50"/>
    <w:rsid w:val="00D47EE1"/>
    <w:rsid w:val="00D50095"/>
    <w:rsid w:val="00D50310"/>
    <w:rsid w:val="00D503A8"/>
    <w:rsid w:val="00D5069D"/>
    <w:rsid w:val="00D506C4"/>
    <w:rsid w:val="00D50821"/>
    <w:rsid w:val="00D508C1"/>
    <w:rsid w:val="00D50964"/>
    <w:rsid w:val="00D50A09"/>
    <w:rsid w:val="00D50AAB"/>
    <w:rsid w:val="00D50B27"/>
    <w:rsid w:val="00D50C87"/>
    <w:rsid w:val="00D50C8C"/>
    <w:rsid w:val="00D50E9C"/>
    <w:rsid w:val="00D50F72"/>
    <w:rsid w:val="00D512E4"/>
    <w:rsid w:val="00D51306"/>
    <w:rsid w:val="00D51398"/>
    <w:rsid w:val="00D5142D"/>
    <w:rsid w:val="00D51456"/>
    <w:rsid w:val="00D51517"/>
    <w:rsid w:val="00D515AD"/>
    <w:rsid w:val="00D51971"/>
    <w:rsid w:val="00D5199B"/>
    <w:rsid w:val="00D51C36"/>
    <w:rsid w:val="00D51DBB"/>
    <w:rsid w:val="00D51E80"/>
    <w:rsid w:val="00D51EC6"/>
    <w:rsid w:val="00D51EFD"/>
    <w:rsid w:val="00D51F79"/>
    <w:rsid w:val="00D5218F"/>
    <w:rsid w:val="00D521D5"/>
    <w:rsid w:val="00D521DF"/>
    <w:rsid w:val="00D5229C"/>
    <w:rsid w:val="00D522DE"/>
    <w:rsid w:val="00D523BF"/>
    <w:rsid w:val="00D5251A"/>
    <w:rsid w:val="00D52556"/>
    <w:rsid w:val="00D525AD"/>
    <w:rsid w:val="00D527D6"/>
    <w:rsid w:val="00D52836"/>
    <w:rsid w:val="00D528AF"/>
    <w:rsid w:val="00D52B40"/>
    <w:rsid w:val="00D52B4E"/>
    <w:rsid w:val="00D52D2A"/>
    <w:rsid w:val="00D52D41"/>
    <w:rsid w:val="00D52E28"/>
    <w:rsid w:val="00D53040"/>
    <w:rsid w:val="00D53067"/>
    <w:rsid w:val="00D5322F"/>
    <w:rsid w:val="00D53276"/>
    <w:rsid w:val="00D53652"/>
    <w:rsid w:val="00D53BCC"/>
    <w:rsid w:val="00D53E9A"/>
    <w:rsid w:val="00D53ED2"/>
    <w:rsid w:val="00D53F93"/>
    <w:rsid w:val="00D54067"/>
    <w:rsid w:val="00D543E2"/>
    <w:rsid w:val="00D54424"/>
    <w:rsid w:val="00D544CC"/>
    <w:rsid w:val="00D5455F"/>
    <w:rsid w:val="00D54884"/>
    <w:rsid w:val="00D548B5"/>
    <w:rsid w:val="00D54FF1"/>
    <w:rsid w:val="00D550ED"/>
    <w:rsid w:val="00D5529D"/>
    <w:rsid w:val="00D552EC"/>
    <w:rsid w:val="00D55397"/>
    <w:rsid w:val="00D5572B"/>
    <w:rsid w:val="00D557CC"/>
    <w:rsid w:val="00D558FA"/>
    <w:rsid w:val="00D55A03"/>
    <w:rsid w:val="00D55BDA"/>
    <w:rsid w:val="00D55E92"/>
    <w:rsid w:val="00D55F08"/>
    <w:rsid w:val="00D55F89"/>
    <w:rsid w:val="00D560AF"/>
    <w:rsid w:val="00D5625D"/>
    <w:rsid w:val="00D56527"/>
    <w:rsid w:val="00D56610"/>
    <w:rsid w:val="00D5667B"/>
    <w:rsid w:val="00D5667F"/>
    <w:rsid w:val="00D56A9C"/>
    <w:rsid w:val="00D56C17"/>
    <w:rsid w:val="00D56CA2"/>
    <w:rsid w:val="00D56D9E"/>
    <w:rsid w:val="00D56DB8"/>
    <w:rsid w:val="00D56F84"/>
    <w:rsid w:val="00D57033"/>
    <w:rsid w:val="00D571A3"/>
    <w:rsid w:val="00D5738B"/>
    <w:rsid w:val="00D57391"/>
    <w:rsid w:val="00D5742B"/>
    <w:rsid w:val="00D57452"/>
    <w:rsid w:val="00D574DD"/>
    <w:rsid w:val="00D57661"/>
    <w:rsid w:val="00D5782D"/>
    <w:rsid w:val="00D57903"/>
    <w:rsid w:val="00D5792F"/>
    <w:rsid w:val="00D57966"/>
    <w:rsid w:val="00D57A57"/>
    <w:rsid w:val="00D57D40"/>
    <w:rsid w:val="00D57DF0"/>
    <w:rsid w:val="00D57DFE"/>
    <w:rsid w:val="00D57F32"/>
    <w:rsid w:val="00D6018D"/>
    <w:rsid w:val="00D601F6"/>
    <w:rsid w:val="00D608BD"/>
    <w:rsid w:val="00D60C5E"/>
    <w:rsid w:val="00D60D8E"/>
    <w:rsid w:val="00D615D9"/>
    <w:rsid w:val="00D619E3"/>
    <w:rsid w:val="00D61B42"/>
    <w:rsid w:val="00D61D11"/>
    <w:rsid w:val="00D61E3D"/>
    <w:rsid w:val="00D61FFE"/>
    <w:rsid w:val="00D62005"/>
    <w:rsid w:val="00D620E3"/>
    <w:rsid w:val="00D62256"/>
    <w:rsid w:val="00D622A9"/>
    <w:rsid w:val="00D6245C"/>
    <w:rsid w:val="00D626DA"/>
    <w:rsid w:val="00D62984"/>
    <w:rsid w:val="00D62D36"/>
    <w:rsid w:val="00D62D86"/>
    <w:rsid w:val="00D62E8D"/>
    <w:rsid w:val="00D62FFB"/>
    <w:rsid w:val="00D63354"/>
    <w:rsid w:val="00D633B6"/>
    <w:rsid w:val="00D63462"/>
    <w:rsid w:val="00D63652"/>
    <w:rsid w:val="00D6385C"/>
    <w:rsid w:val="00D639B2"/>
    <w:rsid w:val="00D63A79"/>
    <w:rsid w:val="00D63BCB"/>
    <w:rsid w:val="00D63C6A"/>
    <w:rsid w:val="00D63DA3"/>
    <w:rsid w:val="00D63EA5"/>
    <w:rsid w:val="00D63F71"/>
    <w:rsid w:val="00D63FE5"/>
    <w:rsid w:val="00D642F1"/>
    <w:rsid w:val="00D643D2"/>
    <w:rsid w:val="00D644AB"/>
    <w:rsid w:val="00D64707"/>
    <w:rsid w:val="00D647F1"/>
    <w:rsid w:val="00D64C1B"/>
    <w:rsid w:val="00D64C4B"/>
    <w:rsid w:val="00D64EF1"/>
    <w:rsid w:val="00D64FB0"/>
    <w:rsid w:val="00D6505B"/>
    <w:rsid w:val="00D650AB"/>
    <w:rsid w:val="00D65304"/>
    <w:rsid w:val="00D65543"/>
    <w:rsid w:val="00D6565D"/>
    <w:rsid w:val="00D65789"/>
    <w:rsid w:val="00D65AB3"/>
    <w:rsid w:val="00D65F3D"/>
    <w:rsid w:val="00D66269"/>
    <w:rsid w:val="00D662AA"/>
    <w:rsid w:val="00D662DA"/>
    <w:rsid w:val="00D6630B"/>
    <w:rsid w:val="00D66553"/>
    <w:rsid w:val="00D665BE"/>
    <w:rsid w:val="00D6677E"/>
    <w:rsid w:val="00D6678B"/>
    <w:rsid w:val="00D66B07"/>
    <w:rsid w:val="00D66D42"/>
    <w:rsid w:val="00D67057"/>
    <w:rsid w:val="00D6754B"/>
    <w:rsid w:val="00D6761C"/>
    <w:rsid w:val="00D6788C"/>
    <w:rsid w:val="00D6789D"/>
    <w:rsid w:val="00D67B62"/>
    <w:rsid w:val="00D67C0C"/>
    <w:rsid w:val="00D67DAB"/>
    <w:rsid w:val="00D67E36"/>
    <w:rsid w:val="00D67F83"/>
    <w:rsid w:val="00D7010F"/>
    <w:rsid w:val="00D701CF"/>
    <w:rsid w:val="00D702AA"/>
    <w:rsid w:val="00D70597"/>
    <w:rsid w:val="00D705AB"/>
    <w:rsid w:val="00D706A4"/>
    <w:rsid w:val="00D708A9"/>
    <w:rsid w:val="00D70A12"/>
    <w:rsid w:val="00D70BF1"/>
    <w:rsid w:val="00D70C1D"/>
    <w:rsid w:val="00D70CEF"/>
    <w:rsid w:val="00D70F74"/>
    <w:rsid w:val="00D711EC"/>
    <w:rsid w:val="00D711FF"/>
    <w:rsid w:val="00D712B2"/>
    <w:rsid w:val="00D71302"/>
    <w:rsid w:val="00D716C4"/>
    <w:rsid w:val="00D7186D"/>
    <w:rsid w:val="00D71978"/>
    <w:rsid w:val="00D71A95"/>
    <w:rsid w:val="00D71C31"/>
    <w:rsid w:val="00D71C68"/>
    <w:rsid w:val="00D71D69"/>
    <w:rsid w:val="00D71E9D"/>
    <w:rsid w:val="00D72085"/>
    <w:rsid w:val="00D72099"/>
    <w:rsid w:val="00D72362"/>
    <w:rsid w:val="00D72385"/>
    <w:rsid w:val="00D72513"/>
    <w:rsid w:val="00D7256A"/>
    <w:rsid w:val="00D72760"/>
    <w:rsid w:val="00D7282A"/>
    <w:rsid w:val="00D72870"/>
    <w:rsid w:val="00D7287B"/>
    <w:rsid w:val="00D7292D"/>
    <w:rsid w:val="00D7298D"/>
    <w:rsid w:val="00D72C3B"/>
    <w:rsid w:val="00D72CD3"/>
    <w:rsid w:val="00D7317C"/>
    <w:rsid w:val="00D731A4"/>
    <w:rsid w:val="00D731B4"/>
    <w:rsid w:val="00D73216"/>
    <w:rsid w:val="00D732B9"/>
    <w:rsid w:val="00D733D9"/>
    <w:rsid w:val="00D7344B"/>
    <w:rsid w:val="00D737F3"/>
    <w:rsid w:val="00D73921"/>
    <w:rsid w:val="00D73AB7"/>
    <w:rsid w:val="00D73ACC"/>
    <w:rsid w:val="00D73C70"/>
    <w:rsid w:val="00D73CF6"/>
    <w:rsid w:val="00D73EFE"/>
    <w:rsid w:val="00D73F62"/>
    <w:rsid w:val="00D74066"/>
    <w:rsid w:val="00D740B5"/>
    <w:rsid w:val="00D741FB"/>
    <w:rsid w:val="00D74291"/>
    <w:rsid w:val="00D74297"/>
    <w:rsid w:val="00D74471"/>
    <w:rsid w:val="00D74504"/>
    <w:rsid w:val="00D745EC"/>
    <w:rsid w:val="00D74824"/>
    <w:rsid w:val="00D7482F"/>
    <w:rsid w:val="00D7491D"/>
    <w:rsid w:val="00D749C3"/>
    <w:rsid w:val="00D74C4C"/>
    <w:rsid w:val="00D74EFB"/>
    <w:rsid w:val="00D752DC"/>
    <w:rsid w:val="00D754BA"/>
    <w:rsid w:val="00D7550D"/>
    <w:rsid w:val="00D75549"/>
    <w:rsid w:val="00D755D9"/>
    <w:rsid w:val="00D7560D"/>
    <w:rsid w:val="00D75949"/>
    <w:rsid w:val="00D75A56"/>
    <w:rsid w:val="00D75B6E"/>
    <w:rsid w:val="00D75C17"/>
    <w:rsid w:val="00D75C34"/>
    <w:rsid w:val="00D75E72"/>
    <w:rsid w:val="00D75FCE"/>
    <w:rsid w:val="00D76008"/>
    <w:rsid w:val="00D76019"/>
    <w:rsid w:val="00D760B9"/>
    <w:rsid w:val="00D7612D"/>
    <w:rsid w:val="00D7618D"/>
    <w:rsid w:val="00D7626D"/>
    <w:rsid w:val="00D762DB"/>
    <w:rsid w:val="00D763AF"/>
    <w:rsid w:val="00D76401"/>
    <w:rsid w:val="00D76560"/>
    <w:rsid w:val="00D7661D"/>
    <w:rsid w:val="00D767A5"/>
    <w:rsid w:val="00D768CA"/>
    <w:rsid w:val="00D7693B"/>
    <w:rsid w:val="00D76BB7"/>
    <w:rsid w:val="00D76BBA"/>
    <w:rsid w:val="00D76C60"/>
    <w:rsid w:val="00D771E0"/>
    <w:rsid w:val="00D7796D"/>
    <w:rsid w:val="00D77B28"/>
    <w:rsid w:val="00D800DA"/>
    <w:rsid w:val="00D8010D"/>
    <w:rsid w:val="00D80156"/>
    <w:rsid w:val="00D80667"/>
    <w:rsid w:val="00D80718"/>
    <w:rsid w:val="00D807DD"/>
    <w:rsid w:val="00D80946"/>
    <w:rsid w:val="00D80C23"/>
    <w:rsid w:val="00D80C67"/>
    <w:rsid w:val="00D80E40"/>
    <w:rsid w:val="00D80EAD"/>
    <w:rsid w:val="00D80EE4"/>
    <w:rsid w:val="00D80F57"/>
    <w:rsid w:val="00D80FC4"/>
    <w:rsid w:val="00D81019"/>
    <w:rsid w:val="00D81112"/>
    <w:rsid w:val="00D8119D"/>
    <w:rsid w:val="00D813D9"/>
    <w:rsid w:val="00D815D0"/>
    <w:rsid w:val="00D8167D"/>
    <w:rsid w:val="00D81692"/>
    <w:rsid w:val="00D818EB"/>
    <w:rsid w:val="00D81915"/>
    <w:rsid w:val="00D81BDC"/>
    <w:rsid w:val="00D81C18"/>
    <w:rsid w:val="00D81CB9"/>
    <w:rsid w:val="00D8216F"/>
    <w:rsid w:val="00D821A8"/>
    <w:rsid w:val="00D82410"/>
    <w:rsid w:val="00D824DD"/>
    <w:rsid w:val="00D82762"/>
    <w:rsid w:val="00D82C01"/>
    <w:rsid w:val="00D82E9E"/>
    <w:rsid w:val="00D82FC0"/>
    <w:rsid w:val="00D833C5"/>
    <w:rsid w:val="00D834BC"/>
    <w:rsid w:val="00D83755"/>
    <w:rsid w:val="00D83763"/>
    <w:rsid w:val="00D838FD"/>
    <w:rsid w:val="00D83B52"/>
    <w:rsid w:val="00D83CDF"/>
    <w:rsid w:val="00D83E2D"/>
    <w:rsid w:val="00D83FC9"/>
    <w:rsid w:val="00D840BD"/>
    <w:rsid w:val="00D84174"/>
    <w:rsid w:val="00D843A6"/>
    <w:rsid w:val="00D843EB"/>
    <w:rsid w:val="00D84482"/>
    <w:rsid w:val="00D84641"/>
    <w:rsid w:val="00D8479A"/>
    <w:rsid w:val="00D84BCB"/>
    <w:rsid w:val="00D84DA8"/>
    <w:rsid w:val="00D84FCF"/>
    <w:rsid w:val="00D852B9"/>
    <w:rsid w:val="00D85320"/>
    <w:rsid w:val="00D855CE"/>
    <w:rsid w:val="00D85688"/>
    <w:rsid w:val="00D859E0"/>
    <w:rsid w:val="00D85B02"/>
    <w:rsid w:val="00D85BAC"/>
    <w:rsid w:val="00D85CB4"/>
    <w:rsid w:val="00D85D08"/>
    <w:rsid w:val="00D86256"/>
    <w:rsid w:val="00D86506"/>
    <w:rsid w:val="00D865E3"/>
    <w:rsid w:val="00D867D2"/>
    <w:rsid w:val="00D8684E"/>
    <w:rsid w:val="00D86938"/>
    <w:rsid w:val="00D86966"/>
    <w:rsid w:val="00D86A4B"/>
    <w:rsid w:val="00D86B23"/>
    <w:rsid w:val="00D86B8B"/>
    <w:rsid w:val="00D86BC4"/>
    <w:rsid w:val="00D86C4F"/>
    <w:rsid w:val="00D86DBA"/>
    <w:rsid w:val="00D86E7C"/>
    <w:rsid w:val="00D86F3C"/>
    <w:rsid w:val="00D870E0"/>
    <w:rsid w:val="00D871B5"/>
    <w:rsid w:val="00D87332"/>
    <w:rsid w:val="00D873C3"/>
    <w:rsid w:val="00D873F7"/>
    <w:rsid w:val="00D87425"/>
    <w:rsid w:val="00D87620"/>
    <w:rsid w:val="00D8768F"/>
    <w:rsid w:val="00D879C2"/>
    <w:rsid w:val="00D87A08"/>
    <w:rsid w:val="00D87A6F"/>
    <w:rsid w:val="00D87B2A"/>
    <w:rsid w:val="00D87E44"/>
    <w:rsid w:val="00D87E48"/>
    <w:rsid w:val="00D87E49"/>
    <w:rsid w:val="00D87F52"/>
    <w:rsid w:val="00D9032F"/>
    <w:rsid w:val="00D903D6"/>
    <w:rsid w:val="00D90453"/>
    <w:rsid w:val="00D905CB"/>
    <w:rsid w:val="00D907D6"/>
    <w:rsid w:val="00D908A6"/>
    <w:rsid w:val="00D90D8C"/>
    <w:rsid w:val="00D90DD8"/>
    <w:rsid w:val="00D90DE2"/>
    <w:rsid w:val="00D90E49"/>
    <w:rsid w:val="00D90E97"/>
    <w:rsid w:val="00D91308"/>
    <w:rsid w:val="00D9134B"/>
    <w:rsid w:val="00D91873"/>
    <w:rsid w:val="00D91ABF"/>
    <w:rsid w:val="00D91E6B"/>
    <w:rsid w:val="00D91F99"/>
    <w:rsid w:val="00D92000"/>
    <w:rsid w:val="00D921E3"/>
    <w:rsid w:val="00D92266"/>
    <w:rsid w:val="00D9243B"/>
    <w:rsid w:val="00D92773"/>
    <w:rsid w:val="00D927B6"/>
    <w:rsid w:val="00D927EC"/>
    <w:rsid w:val="00D92B38"/>
    <w:rsid w:val="00D92BE6"/>
    <w:rsid w:val="00D92C29"/>
    <w:rsid w:val="00D92E95"/>
    <w:rsid w:val="00D92EE1"/>
    <w:rsid w:val="00D93158"/>
    <w:rsid w:val="00D931DE"/>
    <w:rsid w:val="00D93481"/>
    <w:rsid w:val="00D9349A"/>
    <w:rsid w:val="00D93683"/>
    <w:rsid w:val="00D93730"/>
    <w:rsid w:val="00D938E2"/>
    <w:rsid w:val="00D93914"/>
    <w:rsid w:val="00D93A2C"/>
    <w:rsid w:val="00D93DA9"/>
    <w:rsid w:val="00D93DB7"/>
    <w:rsid w:val="00D93DC8"/>
    <w:rsid w:val="00D93DFD"/>
    <w:rsid w:val="00D93FB8"/>
    <w:rsid w:val="00D94098"/>
    <w:rsid w:val="00D94117"/>
    <w:rsid w:val="00D94383"/>
    <w:rsid w:val="00D945B5"/>
    <w:rsid w:val="00D94662"/>
    <w:rsid w:val="00D94724"/>
    <w:rsid w:val="00D94B83"/>
    <w:rsid w:val="00D94EF1"/>
    <w:rsid w:val="00D94FB5"/>
    <w:rsid w:val="00D94FB8"/>
    <w:rsid w:val="00D9509A"/>
    <w:rsid w:val="00D9511D"/>
    <w:rsid w:val="00D9561A"/>
    <w:rsid w:val="00D95887"/>
    <w:rsid w:val="00D95C69"/>
    <w:rsid w:val="00D95F70"/>
    <w:rsid w:val="00D96126"/>
    <w:rsid w:val="00D96294"/>
    <w:rsid w:val="00D963CE"/>
    <w:rsid w:val="00D967DA"/>
    <w:rsid w:val="00D96822"/>
    <w:rsid w:val="00D96B99"/>
    <w:rsid w:val="00D96CBC"/>
    <w:rsid w:val="00D96FA0"/>
    <w:rsid w:val="00D970FE"/>
    <w:rsid w:val="00D97457"/>
    <w:rsid w:val="00D976BC"/>
    <w:rsid w:val="00D977BD"/>
    <w:rsid w:val="00D977F0"/>
    <w:rsid w:val="00D978BE"/>
    <w:rsid w:val="00D978D5"/>
    <w:rsid w:val="00D97930"/>
    <w:rsid w:val="00D9795B"/>
    <w:rsid w:val="00D979BD"/>
    <w:rsid w:val="00D979DF"/>
    <w:rsid w:val="00D97A4C"/>
    <w:rsid w:val="00D97E54"/>
    <w:rsid w:val="00D97EC3"/>
    <w:rsid w:val="00DA005E"/>
    <w:rsid w:val="00DA08BA"/>
    <w:rsid w:val="00DA0964"/>
    <w:rsid w:val="00DA0A12"/>
    <w:rsid w:val="00DA0A47"/>
    <w:rsid w:val="00DA0D30"/>
    <w:rsid w:val="00DA0DC1"/>
    <w:rsid w:val="00DA0E9C"/>
    <w:rsid w:val="00DA0F4F"/>
    <w:rsid w:val="00DA0FDA"/>
    <w:rsid w:val="00DA1032"/>
    <w:rsid w:val="00DA1060"/>
    <w:rsid w:val="00DA1179"/>
    <w:rsid w:val="00DA11F8"/>
    <w:rsid w:val="00DA12A3"/>
    <w:rsid w:val="00DA1316"/>
    <w:rsid w:val="00DA16C4"/>
    <w:rsid w:val="00DA1718"/>
    <w:rsid w:val="00DA17B6"/>
    <w:rsid w:val="00DA17BF"/>
    <w:rsid w:val="00DA1952"/>
    <w:rsid w:val="00DA1C5D"/>
    <w:rsid w:val="00DA1CDB"/>
    <w:rsid w:val="00DA1E0B"/>
    <w:rsid w:val="00DA1E85"/>
    <w:rsid w:val="00DA1E95"/>
    <w:rsid w:val="00DA1EE6"/>
    <w:rsid w:val="00DA1F25"/>
    <w:rsid w:val="00DA1F8E"/>
    <w:rsid w:val="00DA21F9"/>
    <w:rsid w:val="00DA2243"/>
    <w:rsid w:val="00DA22EE"/>
    <w:rsid w:val="00DA24C9"/>
    <w:rsid w:val="00DA26C1"/>
    <w:rsid w:val="00DA2749"/>
    <w:rsid w:val="00DA2778"/>
    <w:rsid w:val="00DA27D0"/>
    <w:rsid w:val="00DA2AB2"/>
    <w:rsid w:val="00DA2AF7"/>
    <w:rsid w:val="00DA2B77"/>
    <w:rsid w:val="00DA2CF2"/>
    <w:rsid w:val="00DA2F49"/>
    <w:rsid w:val="00DA319F"/>
    <w:rsid w:val="00DA32D2"/>
    <w:rsid w:val="00DA32F2"/>
    <w:rsid w:val="00DA32F3"/>
    <w:rsid w:val="00DA33B6"/>
    <w:rsid w:val="00DA34AF"/>
    <w:rsid w:val="00DA358B"/>
    <w:rsid w:val="00DA3626"/>
    <w:rsid w:val="00DA38BD"/>
    <w:rsid w:val="00DA39A7"/>
    <w:rsid w:val="00DA3AE9"/>
    <w:rsid w:val="00DA3B98"/>
    <w:rsid w:val="00DA3FD7"/>
    <w:rsid w:val="00DA4209"/>
    <w:rsid w:val="00DA4265"/>
    <w:rsid w:val="00DA42EB"/>
    <w:rsid w:val="00DA4459"/>
    <w:rsid w:val="00DA4475"/>
    <w:rsid w:val="00DA44DB"/>
    <w:rsid w:val="00DA48AD"/>
    <w:rsid w:val="00DA499C"/>
    <w:rsid w:val="00DA49FB"/>
    <w:rsid w:val="00DA4A4D"/>
    <w:rsid w:val="00DA4B94"/>
    <w:rsid w:val="00DA4C90"/>
    <w:rsid w:val="00DA4DC1"/>
    <w:rsid w:val="00DA50A6"/>
    <w:rsid w:val="00DA50B8"/>
    <w:rsid w:val="00DA5232"/>
    <w:rsid w:val="00DA52D2"/>
    <w:rsid w:val="00DA5487"/>
    <w:rsid w:val="00DA55CE"/>
    <w:rsid w:val="00DA5783"/>
    <w:rsid w:val="00DA58E8"/>
    <w:rsid w:val="00DA5AAA"/>
    <w:rsid w:val="00DA5B5E"/>
    <w:rsid w:val="00DA5C7B"/>
    <w:rsid w:val="00DA5E18"/>
    <w:rsid w:val="00DA5EF2"/>
    <w:rsid w:val="00DA60C4"/>
    <w:rsid w:val="00DA60FE"/>
    <w:rsid w:val="00DA61E3"/>
    <w:rsid w:val="00DA622D"/>
    <w:rsid w:val="00DA6536"/>
    <w:rsid w:val="00DA6592"/>
    <w:rsid w:val="00DA65CA"/>
    <w:rsid w:val="00DA66A0"/>
    <w:rsid w:val="00DA6799"/>
    <w:rsid w:val="00DA67ED"/>
    <w:rsid w:val="00DA6901"/>
    <w:rsid w:val="00DA694F"/>
    <w:rsid w:val="00DA6AA6"/>
    <w:rsid w:val="00DA6B58"/>
    <w:rsid w:val="00DA6FB1"/>
    <w:rsid w:val="00DA70CC"/>
    <w:rsid w:val="00DA7545"/>
    <w:rsid w:val="00DA78FF"/>
    <w:rsid w:val="00DA79A0"/>
    <w:rsid w:val="00DA79A5"/>
    <w:rsid w:val="00DA7A92"/>
    <w:rsid w:val="00DA7AB8"/>
    <w:rsid w:val="00DA7C2B"/>
    <w:rsid w:val="00DA7C9F"/>
    <w:rsid w:val="00DA7CB3"/>
    <w:rsid w:val="00DA7F9A"/>
    <w:rsid w:val="00DB014E"/>
    <w:rsid w:val="00DB01A4"/>
    <w:rsid w:val="00DB02F4"/>
    <w:rsid w:val="00DB0583"/>
    <w:rsid w:val="00DB0668"/>
    <w:rsid w:val="00DB08C7"/>
    <w:rsid w:val="00DB0A82"/>
    <w:rsid w:val="00DB0BBC"/>
    <w:rsid w:val="00DB0E12"/>
    <w:rsid w:val="00DB1006"/>
    <w:rsid w:val="00DB1036"/>
    <w:rsid w:val="00DB1288"/>
    <w:rsid w:val="00DB12C8"/>
    <w:rsid w:val="00DB1386"/>
    <w:rsid w:val="00DB15D4"/>
    <w:rsid w:val="00DB185F"/>
    <w:rsid w:val="00DB197F"/>
    <w:rsid w:val="00DB19A2"/>
    <w:rsid w:val="00DB1A0C"/>
    <w:rsid w:val="00DB1B89"/>
    <w:rsid w:val="00DB1C47"/>
    <w:rsid w:val="00DB1C7D"/>
    <w:rsid w:val="00DB1E20"/>
    <w:rsid w:val="00DB1F23"/>
    <w:rsid w:val="00DB20F1"/>
    <w:rsid w:val="00DB2117"/>
    <w:rsid w:val="00DB230E"/>
    <w:rsid w:val="00DB26FD"/>
    <w:rsid w:val="00DB27B7"/>
    <w:rsid w:val="00DB27D2"/>
    <w:rsid w:val="00DB285C"/>
    <w:rsid w:val="00DB2C2D"/>
    <w:rsid w:val="00DB2CD2"/>
    <w:rsid w:val="00DB318A"/>
    <w:rsid w:val="00DB31EB"/>
    <w:rsid w:val="00DB33D8"/>
    <w:rsid w:val="00DB3436"/>
    <w:rsid w:val="00DB3470"/>
    <w:rsid w:val="00DB3689"/>
    <w:rsid w:val="00DB37AA"/>
    <w:rsid w:val="00DB3906"/>
    <w:rsid w:val="00DB3957"/>
    <w:rsid w:val="00DB3A18"/>
    <w:rsid w:val="00DB3CEB"/>
    <w:rsid w:val="00DB3DD6"/>
    <w:rsid w:val="00DB3FE0"/>
    <w:rsid w:val="00DB3FEF"/>
    <w:rsid w:val="00DB40C6"/>
    <w:rsid w:val="00DB41BB"/>
    <w:rsid w:val="00DB41FC"/>
    <w:rsid w:val="00DB42CB"/>
    <w:rsid w:val="00DB42D9"/>
    <w:rsid w:val="00DB42EF"/>
    <w:rsid w:val="00DB434B"/>
    <w:rsid w:val="00DB473B"/>
    <w:rsid w:val="00DB4762"/>
    <w:rsid w:val="00DB49E8"/>
    <w:rsid w:val="00DB4A36"/>
    <w:rsid w:val="00DB4A8C"/>
    <w:rsid w:val="00DB4B13"/>
    <w:rsid w:val="00DB4E36"/>
    <w:rsid w:val="00DB4F70"/>
    <w:rsid w:val="00DB4FBC"/>
    <w:rsid w:val="00DB50E4"/>
    <w:rsid w:val="00DB5218"/>
    <w:rsid w:val="00DB5254"/>
    <w:rsid w:val="00DB5304"/>
    <w:rsid w:val="00DB572B"/>
    <w:rsid w:val="00DB57F8"/>
    <w:rsid w:val="00DB5858"/>
    <w:rsid w:val="00DB5A18"/>
    <w:rsid w:val="00DB5ACF"/>
    <w:rsid w:val="00DB5B46"/>
    <w:rsid w:val="00DB5BAF"/>
    <w:rsid w:val="00DB5FE4"/>
    <w:rsid w:val="00DB6041"/>
    <w:rsid w:val="00DB60DD"/>
    <w:rsid w:val="00DB61BE"/>
    <w:rsid w:val="00DB6289"/>
    <w:rsid w:val="00DB63B9"/>
    <w:rsid w:val="00DB63DA"/>
    <w:rsid w:val="00DB64DF"/>
    <w:rsid w:val="00DB64E4"/>
    <w:rsid w:val="00DB65B7"/>
    <w:rsid w:val="00DB6748"/>
    <w:rsid w:val="00DB67A2"/>
    <w:rsid w:val="00DB6939"/>
    <w:rsid w:val="00DB6B1F"/>
    <w:rsid w:val="00DB6B26"/>
    <w:rsid w:val="00DB6B6C"/>
    <w:rsid w:val="00DB6C75"/>
    <w:rsid w:val="00DB6F84"/>
    <w:rsid w:val="00DB70C0"/>
    <w:rsid w:val="00DB71B6"/>
    <w:rsid w:val="00DB7212"/>
    <w:rsid w:val="00DB7272"/>
    <w:rsid w:val="00DB7637"/>
    <w:rsid w:val="00DB776A"/>
    <w:rsid w:val="00DB77C2"/>
    <w:rsid w:val="00DB786F"/>
    <w:rsid w:val="00DB7974"/>
    <w:rsid w:val="00DB79CD"/>
    <w:rsid w:val="00DB7AD8"/>
    <w:rsid w:val="00DB7B24"/>
    <w:rsid w:val="00DB7B8A"/>
    <w:rsid w:val="00DB7E0E"/>
    <w:rsid w:val="00DB7EB8"/>
    <w:rsid w:val="00DC02F8"/>
    <w:rsid w:val="00DC0308"/>
    <w:rsid w:val="00DC038A"/>
    <w:rsid w:val="00DC056A"/>
    <w:rsid w:val="00DC0774"/>
    <w:rsid w:val="00DC0812"/>
    <w:rsid w:val="00DC0942"/>
    <w:rsid w:val="00DC0A13"/>
    <w:rsid w:val="00DC0BBF"/>
    <w:rsid w:val="00DC0C0D"/>
    <w:rsid w:val="00DC0C60"/>
    <w:rsid w:val="00DC0CF0"/>
    <w:rsid w:val="00DC0DFD"/>
    <w:rsid w:val="00DC0E9A"/>
    <w:rsid w:val="00DC0F3C"/>
    <w:rsid w:val="00DC1053"/>
    <w:rsid w:val="00DC1089"/>
    <w:rsid w:val="00DC10E1"/>
    <w:rsid w:val="00DC11D0"/>
    <w:rsid w:val="00DC12C1"/>
    <w:rsid w:val="00DC1433"/>
    <w:rsid w:val="00DC1445"/>
    <w:rsid w:val="00DC151A"/>
    <w:rsid w:val="00DC158A"/>
    <w:rsid w:val="00DC16F6"/>
    <w:rsid w:val="00DC1819"/>
    <w:rsid w:val="00DC1A22"/>
    <w:rsid w:val="00DC1A69"/>
    <w:rsid w:val="00DC1D30"/>
    <w:rsid w:val="00DC2165"/>
    <w:rsid w:val="00DC233C"/>
    <w:rsid w:val="00DC2404"/>
    <w:rsid w:val="00DC2464"/>
    <w:rsid w:val="00DC24C8"/>
    <w:rsid w:val="00DC250E"/>
    <w:rsid w:val="00DC26BA"/>
    <w:rsid w:val="00DC2829"/>
    <w:rsid w:val="00DC2A32"/>
    <w:rsid w:val="00DC2A51"/>
    <w:rsid w:val="00DC2BED"/>
    <w:rsid w:val="00DC2D9C"/>
    <w:rsid w:val="00DC2DF1"/>
    <w:rsid w:val="00DC302E"/>
    <w:rsid w:val="00DC3108"/>
    <w:rsid w:val="00DC32F8"/>
    <w:rsid w:val="00DC3744"/>
    <w:rsid w:val="00DC388A"/>
    <w:rsid w:val="00DC38B2"/>
    <w:rsid w:val="00DC398F"/>
    <w:rsid w:val="00DC3D36"/>
    <w:rsid w:val="00DC3E64"/>
    <w:rsid w:val="00DC3E8C"/>
    <w:rsid w:val="00DC41A1"/>
    <w:rsid w:val="00DC41B7"/>
    <w:rsid w:val="00DC4232"/>
    <w:rsid w:val="00DC43BE"/>
    <w:rsid w:val="00DC4477"/>
    <w:rsid w:val="00DC447D"/>
    <w:rsid w:val="00DC4498"/>
    <w:rsid w:val="00DC47E1"/>
    <w:rsid w:val="00DC4BD9"/>
    <w:rsid w:val="00DC4C83"/>
    <w:rsid w:val="00DC4EEA"/>
    <w:rsid w:val="00DC4F9C"/>
    <w:rsid w:val="00DC4FB7"/>
    <w:rsid w:val="00DC51D0"/>
    <w:rsid w:val="00DC5286"/>
    <w:rsid w:val="00DC542D"/>
    <w:rsid w:val="00DC54CD"/>
    <w:rsid w:val="00DC560D"/>
    <w:rsid w:val="00DC5648"/>
    <w:rsid w:val="00DC5666"/>
    <w:rsid w:val="00DC5861"/>
    <w:rsid w:val="00DC59E5"/>
    <w:rsid w:val="00DC5B9A"/>
    <w:rsid w:val="00DC5C4D"/>
    <w:rsid w:val="00DC5F68"/>
    <w:rsid w:val="00DC603C"/>
    <w:rsid w:val="00DC63FE"/>
    <w:rsid w:val="00DC66DA"/>
    <w:rsid w:val="00DC6951"/>
    <w:rsid w:val="00DC6ABD"/>
    <w:rsid w:val="00DC6EDE"/>
    <w:rsid w:val="00DC6F25"/>
    <w:rsid w:val="00DC6F63"/>
    <w:rsid w:val="00DC6FB7"/>
    <w:rsid w:val="00DC7202"/>
    <w:rsid w:val="00DC730B"/>
    <w:rsid w:val="00DC742F"/>
    <w:rsid w:val="00DC747A"/>
    <w:rsid w:val="00DC74FB"/>
    <w:rsid w:val="00DC76A6"/>
    <w:rsid w:val="00DC771D"/>
    <w:rsid w:val="00DC77DC"/>
    <w:rsid w:val="00DC7826"/>
    <w:rsid w:val="00DC7908"/>
    <w:rsid w:val="00DC79F2"/>
    <w:rsid w:val="00DC7A8C"/>
    <w:rsid w:val="00DC7AAA"/>
    <w:rsid w:val="00DC7ADF"/>
    <w:rsid w:val="00DC7BFA"/>
    <w:rsid w:val="00DC7C72"/>
    <w:rsid w:val="00DC7CC2"/>
    <w:rsid w:val="00DC7D91"/>
    <w:rsid w:val="00DC968E"/>
    <w:rsid w:val="00DD00B6"/>
    <w:rsid w:val="00DD02E0"/>
    <w:rsid w:val="00DD032B"/>
    <w:rsid w:val="00DD0526"/>
    <w:rsid w:val="00DD0556"/>
    <w:rsid w:val="00DD061C"/>
    <w:rsid w:val="00DD06A5"/>
    <w:rsid w:val="00DD076A"/>
    <w:rsid w:val="00DD09ED"/>
    <w:rsid w:val="00DD0A6F"/>
    <w:rsid w:val="00DD0C87"/>
    <w:rsid w:val="00DD0EA6"/>
    <w:rsid w:val="00DD0F93"/>
    <w:rsid w:val="00DD10AE"/>
    <w:rsid w:val="00DD10E9"/>
    <w:rsid w:val="00DD1149"/>
    <w:rsid w:val="00DD1155"/>
    <w:rsid w:val="00DD12A1"/>
    <w:rsid w:val="00DD1443"/>
    <w:rsid w:val="00DD1739"/>
    <w:rsid w:val="00DD196B"/>
    <w:rsid w:val="00DD1ADE"/>
    <w:rsid w:val="00DD1BA6"/>
    <w:rsid w:val="00DD1CE4"/>
    <w:rsid w:val="00DD1D8E"/>
    <w:rsid w:val="00DD1E1C"/>
    <w:rsid w:val="00DD21A4"/>
    <w:rsid w:val="00DD2354"/>
    <w:rsid w:val="00DD2379"/>
    <w:rsid w:val="00DD23D6"/>
    <w:rsid w:val="00DD283D"/>
    <w:rsid w:val="00DD2844"/>
    <w:rsid w:val="00DD29E1"/>
    <w:rsid w:val="00DD2CEF"/>
    <w:rsid w:val="00DD2D04"/>
    <w:rsid w:val="00DD2E2E"/>
    <w:rsid w:val="00DD2E5C"/>
    <w:rsid w:val="00DD2F56"/>
    <w:rsid w:val="00DD30D4"/>
    <w:rsid w:val="00DD3337"/>
    <w:rsid w:val="00DD33A2"/>
    <w:rsid w:val="00DD37E8"/>
    <w:rsid w:val="00DD386A"/>
    <w:rsid w:val="00DD3BA8"/>
    <w:rsid w:val="00DD3DEA"/>
    <w:rsid w:val="00DD413A"/>
    <w:rsid w:val="00DD4235"/>
    <w:rsid w:val="00DD42AF"/>
    <w:rsid w:val="00DD4379"/>
    <w:rsid w:val="00DD43A9"/>
    <w:rsid w:val="00DD44B3"/>
    <w:rsid w:val="00DD4567"/>
    <w:rsid w:val="00DD457B"/>
    <w:rsid w:val="00DD481D"/>
    <w:rsid w:val="00DD4879"/>
    <w:rsid w:val="00DD4924"/>
    <w:rsid w:val="00DD49AB"/>
    <w:rsid w:val="00DD4AA9"/>
    <w:rsid w:val="00DD4B52"/>
    <w:rsid w:val="00DD51EE"/>
    <w:rsid w:val="00DD51F3"/>
    <w:rsid w:val="00DD5311"/>
    <w:rsid w:val="00DD532D"/>
    <w:rsid w:val="00DD5390"/>
    <w:rsid w:val="00DD54D5"/>
    <w:rsid w:val="00DD5673"/>
    <w:rsid w:val="00DD57D3"/>
    <w:rsid w:val="00DD5815"/>
    <w:rsid w:val="00DD5981"/>
    <w:rsid w:val="00DD5C38"/>
    <w:rsid w:val="00DD5CDE"/>
    <w:rsid w:val="00DD6003"/>
    <w:rsid w:val="00DD602A"/>
    <w:rsid w:val="00DD6368"/>
    <w:rsid w:val="00DD6386"/>
    <w:rsid w:val="00DD6445"/>
    <w:rsid w:val="00DD64F2"/>
    <w:rsid w:val="00DD67AA"/>
    <w:rsid w:val="00DD686F"/>
    <w:rsid w:val="00DD69AE"/>
    <w:rsid w:val="00DD6B5D"/>
    <w:rsid w:val="00DD6BDE"/>
    <w:rsid w:val="00DD6C23"/>
    <w:rsid w:val="00DD6DB0"/>
    <w:rsid w:val="00DD7124"/>
    <w:rsid w:val="00DD71B2"/>
    <w:rsid w:val="00DD7278"/>
    <w:rsid w:val="00DD72F5"/>
    <w:rsid w:val="00DD770E"/>
    <w:rsid w:val="00DD78FF"/>
    <w:rsid w:val="00DD7916"/>
    <w:rsid w:val="00DD7B25"/>
    <w:rsid w:val="00DD7D30"/>
    <w:rsid w:val="00DD7D7A"/>
    <w:rsid w:val="00DD7EA3"/>
    <w:rsid w:val="00DE0023"/>
    <w:rsid w:val="00DE0026"/>
    <w:rsid w:val="00DE0101"/>
    <w:rsid w:val="00DE01D9"/>
    <w:rsid w:val="00DE03CB"/>
    <w:rsid w:val="00DE0637"/>
    <w:rsid w:val="00DE06C5"/>
    <w:rsid w:val="00DE07BA"/>
    <w:rsid w:val="00DE07C8"/>
    <w:rsid w:val="00DE0A30"/>
    <w:rsid w:val="00DE0B5C"/>
    <w:rsid w:val="00DE0CEF"/>
    <w:rsid w:val="00DE0CF9"/>
    <w:rsid w:val="00DE0F57"/>
    <w:rsid w:val="00DE1001"/>
    <w:rsid w:val="00DE103D"/>
    <w:rsid w:val="00DE11D7"/>
    <w:rsid w:val="00DE11EF"/>
    <w:rsid w:val="00DE12FC"/>
    <w:rsid w:val="00DE151D"/>
    <w:rsid w:val="00DE1612"/>
    <w:rsid w:val="00DE17AE"/>
    <w:rsid w:val="00DE18BB"/>
    <w:rsid w:val="00DE1AE5"/>
    <w:rsid w:val="00DE1C88"/>
    <w:rsid w:val="00DE1D54"/>
    <w:rsid w:val="00DE1D98"/>
    <w:rsid w:val="00DE1F58"/>
    <w:rsid w:val="00DE203A"/>
    <w:rsid w:val="00DE2046"/>
    <w:rsid w:val="00DE2156"/>
    <w:rsid w:val="00DE258D"/>
    <w:rsid w:val="00DE26B3"/>
    <w:rsid w:val="00DE2A11"/>
    <w:rsid w:val="00DE2A34"/>
    <w:rsid w:val="00DE2D1B"/>
    <w:rsid w:val="00DE2EB1"/>
    <w:rsid w:val="00DE2F77"/>
    <w:rsid w:val="00DE2FB3"/>
    <w:rsid w:val="00DE3157"/>
    <w:rsid w:val="00DE343B"/>
    <w:rsid w:val="00DE34EC"/>
    <w:rsid w:val="00DE35FA"/>
    <w:rsid w:val="00DE3726"/>
    <w:rsid w:val="00DE3735"/>
    <w:rsid w:val="00DE3879"/>
    <w:rsid w:val="00DE39C7"/>
    <w:rsid w:val="00DE3B37"/>
    <w:rsid w:val="00DE3C3C"/>
    <w:rsid w:val="00DE3F49"/>
    <w:rsid w:val="00DE41AB"/>
    <w:rsid w:val="00DE42AA"/>
    <w:rsid w:val="00DE42FB"/>
    <w:rsid w:val="00DE449C"/>
    <w:rsid w:val="00DE4822"/>
    <w:rsid w:val="00DE4A90"/>
    <w:rsid w:val="00DE4B82"/>
    <w:rsid w:val="00DE4C72"/>
    <w:rsid w:val="00DE4C9F"/>
    <w:rsid w:val="00DE4E6E"/>
    <w:rsid w:val="00DE4F3A"/>
    <w:rsid w:val="00DE54A2"/>
    <w:rsid w:val="00DE55D1"/>
    <w:rsid w:val="00DE57C2"/>
    <w:rsid w:val="00DE594A"/>
    <w:rsid w:val="00DE5B66"/>
    <w:rsid w:val="00DE5CE8"/>
    <w:rsid w:val="00DE611B"/>
    <w:rsid w:val="00DE6237"/>
    <w:rsid w:val="00DE6506"/>
    <w:rsid w:val="00DE6765"/>
    <w:rsid w:val="00DE67B2"/>
    <w:rsid w:val="00DE6885"/>
    <w:rsid w:val="00DE6949"/>
    <w:rsid w:val="00DE6CEB"/>
    <w:rsid w:val="00DE6ED7"/>
    <w:rsid w:val="00DE731D"/>
    <w:rsid w:val="00DE7344"/>
    <w:rsid w:val="00DE73C1"/>
    <w:rsid w:val="00DE76ED"/>
    <w:rsid w:val="00DE77A7"/>
    <w:rsid w:val="00DE77D0"/>
    <w:rsid w:val="00DE780E"/>
    <w:rsid w:val="00DE7BA7"/>
    <w:rsid w:val="00DE7BF5"/>
    <w:rsid w:val="00DE7CEA"/>
    <w:rsid w:val="00DE7D71"/>
    <w:rsid w:val="00DF0120"/>
    <w:rsid w:val="00DF0293"/>
    <w:rsid w:val="00DF04C6"/>
    <w:rsid w:val="00DF04F1"/>
    <w:rsid w:val="00DF0754"/>
    <w:rsid w:val="00DF0A05"/>
    <w:rsid w:val="00DF0B0E"/>
    <w:rsid w:val="00DF0D6E"/>
    <w:rsid w:val="00DF0E78"/>
    <w:rsid w:val="00DF0ED7"/>
    <w:rsid w:val="00DF0FBF"/>
    <w:rsid w:val="00DF10C1"/>
    <w:rsid w:val="00DF119F"/>
    <w:rsid w:val="00DF11BD"/>
    <w:rsid w:val="00DF133F"/>
    <w:rsid w:val="00DF1429"/>
    <w:rsid w:val="00DF1854"/>
    <w:rsid w:val="00DF1929"/>
    <w:rsid w:val="00DF1944"/>
    <w:rsid w:val="00DF1AAC"/>
    <w:rsid w:val="00DF1B67"/>
    <w:rsid w:val="00DF1B9C"/>
    <w:rsid w:val="00DF1CE3"/>
    <w:rsid w:val="00DF1D50"/>
    <w:rsid w:val="00DF1DA9"/>
    <w:rsid w:val="00DF1E70"/>
    <w:rsid w:val="00DF1EF9"/>
    <w:rsid w:val="00DF2005"/>
    <w:rsid w:val="00DF21B5"/>
    <w:rsid w:val="00DF21EB"/>
    <w:rsid w:val="00DF2738"/>
    <w:rsid w:val="00DF2917"/>
    <w:rsid w:val="00DF29D4"/>
    <w:rsid w:val="00DF2B2F"/>
    <w:rsid w:val="00DF2C11"/>
    <w:rsid w:val="00DF2C1C"/>
    <w:rsid w:val="00DF2E99"/>
    <w:rsid w:val="00DF2F97"/>
    <w:rsid w:val="00DF2FAE"/>
    <w:rsid w:val="00DF3153"/>
    <w:rsid w:val="00DF34D5"/>
    <w:rsid w:val="00DF369F"/>
    <w:rsid w:val="00DF374A"/>
    <w:rsid w:val="00DF39A6"/>
    <w:rsid w:val="00DF3B6F"/>
    <w:rsid w:val="00DF3B91"/>
    <w:rsid w:val="00DF44B9"/>
    <w:rsid w:val="00DF44CA"/>
    <w:rsid w:val="00DF4648"/>
    <w:rsid w:val="00DF4697"/>
    <w:rsid w:val="00DF476F"/>
    <w:rsid w:val="00DF47D2"/>
    <w:rsid w:val="00DF4965"/>
    <w:rsid w:val="00DF4A39"/>
    <w:rsid w:val="00DF4AD2"/>
    <w:rsid w:val="00DF4D01"/>
    <w:rsid w:val="00DF4E55"/>
    <w:rsid w:val="00DF4F00"/>
    <w:rsid w:val="00DF4F3E"/>
    <w:rsid w:val="00DF5061"/>
    <w:rsid w:val="00DF5460"/>
    <w:rsid w:val="00DF5479"/>
    <w:rsid w:val="00DF55B0"/>
    <w:rsid w:val="00DF5839"/>
    <w:rsid w:val="00DF5871"/>
    <w:rsid w:val="00DF5A31"/>
    <w:rsid w:val="00DF5BD5"/>
    <w:rsid w:val="00DF60FF"/>
    <w:rsid w:val="00DF61E8"/>
    <w:rsid w:val="00DF622A"/>
    <w:rsid w:val="00DF62A2"/>
    <w:rsid w:val="00DF64FF"/>
    <w:rsid w:val="00DF6580"/>
    <w:rsid w:val="00DF65F4"/>
    <w:rsid w:val="00DF6745"/>
    <w:rsid w:val="00DF6A45"/>
    <w:rsid w:val="00DF6A8C"/>
    <w:rsid w:val="00DF6CD1"/>
    <w:rsid w:val="00DF6CD2"/>
    <w:rsid w:val="00DF6D42"/>
    <w:rsid w:val="00DF6D76"/>
    <w:rsid w:val="00DF6F86"/>
    <w:rsid w:val="00DF700B"/>
    <w:rsid w:val="00DF7515"/>
    <w:rsid w:val="00DF752D"/>
    <w:rsid w:val="00DF75C9"/>
    <w:rsid w:val="00DF7956"/>
    <w:rsid w:val="00DF7B4E"/>
    <w:rsid w:val="00DF7CC6"/>
    <w:rsid w:val="00DF7CF7"/>
    <w:rsid w:val="00DF7FB1"/>
    <w:rsid w:val="00E00077"/>
    <w:rsid w:val="00E00132"/>
    <w:rsid w:val="00E00157"/>
    <w:rsid w:val="00E00459"/>
    <w:rsid w:val="00E00620"/>
    <w:rsid w:val="00E0066A"/>
    <w:rsid w:val="00E0071B"/>
    <w:rsid w:val="00E00B66"/>
    <w:rsid w:val="00E00C90"/>
    <w:rsid w:val="00E00CDA"/>
    <w:rsid w:val="00E00D22"/>
    <w:rsid w:val="00E00D68"/>
    <w:rsid w:val="00E00E87"/>
    <w:rsid w:val="00E01052"/>
    <w:rsid w:val="00E0108C"/>
    <w:rsid w:val="00E013A0"/>
    <w:rsid w:val="00E0178E"/>
    <w:rsid w:val="00E01843"/>
    <w:rsid w:val="00E01A5D"/>
    <w:rsid w:val="00E01AF9"/>
    <w:rsid w:val="00E01FD9"/>
    <w:rsid w:val="00E01FE3"/>
    <w:rsid w:val="00E02383"/>
    <w:rsid w:val="00E023A5"/>
    <w:rsid w:val="00E024DB"/>
    <w:rsid w:val="00E024E7"/>
    <w:rsid w:val="00E026A7"/>
    <w:rsid w:val="00E026CA"/>
    <w:rsid w:val="00E02A14"/>
    <w:rsid w:val="00E02A61"/>
    <w:rsid w:val="00E02BAD"/>
    <w:rsid w:val="00E02ED9"/>
    <w:rsid w:val="00E02FCA"/>
    <w:rsid w:val="00E03038"/>
    <w:rsid w:val="00E0330F"/>
    <w:rsid w:val="00E0360F"/>
    <w:rsid w:val="00E03874"/>
    <w:rsid w:val="00E03A1B"/>
    <w:rsid w:val="00E03A7A"/>
    <w:rsid w:val="00E03FD3"/>
    <w:rsid w:val="00E040F8"/>
    <w:rsid w:val="00E043AB"/>
    <w:rsid w:val="00E04640"/>
    <w:rsid w:val="00E046CE"/>
    <w:rsid w:val="00E0478B"/>
    <w:rsid w:val="00E04A39"/>
    <w:rsid w:val="00E04B5A"/>
    <w:rsid w:val="00E04C9A"/>
    <w:rsid w:val="00E04E84"/>
    <w:rsid w:val="00E04FA7"/>
    <w:rsid w:val="00E04FE1"/>
    <w:rsid w:val="00E051A5"/>
    <w:rsid w:val="00E055E5"/>
    <w:rsid w:val="00E05645"/>
    <w:rsid w:val="00E0579F"/>
    <w:rsid w:val="00E05844"/>
    <w:rsid w:val="00E05889"/>
    <w:rsid w:val="00E058D6"/>
    <w:rsid w:val="00E058E7"/>
    <w:rsid w:val="00E05DFB"/>
    <w:rsid w:val="00E05F68"/>
    <w:rsid w:val="00E060D8"/>
    <w:rsid w:val="00E06550"/>
    <w:rsid w:val="00E06723"/>
    <w:rsid w:val="00E068FE"/>
    <w:rsid w:val="00E06B5B"/>
    <w:rsid w:val="00E06D66"/>
    <w:rsid w:val="00E06F89"/>
    <w:rsid w:val="00E070D4"/>
    <w:rsid w:val="00E071AA"/>
    <w:rsid w:val="00E07234"/>
    <w:rsid w:val="00E072FC"/>
    <w:rsid w:val="00E07387"/>
    <w:rsid w:val="00E07416"/>
    <w:rsid w:val="00E074A2"/>
    <w:rsid w:val="00E074F6"/>
    <w:rsid w:val="00E075B4"/>
    <w:rsid w:val="00E0768B"/>
    <w:rsid w:val="00E077D1"/>
    <w:rsid w:val="00E0788D"/>
    <w:rsid w:val="00E1038E"/>
    <w:rsid w:val="00E1050A"/>
    <w:rsid w:val="00E10628"/>
    <w:rsid w:val="00E107D2"/>
    <w:rsid w:val="00E107DD"/>
    <w:rsid w:val="00E1083B"/>
    <w:rsid w:val="00E10865"/>
    <w:rsid w:val="00E10A0A"/>
    <w:rsid w:val="00E10AF0"/>
    <w:rsid w:val="00E10D1F"/>
    <w:rsid w:val="00E10FE1"/>
    <w:rsid w:val="00E1103F"/>
    <w:rsid w:val="00E1107C"/>
    <w:rsid w:val="00E1115C"/>
    <w:rsid w:val="00E11275"/>
    <w:rsid w:val="00E1141E"/>
    <w:rsid w:val="00E116EF"/>
    <w:rsid w:val="00E117B4"/>
    <w:rsid w:val="00E118BB"/>
    <w:rsid w:val="00E11D14"/>
    <w:rsid w:val="00E11D16"/>
    <w:rsid w:val="00E11F12"/>
    <w:rsid w:val="00E11FAD"/>
    <w:rsid w:val="00E1206D"/>
    <w:rsid w:val="00E120E5"/>
    <w:rsid w:val="00E120FC"/>
    <w:rsid w:val="00E12299"/>
    <w:rsid w:val="00E123E0"/>
    <w:rsid w:val="00E124BE"/>
    <w:rsid w:val="00E12674"/>
    <w:rsid w:val="00E1280E"/>
    <w:rsid w:val="00E12B16"/>
    <w:rsid w:val="00E12C58"/>
    <w:rsid w:val="00E12DE2"/>
    <w:rsid w:val="00E12E67"/>
    <w:rsid w:val="00E130B5"/>
    <w:rsid w:val="00E13747"/>
    <w:rsid w:val="00E13B66"/>
    <w:rsid w:val="00E13B73"/>
    <w:rsid w:val="00E13C27"/>
    <w:rsid w:val="00E13C97"/>
    <w:rsid w:val="00E13DC9"/>
    <w:rsid w:val="00E13DDC"/>
    <w:rsid w:val="00E13E8C"/>
    <w:rsid w:val="00E13F89"/>
    <w:rsid w:val="00E140DF"/>
    <w:rsid w:val="00E14215"/>
    <w:rsid w:val="00E14462"/>
    <w:rsid w:val="00E145FE"/>
    <w:rsid w:val="00E14915"/>
    <w:rsid w:val="00E14A3A"/>
    <w:rsid w:val="00E14BA3"/>
    <w:rsid w:val="00E14C28"/>
    <w:rsid w:val="00E14EC8"/>
    <w:rsid w:val="00E14F49"/>
    <w:rsid w:val="00E14FF0"/>
    <w:rsid w:val="00E1500A"/>
    <w:rsid w:val="00E150A9"/>
    <w:rsid w:val="00E15185"/>
    <w:rsid w:val="00E152F0"/>
    <w:rsid w:val="00E1554E"/>
    <w:rsid w:val="00E157C2"/>
    <w:rsid w:val="00E1595A"/>
    <w:rsid w:val="00E15A87"/>
    <w:rsid w:val="00E15ABD"/>
    <w:rsid w:val="00E15E04"/>
    <w:rsid w:val="00E15F2B"/>
    <w:rsid w:val="00E16007"/>
    <w:rsid w:val="00E16039"/>
    <w:rsid w:val="00E16076"/>
    <w:rsid w:val="00E160D5"/>
    <w:rsid w:val="00E164AF"/>
    <w:rsid w:val="00E1652A"/>
    <w:rsid w:val="00E1663F"/>
    <w:rsid w:val="00E166D2"/>
    <w:rsid w:val="00E16811"/>
    <w:rsid w:val="00E168BF"/>
    <w:rsid w:val="00E16956"/>
    <w:rsid w:val="00E16963"/>
    <w:rsid w:val="00E16A0C"/>
    <w:rsid w:val="00E16C0E"/>
    <w:rsid w:val="00E16D01"/>
    <w:rsid w:val="00E16D4F"/>
    <w:rsid w:val="00E16EEF"/>
    <w:rsid w:val="00E172B4"/>
    <w:rsid w:val="00E172B8"/>
    <w:rsid w:val="00E1739D"/>
    <w:rsid w:val="00E174A1"/>
    <w:rsid w:val="00E1750E"/>
    <w:rsid w:val="00E1756F"/>
    <w:rsid w:val="00E17790"/>
    <w:rsid w:val="00E17916"/>
    <w:rsid w:val="00E17972"/>
    <w:rsid w:val="00E17AD7"/>
    <w:rsid w:val="00E17BC9"/>
    <w:rsid w:val="00E17E1D"/>
    <w:rsid w:val="00E17F73"/>
    <w:rsid w:val="00E17F99"/>
    <w:rsid w:val="00E17FB9"/>
    <w:rsid w:val="00E2002C"/>
    <w:rsid w:val="00E20157"/>
    <w:rsid w:val="00E20296"/>
    <w:rsid w:val="00E20342"/>
    <w:rsid w:val="00E20368"/>
    <w:rsid w:val="00E20483"/>
    <w:rsid w:val="00E2057C"/>
    <w:rsid w:val="00E20701"/>
    <w:rsid w:val="00E2074E"/>
    <w:rsid w:val="00E207EB"/>
    <w:rsid w:val="00E207EF"/>
    <w:rsid w:val="00E20962"/>
    <w:rsid w:val="00E20A72"/>
    <w:rsid w:val="00E20A93"/>
    <w:rsid w:val="00E20B6C"/>
    <w:rsid w:val="00E20B87"/>
    <w:rsid w:val="00E20CD1"/>
    <w:rsid w:val="00E20F18"/>
    <w:rsid w:val="00E2120F"/>
    <w:rsid w:val="00E21246"/>
    <w:rsid w:val="00E21260"/>
    <w:rsid w:val="00E214A7"/>
    <w:rsid w:val="00E214C4"/>
    <w:rsid w:val="00E2154E"/>
    <w:rsid w:val="00E215CA"/>
    <w:rsid w:val="00E215E9"/>
    <w:rsid w:val="00E21808"/>
    <w:rsid w:val="00E218F6"/>
    <w:rsid w:val="00E21A0E"/>
    <w:rsid w:val="00E21AD1"/>
    <w:rsid w:val="00E21E12"/>
    <w:rsid w:val="00E21E75"/>
    <w:rsid w:val="00E21E89"/>
    <w:rsid w:val="00E2214A"/>
    <w:rsid w:val="00E221F7"/>
    <w:rsid w:val="00E2220C"/>
    <w:rsid w:val="00E2223F"/>
    <w:rsid w:val="00E22248"/>
    <w:rsid w:val="00E222B3"/>
    <w:rsid w:val="00E2247A"/>
    <w:rsid w:val="00E22515"/>
    <w:rsid w:val="00E227B9"/>
    <w:rsid w:val="00E22869"/>
    <w:rsid w:val="00E2288A"/>
    <w:rsid w:val="00E22B8E"/>
    <w:rsid w:val="00E22BF6"/>
    <w:rsid w:val="00E23076"/>
    <w:rsid w:val="00E230D9"/>
    <w:rsid w:val="00E231C0"/>
    <w:rsid w:val="00E23345"/>
    <w:rsid w:val="00E233DA"/>
    <w:rsid w:val="00E23969"/>
    <w:rsid w:val="00E23977"/>
    <w:rsid w:val="00E239CC"/>
    <w:rsid w:val="00E23B98"/>
    <w:rsid w:val="00E23C86"/>
    <w:rsid w:val="00E23CE4"/>
    <w:rsid w:val="00E23D92"/>
    <w:rsid w:val="00E23DCB"/>
    <w:rsid w:val="00E23E51"/>
    <w:rsid w:val="00E23FA0"/>
    <w:rsid w:val="00E24128"/>
    <w:rsid w:val="00E241B9"/>
    <w:rsid w:val="00E243EA"/>
    <w:rsid w:val="00E243F5"/>
    <w:rsid w:val="00E245CA"/>
    <w:rsid w:val="00E24671"/>
    <w:rsid w:val="00E24CDA"/>
    <w:rsid w:val="00E24CF6"/>
    <w:rsid w:val="00E24E55"/>
    <w:rsid w:val="00E24FA8"/>
    <w:rsid w:val="00E252C2"/>
    <w:rsid w:val="00E2543E"/>
    <w:rsid w:val="00E25464"/>
    <w:rsid w:val="00E2570B"/>
    <w:rsid w:val="00E25760"/>
    <w:rsid w:val="00E25B1E"/>
    <w:rsid w:val="00E25B65"/>
    <w:rsid w:val="00E25C0E"/>
    <w:rsid w:val="00E25C9C"/>
    <w:rsid w:val="00E25CD5"/>
    <w:rsid w:val="00E25E42"/>
    <w:rsid w:val="00E25EB1"/>
    <w:rsid w:val="00E26133"/>
    <w:rsid w:val="00E263BD"/>
    <w:rsid w:val="00E2666E"/>
    <w:rsid w:val="00E267AC"/>
    <w:rsid w:val="00E267E7"/>
    <w:rsid w:val="00E26AF9"/>
    <w:rsid w:val="00E26B0F"/>
    <w:rsid w:val="00E26D33"/>
    <w:rsid w:val="00E26DA7"/>
    <w:rsid w:val="00E26DB8"/>
    <w:rsid w:val="00E26E1F"/>
    <w:rsid w:val="00E26E20"/>
    <w:rsid w:val="00E26E6F"/>
    <w:rsid w:val="00E26E8A"/>
    <w:rsid w:val="00E26F2A"/>
    <w:rsid w:val="00E26FC0"/>
    <w:rsid w:val="00E27082"/>
    <w:rsid w:val="00E274E6"/>
    <w:rsid w:val="00E276C1"/>
    <w:rsid w:val="00E27703"/>
    <w:rsid w:val="00E27798"/>
    <w:rsid w:val="00E2779D"/>
    <w:rsid w:val="00E2779E"/>
    <w:rsid w:val="00E27987"/>
    <w:rsid w:val="00E279A4"/>
    <w:rsid w:val="00E27A6A"/>
    <w:rsid w:val="00E27B35"/>
    <w:rsid w:val="00E27D34"/>
    <w:rsid w:val="00E27D8A"/>
    <w:rsid w:val="00E3000F"/>
    <w:rsid w:val="00E300B2"/>
    <w:rsid w:val="00E3018E"/>
    <w:rsid w:val="00E301A6"/>
    <w:rsid w:val="00E30269"/>
    <w:rsid w:val="00E30346"/>
    <w:rsid w:val="00E30852"/>
    <w:rsid w:val="00E309EF"/>
    <w:rsid w:val="00E30B49"/>
    <w:rsid w:val="00E30BC3"/>
    <w:rsid w:val="00E30DF8"/>
    <w:rsid w:val="00E30DFA"/>
    <w:rsid w:val="00E3120D"/>
    <w:rsid w:val="00E3121F"/>
    <w:rsid w:val="00E31297"/>
    <w:rsid w:val="00E3160D"/>
    <w:rsid w:val="00E31624"/>
    <w:rsid w:val="00E31805"/>
    <w:rsid w:val="00E3187F"/>
    <w:rsid w:val="00E3189E"/>
    <w:rsid w:val="00E31A4E"/>
    <w:rsid w:val="00E31AD6"/>
    <w:rsid w:val="00E31B08"/>
    <w:rsid w:val="00E31D0D"/>
    <w:rsid w:val="00E31DB9"/>
    <w:rsid w:val="00E31E83"/>
    <w:rsid w:val="00E31EE4"/>
    <w:rsid w:val="00E321C5"/>
    <w:rsid w:val="00E324B0"/>
    <w:rsid w:val="00E32598"/>
    <w:rsid w:val="00E3268E"/>
    <w:rsid w:val="00E328C6"/>
    <w:rsid w:val="00E329A3"/>
    <w:rsid w:val="00E32ABD"/>
    <w:rsid w:val="00E32C82"/>
    <w:rsid w:val="00E32D4D"/>
    <w:rsid w:val="00E32D62"/>
    <w:rsid w:val="00E32DE7"/>
    <w:rsid w:val="00E32E86"/>
    <w:rsid w:val="00E33045"/>
    <w:rsid w:val="00E33134"/>
    <w:rsid w:val="00E33150"/>
    <w:rsid w:val="00E3332F"/>
    <w:rsid w:val="00E3343D"/>
    <w:rsid w:val="00E334D4"/>
    <w:rsid w:val="00E33881"/>
    <w:rsid w:val="00E33893"/>
    <w:rsid w:val="00E33969"/>
    <w:rsid w:val="00E3398D"/>
    <w:rsid w:val="00E33991"/>
    <w:rsid w:val="00E33C81"/>
    <w:rsid w:val="00E33D3C"/>
    <w:rsid w:val="00E33D68"/>
    <w:rsid w:val="00E33D6C"/>
    <w:rsid w:val="00E34187"/>
    <w:rsid w:val="00E34279"/>
    <w:rsid w:val="00E342CC"/>
    <w:rsid w:val="00E3443D"/>
    <w:rsid w:val="00E34496"/>
    <w:rsid w:val="00E344E0"/>
    <w:rsid w:val="00E3472D"/>
    <w:rsid w:val="00E3488C"/>
    <w:rsid w:val="00E34C43"/>
    <w:rsid w:val="00E35176"/>
    <w:rsid w:val="00E351E6"/>
    <w:rsid w:val="00E3535A"/>
    <w:rsid w:val="00E353E3"/>
    <w:rsid w:val="00E3549B"/>
    <w:rsid w:val="00E356D8"/>
    <w:rsid w:val="00E35844"/>
    <w:rsid w:val="00E358BA"/>
    <w:rsid w:val="00E359E8"/>
    <w:rsid w:val="00E35ADF"/>
    <w:rsid w:val="00E35BAA"/>
    <w:rsid w:val="00E35C36"/>
    <w:rsid w:val="00E36267"/>
    <w:rsid w:val="00E3626C"/>
    <w:rsid w:val="00E36284"/>
    <w:rsid w:val="00E36377"/>
    <w:rsid w:val="00E36545"/>
    <w:rsid w:val="00E36718"/>
    <w:rsid w:val="00E36737"/>
    <w:rsid w:val="00E367C6"/>
    <w:rsid w:val="00E36814"/>
    <w:rsid w:val="00E3689C"/>
    <w:rsid w:val="00E36907"/>
    <w:rsid w:val="00E36BCC"/>
    <w:rsid w:val="00E36E05"/>
    <w:rsid w:val="00E36ED6"/>
    <w:rsid w:val="00E37023"/>
    <w:rsid w:val="00E370E9"/>
    <w:rsid w:val="00E3723B"/>
    <w:rsid w:val="00E37618"/>
    <w:rsid w:val="00E376D6"/>
    <w:rsid w:val="00E379D8"/>
    <w:rsid w:val="00E37AA2"/>
    <w:rsid w:val="00E37B97"/>
    <w:rsid w:val="00E37BC4"/>
    <w:rsid w:val="00E37E30"/>
    <w:rsid w:val="00E37E6F"/>
    <w:rsid w:val="00E37F87"/>
    <w:rsid w:val="00E4005C"/>
    <w:rsid w:val="00E40153"/>
    <w:rsid w:val="00E403A7"/>
    <w:rsid w:val="00E404D7"/>
    <w:rsid w:val="00E40A05"/>
    <w:rsid w:val="00E40A93"/>
    <w:rsid w:val="00E410B7"/>
    <w:rsid w:val="00E41125"/>
    <w:rsid w:val="00E41182"/>
    <w:rsid w:val="00E41475"/>
    <w:rsid w:val="00E415AD"/>
    <w:rsid w:val="00E415E7"/>
    <w:rsid w:val="00E416A1"/>
    <w:rsid w:val="00E416FB"/>
    <w:rsid w:val="00E41757"/>
    <w:rsid w:val="00E417D5"/>
    <w:rsid w:val="00E418FB"/>
    <w:rsid w:val="00E41917"/>
    <w:rsid w:val="00E419A8"/>
    <w:rsid w:val="00E41AAE"/>
    <w:rsid w:val="00E41B0F"/>
    <w:rsid w:val="00E41C95"/>
    <w:rsid w:val="00E41E20"/>
    <w:rsid w:val="00E4209E"/>
    <w:rsid w:val="00E42133"/>
    <w:rsid w:val="00E422CF"/>
    <w:rsid w:val="00E4257A"/>
    <w:rsid w:val="00E42687"/>
    <w:rsid w:val="00E426CE"/>
    <w:rsid w:val="00E427D8"/>
    <w:rsid w:val="00E427F9"/>
    <w:rsid w:val="00E42855"/>
    <w:rsid w:val="00E42B89"/>
    <w:rsid w:val="00E42D37"/>
    <w:rsid w:val="00E42F78"/>
    <w:rsid w:val="00E43084"/>
    <w:rsid w:val="00E430B8"/>
    <w:rsid w:val="00E43122"/>
    <w:rsid w:val="00E43210"/>
    <w:rsid w:val="00E43246"/>
    <w:rsid w:val="00E43323"/>
    <w:rsid w:val="00E4354B"/>
    <w:rsid w:val="00E4354C"/>
    <w:rsid w:val="00E4356F"/>
    <w:rsid w:val="00E435DC"/>
    <w:rsid w:val="00E43634"/>
    <w:rsid w:val="00E437FD"/>
    <w:rsid w:val="00E43931"/>
    <w:rsid w:val="00E43B30"/>
    <w:rsid w:val="00E43D52"/>
    <w:rsid w:val="00E43E7D"/>
    <w:rsid w:val="00E43E90"/>
    <w:rsid w:val="00E43ECC"/>
    <w:rsid w:val="00E43EE5"/>
    <w:rsid w:val="00E43FB9"/>
    <w:rsid w:val="00E4409A"/>
    <w:rsid w:val="00E440F5"/>
    <w:rsid w:val="00E441D6"/>
    <w:rsid w:val="00E441E8"/>
    <w:rsid w:val="00E442B7"/>
    <w:rsid w:val="00E442C6"/>
    <w:rsid w:val="00E44430"/>
    <w:rsid w:val="00E44557"/>
    <w:rsid w:val="00E4460C"/>
    <w:rsid w:val="00E4489B"/>
    <w:rsid w:val="00E44D2A"/>
    <w:rsid w:val="00E44D94"/>
    <w:rsid w:val="00E44E3C"/>
    <w:rsid w:val="00E44F85"/>
    <w:rsid w:val="00E45068"/>
    <w:rsid w:val="00E451D8"/>
    <w:rsid w:val="00E45269"/>
    <w:rsid w:val="00E45380"/>
    <w:rsid w:val="00E45584"/>
    <w:rsid w:val="00E456DE"/>
    <w:rsid w:val="00E4587C"/>
    <w:rsid w:val="00E458EE"/>
    <w:rsid w:val="00E45912"/>
    <w:rsid w:val="00E4597D"/>
    <w:rsid w:val="00E45E2A"/>
    <w:rsid w:val="00E45EF5"/>
    <w:rsid w:val="00E45F4A"/>
    <w:rsid w:val="00E45F72"/>
    <w:rsid w:val="00E45FB6"/>
    <w:rsid w:val="00E460E8"/>
    <w:rsid w:val="00E46127"/>
    <w:rsid w:val="00E46268"/>
    <w:rsid w:val="00E46278"/>
    <w:rsid w:val="00E4648F"/>
    <w:rsid w:val="00E4666F"/>
    <w:rsid w:val="00E4678D"/>
    <w:rsid w:val="00E4684F"/>
    <w:rsid w:val="00E46FF7"/>
    <w:rsid w:val="00E47043"/>
    <w:rsid w:val="00E471F5"/>
    <w:rsid w:val="00E47394"/>
    <w:rsid w:val="00E473BE"/>
    <w:rsid w:val="00E474CA"/>
    <w:rsid w:val="00E476FE"/>
    <w:rsid w:val="00E47AD9"/>
    <w:rsid w:val="00E47BB2"/>
    <w:rsid w:val="00E501A5"/>
    <w:rsid w:val="00E501AB"/>
    <w:rsid w:val="00E50449"/>
    <w:rsid w:val="00E505A5"/>
    <w:rsid w:val="00E5065D"/>
    <w:rsid w:val="00E50790"/>
    <w:rsid w:val="00E508AA"/>
    <w:rsid w:val="00E50905"/>
    <w:rsid w:val="00E50A5B"/>
    <w:rsid w:val="00E50A6F"/>
    <w:rsid w:val="00E50A79"/>
    <w:rsid w:val="00E50B7D"/>
    <w:rsid w:val="00E50D2F"/>
    <w:rsid w:val="00E50DB4"/>
    <w:rsid w:val="00E50E74"/>
    <w:rsid w:val="00E5101D"/>
    <w:rsid w:val="00E510A5"/>
    <w:rsid w:val="00E511AF"/>
    <w:rsid w:val="00E51249"/>
    <w:rsid w:val="00E51358"/>
    <w:rsid w:val="00E515D4"/>
    <w:rsid w:val="00E519C4"/>
    <w:rsid w:val="00E51B45"/>
    <w:rsid w:val="00E51D1B"/>
    <w:rsid w:val="00E51E5A"/>
    <w:rsid w:val="00E51EC9"/>
    <w:rsid w:val="00E51F29"/>
    <w:rsid w:val="00E52109"/>
    <w:rsid w:val="00E5210B"/>
    <w:rsid w:val="00E52161"/>
    <w:rsid w:val="00E521AD"/>
    <w:rsid w:val="00E52409"/>
    <w:rsid w:val="00E5244C"/>
    <w:rsid w:val="00E524B7"/>
    <w:rsid w:val="00E524EF"/>
    <w:rsid w:val="00E524F0"/>
    <w:rsid w:val="00E524F3"/>
    <w:rsid w:val="00E52534"/>
    <w:rsid w:val="00E52822"/>
    <w:rsid w:val="00E529DB"/>
    <w:rsid w:val="00E52AC3"/>
    <w:rsid w:val="00E52BAA"/>
    <w:rsid w:val="00E52D25"/>
    <w:rsid w:val="00E52E42"/>
    <w:rsid w:val="00E52FB6"/>
    <w:rsid w:val="00E531BE"/>
    <w:rsid w:val="00E53576"/>
    <w:rsid w:val="00E535E7"/>
    <w:rsid w:val="00E5369C"/>
    <w:rsid w:val="00E53729"/>
    <w:rsid w:val="00E5391B"/>
    <w:rsid w:val="00E53A1F"/>
    <w:rsid w:val="00E53B0F"/>
    <w:rsid w:val="00E53C10"/>
    <w:rsid w:val="00E53C3E"/>
    <w:rsid w:val="00E53D4F"/>
    <w:rsid w:val="00E53D71"/>
    <w:rsid w:val="00E53E2A"/>
    <w:rsid w:val="00E53EBB"/>
    <w:rsid w:val="00E53F75"/>
    <w:rsid w:val="00E54012"/>
    <w:rsid w:val="00E54085"/>
    <w:rsid w:val="00E54406"/>
    <w:rsid w:val="00E5440A"/>
    <w:rsid w:val="00E544CA"/>
    <w:rsid w:val="00E5479F"/>
    <w:rsid w:val="00E548BF"/>
    <w:rsid w:val="00E549C6"/>
    <w:rsid w:val="00E54AE5"/>
    <w:rsid w:val="00E54E1B"/>
    <w:rsid w:val="00E54F0F"/>
    <w:rsid w:val="00E54F9D"/>
    <w:rsid w:val="00E55375"/>
    <w:rsid w:val="00E5544A"/>
    <w:rsid w:val="00E555D4"/>
    <w:rsid w:val="00E55774"/>
    <w:rsid w:val="00E5582F"/>
    <w:rsid w:val="00E55861"/>
    <w:rsid w:val="00E55993"/>
    <w:rsid w:val="00E55A05"/>
    <w:rsid w:val="00E55D23"/>
    <w:rsid w:val="00E55F97"/>
    <w:rsid w:val="00E56192"/>
    <w:rsid w:val="00E561F7"/>
    <w:rsid w:val="00E56363"/>
    <w:rsid w:val="00E563E1"/>
    <w:rsid w:val="00E56626"/>
    <w:rsid w:val="00E566B7"/>
    <w:rsid w:val="00E5678A"/>
    <w:rsid w:val="00E56845"/>
    <w:rsid w:val="00E57053"/>
    <w:rsid w:val="00E57481"/>
    <w:rsid w:val="00E57553"/>
    <w:rsid w:val="00E576E4"/>
    <w:rsid w:val="00E5773D"/>
    <w:rsid w:val="00E577DF"/>
    <w:rsid w:val="00E57955"/>
    <w:rsid w:val="00E57AFD"/>
    <w:rsid w:val="00E57BBF"/>
    <w:rsid w:val="00E57D6D"/>
    <w:rsid w:val="00E57DF4"/>
    <w:rsid w:val="00E6019E"/>
    <w:rsid w:val="00E60611"/>
    <w:rsid w:val="00E6063D"/>
    <w:rsid w:val="00E6065F"/>
    <w:rsid w:val="00E606A8"/>
    <w:rsid w:val="00E6076C"/>
    <w:rsid w:val="00E60A9E"/>
    <w:rsid w:val="00E60C8E"/>
    <w:rsid w:val="00E60D2C"/>
    <w:rsid w:val="00E60D7A"/>
    <w:rsid w:val="00E60DE7"/>
    <w:rsid w:val="00E60ED9"/>
    <w:rsid w:val="00E610FB"/>
    <w:rsid w:val="00E61234"/>
    <w:rsid w:val="00E61288"/>
    <w:rsid w:val="00E61490"/>
    <w:rsid w:val="00E61585"/>
    <w:rsid w:val="00E617E7"/>
    <w:rsid w:val="00E6188A"/>
    <w:rsid w:val="00E618B6"/>
    <w:rsid w:val="00E61A2D"/>
    <w:rsid w:val="00E61BA4"/>
    <w:rsid w:val="00E61BF9"/>
    <w:rsid w:val="00E61CC8"/>
    <w:rsid w:val="00E61E1B"/>
    <w:rsid w:val="00E6207E"/>
    <w:rsid w:val="00E621FF"/>
    <w:rsid w:val="00E62351"/>
    <w:rsid w:val="00E62576"/>
    <w:rsid w:val="00E62969"/>
    <w:rsid w:val="00E629EB"/>
    <w:rsid w:val="00E62A2E"/>
    <w:rsid w:val="00E62B86"/>
    <w:rsid w:val="00E62C29"/>
    <w:rsid w:val="00E62CD1"/>
    <w:rsid w:val="00E62CEA"/>
    <w:rsid w:val="00E62D15"/>
    <w:rsid w:val="00E632A6"/>
    <w:rsid w:val="00E632CE"/>
    <w:rsid w:val="00E63327"/>
    <w:rsid w:val="00E6341E"/>
    <w:rsid w:val="00E63745"/>
    <w:rsid w:val="00E63818"/>
    <w:rsid w:val="00E63A4A"/>
    <w:rsid w:val="00E63DB7"/>
    <w:rsid w:val="00E63FF8"/>
    <w:rsid w:val="00E64510"/>
    <w:rsid w:val="00E6454C"/>
    <w:rsid w:val="00E6455F"/>
    <w:rsid w:val="00E64565"/>
    <w:rsid w:val="00E646C1"/>
    <w:rsid w:val="00E64750"/>
    <w:rsid w:val="00E64803"/>
    <w:rsid w:val="00E64AAA"/>
    <w:rsid w:val="00E64B5C"/>
    <w:rsid w:val="00E64E9A"/>
    <w:rsid w:val="00E64FC4"/>
    <w:rsid w:val="00E6522B"/>
    <w:rsid w:val="00E652E6"/>
    <w:rsid w:val="00E65358"/>
    <w:rsid w:val="00E655E6"/>
    <w:rsid w:val="00E655F9"/>
    <w:rsid w:val="00E6561B"/>
    <w:rsid w:val="00E65674"/>
    <w:rsid w:val="00E65732"/>
    <w:rsid w:val="00E65C23"/>
    <w:rsid w:val="00E65D3E"/>
    <w:rsid w:val="00E660B9"/>
    <w:rsid w:val="00E6628C"/>
    <w:rsid w:val="00E6631C"/>
    <w:rsid w:val="00E6680C"/>
    <w:rsid w:val="00E668FF"/>
    <w:rsid w:val="00E66900"/>
    <w:rsid w:val="00E66A2A"/>
    <w:rsid w:val="00E66AA2"/>
    <w:rsid w:val="00E66B64"/>
    <w:rsid w:val="00E66D48"/>
    <w:rsid w:val="00E66F2B"/>
    <w:rsid w:val="00E670D5"/>
    <w:rsid w:val="00E67129"/>
    <w:rsid w:val="00E6723E"/>
    <w:rsid w:val="00E674F6"/>
    <w:rsid w:val="00E677AB"/>
    <w:rsid w:val="00E67A4F"/>
    <w:rsid w:val="00E67A82"/>
    <w:rsid w:val="00E67BF2"/>
    <w:rsid w:val="00E67C27"/>
    <w:rsid w:val="00E67C3D"/>
    <w:rsid w:val="00E67C45"/>
    <w:rsid w:val="00E67D6C"/>
    <w:rsid w:val="00E67E3E"/>
    <w:rsid w:val="00E67E6E"/>
    <w:rsid w:val="00E67EAA"/>
    <w:rsid w:val="00E704B6"/>
    <w:rsid w:val="00E70827"/>
    <w:rsid w:val="00E70990"/>
    <w:rsid w:val="00E70A2C"/>
    <w:rsid w:val="00E70A92"/>
    <w:rsid w:val="00E70AC2"/>
    <w:rsid w:val="00E70CD7"/>
    <w:rsid w:val="00E70D6C"/>
    <w:rsid w:val="00E70FE4"/>
    <w:rsid w:val="00E71224"/>
    <w:rsid w:val="00E715D7"/>
    <w:rsid w:val="00E715FE"/>
    <w:rsid w:val="00E7163B"/>
    <w:rsid w:val="00E71B72"/>
    <w:rsid w:val="00E71BDD"/>
    <w:rsid w:val="00E721DA"/>
    <w:rsid w:val="00E72202"/>
    <w:rsid w:val="00E7224D"/>
    <w:rsid w:val="00E7254B"/>
    <w:rsid w:val="00E725B7"/>
    <w:rsid w:val="00E72760"/>
    <w:rsid w:val="00E728AD"/>
    <w:rsid w:val="00E72927"/>
    <w:rsid w:val="00E72C64"/>
    <w:rsid w:val="00E72CFE"/>
    <w:rsid w:val="00E72DAD"/>
    <w:rsid w:val="00E72E4F"/>
    <w:rsid w:val="00E73394"/>
    <w:rsid w:val="00E733A8"/>
    <w:rsid w:val="00E739AE"/>
    <w:rsid w:val="00E73A60"/>
    <w:rsid w:val="00E73AC2"/>
    <w:rsid w:val="00E73C86"/>
    <w:rsid w:val="00E73E82"/>
    <w:rsid w:val="00E740F2"/>
    <w:rsid w:val="00E7428C"/>
    <w:rsid w:val="00E74592"/>
    <w:rsid w:val="00E747E2"/>
    <w:rsid w:val="00E748D4"/>
    <w:rsid w:val="00E7498C"/>
    <w:rsid w:val="00E74BF4"/>
    <w:rsid w:val="00E74D90"/>
    <w:rsid w:val="00E75238"/>
    <w:rsid w:val="00E75336"/>
    <w:rsid w:val="00E753E9"/>
    <w:rsid w:val="00E7540F"/>
    <w:rsid w:val="00E754D4"/>
    <w:rsid w:val="00E75575"/>
    <w:rsid w:val="00E75BA7"/>
    <w:rsid w:val="00E75C81"/>
    <w:rsid w:val="00E75E00"/>
    <w:rsid w:val="00E75FB0"/>
    <w:rsid w:val="00E763DF"/>
    <w:rsid w:val="00E76499"/>
    <w:rsid w:val="00E7655F"/>
    <w:rsid w:val="00E765B3"/>
    <w:rsid w:val="00E766B5"/>
    <w:rsid w:val="00E76857"/>
    <w:rsid w:val="00E76862"/>
    <w:rsid w:val="00E76C3D"/>
    <w:rsid w:val="00E76DB1"/>
    <w:rsid w:val="00E76E0A"/>
    <w:rsid w:val="00E76E0B"/>
    <w:rsid w:val="00E76E54"/>
    <w:rsid w:val="00E77382"/>
    <w:rsid w:val="00E774E8"/>
    <w:rsid w:val="00E77537"/>
    <w:rsid w:val="00E77641"/>
    <w:rsid w:val="00E77663"/>
    <w:rsid w:val="00E777A4"/>
    <w:rsid w:val="00E779A3"/>
    <w:rsid w:val="00E77B93"/>
    <w:rsid w:val="00E77BA1"/>
    <w:rsid w:val="00E77BE3"/>
    <w:rsid w:val="00E77C6C"/>
    <w:rsid w:val="00E77CC3"/>
    <w:rsid w:val="00E77D0E"/>
    <w:rsid w:val="00E77F3B"/>
    <w:rsid w:val="00E80040"/>
    <w:rsid w:val="00E80118"/>
    <w:rsid w:val="00E80198"/>
    <w:rsid w:val="00E80232"/>
    <w:rsid w:val="00E804BF"/>
    <w:rsid w:val="00E805D1"/>
    <w:rsid w:val="00E805E2"/>
    <w:rsid w:val="00E80910"/>
    <w:rsid w:val="00E809CC"/>
    <w:rsid w:val="00E80A7E"/>
    <w:rsid w:val="00E80AB1"/>
    <w:rsid w:val="00E80BC9"/>
    <w:rsid w:val="00E80E51"/>
    <w:rsid w:val="00E81088"/>
    <w:rsid w:val="00E81303"/>
    <w:rsid w:val="00E81308"/>
    <w:rsid w:val="00E813C7"/>
    <w:rsid w:val="00E8146F"/>
    <w:rsid w:val="00E815E9"/>
    <w:rsid w:val="00E81746"/>
    <w:rsid w:val="00E81773"/>
    <w:rsid w:val="00E81DFA"/>
    <w:rsid w:val="00E81FC7"/>
    <w:rsid w:val="00E8223E"/>
    <w:rsid w:val="00E822BA"/>
    <w:rsid w:val="00E82523"/>
    <w:rsid w:val="00E82550"/>
    <w:rsid w:val="00E825B5"/>
    <w:rsid w:val="00E825DC"/>
    <w:rsid w:val="00E82724"/>
    <w:rsid w:val="00E82746"/>
    <w:rsid w:val="00E82AA4"/>
    <w:rsid w:val="00E82C42"/>
    <w:rsid w:val="00E82DB3"/>
    <w:rsid w:val="00E82E34"/>
    <w:rsid w:val="00E832EC"/>
    <w:rsid w:val="00E834E1"/>
    <w:rsid w:val="00E83614"/>
    <w:rsid w:val="00E836B9"/>
    <w:rsid w:val="00E83A94"/>
    <w:rsid w:val="00E83BE0"/>
    <w:rsid w:val="00E83E5C"/>
    <w:rsid w:val="00E84062"/>
    <w:rsid w:val="00E84086"/>
    <w:rsid w:val="00E841AC"/>
    <w:rsid w:val="00E84448"/>
    <w:rsid w:val="00E845C5"/>
    <w:rsid w:val="00E847DF"/>
    <w:rsid w:val="00E8487C"/>
    <w:rsid w:val="00E849C1"/>
    <w:rsid w:val="00E852F4"/>
    <w:rsid w:val="00E853EC"/>
    <w:rsid w:val="00E856C7"/>
    <w:rsid w:val="00E85729"/>
    <w:rsid w:val="00E85915"/>
    <w:rsid w:val="00E8595A"/>
    <w:rsid w:val="00E85D1D"/>
    <w:rsid w:val="00E85EA0"/>
    <w:rsid w:val="00E85EAF"/>
    <w:rsid w:val="00E85F61"/>
    <w:rsid w:val="00E85F78"/>
    <w:rsid w:val="00E8602C"/>
    <w:rsid w:val="00E86360"/>
    <w:rsid w:val="00E86459"/>
    <w:rsid w:val="00E8651A"/>
    <w:rsid w:val="00E869D9"/>
    <w:rsid w:val="00E86D5A"/>
    <w:rsid w:val="00E86E6C"/>
    <w:rsid w:val="00E86E8F"/>
    <w:rsid w:val="00E87010"/>
    <w:rsid w:val="00E87164"/>
    <w:rsid w:val="00E871DA"/>
    <w:rsid w:val="00E87704"/>
    <w:rsid w:val="00E87731"/>
    <w:rsid w:val="00E87775"/>
    <w:rsid w:val="00E87780"/>
    <w:rsid w:val="00E87782"/>
    <w:rsid w:val="00E877F9"/>
    <w:rsid w:val="00E87901"/>
    <w:rsid w:val="00E879E3"/>
    <w:rsid w:val="00E87AEF"/>
    <w:rsid w:val="00E87B2E"/>
    <w:rsid w:val="00E87B63"/>
    <w:rsid w:val="00E87E6D"/>
    <w:rsid w:val="00E87EFC"/>
    <w:rsid w:val="00E87FC5"/>
    <w:rsid w:val="00E87FEE"/>
    <w:rsid w:val="00E902BB"/>
    <w:rsid w:val="00E90398"/>
    <w:rsid w:val="00E903AA"/>
    <w:rsid w:val="00E90420"/>
    <w:rsid w:val="00E904C1"/>
    <w:rsid w:val="00E90531"/>
    <w:rsid w:val="00E905AE"/>
    <w:rsid w:val="00E90643"/>
    <w:rsid w:val="00E90718"/>
    <w:rsid w:val="00E907B5"/>
    <w:rsid w:val="00E90802"/>
    <w:rsid w:val="00E908F0"/>
    <w:rsid w:val="00E908F6"/>
    <w:rsid w:val="00E90A27"/>
    <w:rsid w:val="00E90B9A"/>
    <w:rsid w:val="00E90BC5"/>
    <w:rsid w:val="00E90D77"/>
    <w:rsid w:val="00E90EA2"/>
    <w:rsid w:val="00E90FDC"/>
    <w:rsid w:val="00E912EB"/>
    <w:rsid w:val="00E915FB"/>
    <w:rsid w:val="00E91A8B"/>
    <w:rsid w:val="00E91AA9"/>
    <w:rsid w:val="00E91B8D"/>
    <w:rsid w:val="00E91E04"/>
    <w:rsid w:val="00E9227C"/>
    <w:rsid w:val="00E92312"/>
    <w:rsid w:val="00E924F3"/>
    <w:rsid w:val="00E925D8"/>
    <w:rsid w:val="00E92934"/>
    <w:rsid w:val="00E92C8B"/>
    <w:rsid w:val="00E92D83"/>
    <w:rsid w:val="00E930BB"/>
    <w:rsid w:val="00E9326F"/>
    <w:rsid w:val="00E9351D"/>
    <w:rsid w:val="00E935F5"/>
    <w:rsid w:val="00E93651"/>
    <w:rsid w:val="00E936C0"/>
    <w:rsid w:val="00E937F2"/>
    <w:rsid w:val="00E93869"/>
    <w:rsid w:val="00E93933"/>
    <w:rsid w:val="00E93C2F"/>
    <w:rsid w:val="00E93DF8"/>
    <w:rsid w:val="00E93F89"/>
    <w:rsid w:val="00E94014"/>
    <w:rsid w:val="00E94093"/>
    <w:rsid w:val="00E9435A"/>
    <w:rsid w:val="00E944A6"/>
    <w:rsid w:val="00E9460C"/>
    <w:rsid w:val="00E947CB"/>
    <w:rsid w:val="00E9483D"/>
    <w:rsid w:val="00E94EB4"/>
    <w:rsid w:val="00E94F78"/>
    <w:rsid w:val="00E95006"/>
    <w:rsid w:val="00E9509D"/>
    <w:rsid w:val="00E950D5"/>
    <w:rsid w:val="00E950E9"/>
    <w:rsid w:val="00E95117"/>
    <w:rsid w:val="00E9511B"/>
    <w:rsid w:val="00E95394"/>
    <w:rsid w:val="00E95836"/>
    <w:rsid w:val="00E958C8"/>
    <w:rsid w:val="00E959E3"/>
    <w:rsid w:val="00E95A4B"/>
    <w:rsid w:val="00E95B0B"/>
    <w:rsid w:val="00E95B2A"/>
    <w:rsid w:val="00E95BC6"/>
    <w:rsid w:val="00E95BF5"/>
    <w:rsid w:val="00E95E57"/>
    <w:rsid w:val="00E95E9F"/>
    <w:rsid w:val="00E95F26"/>
    <w:rsid w:val="00E95F7D"/>
    <w:rsid w:val="00E95F8B"/>
    <w:rsid w:val="00E960DD"/>
    <w:rsid w:val="00E962A2"/>
    <w:rsid w:val="00E9630C"/>
    <w:rsid w:val="00E96328"/>
    <w:rsid w:val="00E96461"/>
    <w:rsid w:val="00E96462"/>
    <w:rsid w:val="00E96494"/>
    <w:rsid w:val="00E964AB"/>
    <w:rsid w:val="00E96695"/>
    <w:rsid w:val="00E966D5"/>
    <w:rsid w:val="00E96714"/>
    <w:rsid w:val="00E9676D"/>
    <w:rsid w:val="00E9690B"/>
    <w:rsid w:val="00E96957"/>
    <w:rsid w:val="00E96A09"/>
    <w:rsid w:val="00E96A52"/>
    <w:rsid w:val="00E96C8C"/>
    <w:rsid w:val="00E96CFB"/>
    <w:rsid w:val="00E96D9E"/>
    <w:rsid w:val="00E96DB5"/>
    <w:rsid w:val="00E96EA6"/>
    <w:rsid w:val="00E96FAD"/>
    <w:rsid w:val="00E97172"/>
    <w:rsid w:val="00E9729C"/>
    <w:rsid w:val="00E972AA"/>
    <w:rsid w:val="00E97318"/>
    <w:rsid w:val="00E9758F"/>
    <w:rsid w:val="00E97652"/>
    <w:rsid w:val="00E977CB"/>
    <w:rsid w:val="00E97A77"/>
    <w:rsid w:val="00E97B9D"/>
    <w:rsid w:val="00E97D39"/>
    <w:rsid w:val="00E97FA4"/>
    <w:rsid w:val="00E97FDC"/>
    <w:rsid w:val="00EA028D"/>
    <w:rsid w:val="00EA0521"/>
    <w:rsid w:val="00EA07D1"/>
    <w:rsid w:val="00EA089C"/>
    <w:rsid w:val="00EA0C32"/>
    <w:rsid w:val="00EA0EA9"/>
    <w:rsid w:val="00EA0EC6"/>
    <w:rsid w:val="00EA1129"/>
    <w:rsid w:val="00EA112D"/>
    <w:rsid w:val="00EA129F"/>
    <w:rsid w:val="00EA13E4"/>
    <w:rsid w:val="00EA14C5"/>
    <w:rsid w:val="00EA14E8"/>
    <w:rsid w:val="00EA150C"/>
    <w:rsid w:val="00EA155F"/>
    <w:rsid w:val="00EA1742"/>
    <w:rsid w:val="00EA1757"/>
    <w:rsid w:val="00EA196A"/>
    <w:rsid w:val="00EA1F98"/>
    <w:rsid w:val="00EA1F9F"/>
    <w:rsid w:val="00EA203E"/>
    <w:rsid w:val="00EA23B0"/>
    <w:rsid w:val="00EA25C6"/>
    <w:rsid w:val="00EA2671"/>
    <w:rsid w:val="00EA2835"/>
    <w:rsid w:val="00EA2905"/>
    <w:rsid w:val="00EA296C"/>
    <w:rsid w:val="00EA29C2"/>
    <w:rsid w:val="00EA2D2C"/>
    <w:rsid w:val="00EA2E18"/>
    <w:rsid w:val="00EA2E9A"/>
    <w:rsid w:val="00EA2EEA"/>
    <w:rsid w:val="00EA2F12"/>
    <w:rsid w:val="00EA3051"/>
    <w:rsid w:val="00EA3176"/>
    <w:rsid w:val="00EA31E1"/>
    <w:rsid w:val="00EA34C9"/>
    <w:rsid w:val="00EA36BF"/>
    <w:rsid w:val="00EA38CC"/>
    <w:rsid w:val="00EA398F"/>
    <w:rsid w:val="00EA3AEA"/>
    <w:rsid w:val="00EA3DAD"/>
    <w:rsid w:val="00EA3ECE"/>
    <w:rsid w:val="00EA3F01"/>
    <w:rsid w:val="00EA40C5"/>
    <w:rsid w:val="00EA4279"/>
    <w:rsid w:val="00EA4302"/>
    <w:rsid w:val="00EA4548"/>
    <w:rsid w:val="00EA45CE"/>
    <w:rsid w:val="00EA489D"/>
    <w:rsid w:val="00EA4A3C"/>
    <w:rsid w:val="00EA4A46"/>
    <w:rsid w:val="00EA4BDE"/>
    <w:rsid w:val="00EA4CA3"/>
    <w:rsid w:val="00EA4CED"/>
    <w:rsid w:val="00EA4F8A"/>
    <w:rsid w:val="00EA4F8F"/>
    <w:rsid w:val="00EA4F99"/>
    <w:rsid w:val="00EA5196"/>
    <w:rsid w:val="00EA52B7"/>
    <w:rsid w:val="00EA534D"/>
    <w:rsid w:val="00EA5586"/>
    <w:rsid w:val="00EA5831"/>
    <w:rsid w:val="00EA5875"/>
    <w:rsid w:val="00EA58C2"/>
    <w:rsid w:val="00EA5B8B"/>
    <w:rsid w:val="00EA5C27"/>
    <w:rsid w:val="00EA5DEC"/>
    <w:rsid w:val="00EA5E2E"/>
    <w:rsid w:val="00EA627E"/>
    <w:rsid w:val="00EA63DC"/>
    <w:rsid w:val="00EA67EE"/>
    <w:rsid w:val="00EA68AB"/>
    <w:rsid w:val="00EA69A0"/>
    <w:rsid w:val="00EA6A2C"/>
    <w:rsid w:val="00EA6C79"/>
    <w:rsid w:val="00EA6DE3"/>
    <w:rsid w:val="00EA6E46"/>
    <w:rsid w:val="00EA6E52"/>
    <w:rsid w:val="00EA6EEB"/>
    <w:rsid w:val="00EA728F"/>
    <w:rsid w:val="00EA72A9"/>
    <w:rsid w:val="00EA762A"/>
    <w:rsid w:val="00EA7658"/>
    <w:rsid w:val="00EA76C8"/>
    <w:rsid w:val="00EA7745"/>
    <w:rsid w:val="00EA7768"/>
    <w:rsid w:val="00EA7AAA"/>
    <w:rsid w:val="00EA7CAD"/>
    <w:rsid w:val="00EA7D3F"/>
    <w:rsid w:val="00EA7FC8"/>
    <w:rsid w:val="00EB0061"/>
    <w:rsid w:val="00EB01B4"/>
    <w:rsid w:val="00EB0309"/>
    <w:rsid w:val="00EB0320"/>
    <w:rsid w:val="00EB0395"/>
    <w:rsid w:val="00EB06DD"/>
    <w:rsid w:val="00EB06FB"/>
    <w:rsid w:val="00EB0799"/>
    <w:rsid w:val="00EB0A70"/>
    <w:rsid w:val="00EB0AD1"/>
    <w:rsid w:val="00EB0BA6"/>
    <w:rsid w:val="00EB0BCC"/>
    <w:rsid w:val="00EB0CCF"/>
    <w:rsid w:val="00EB0D5C"/>
    <w:rsid w:val="00EB0F17"/>
    <w:rsid w:val="00EB12CB"/>
    <w:rsid w:val="00EB12F6"/>
    <w:rsid w:val="00EB1319"/>
    <w:rsid w:val="00EB1648"/>
    <w:rsid w:val="00EB18C8"/>
    <w:rsid w:val="00EB1A6D"/>
    <w:rsid w:val="00EB1AA1"/>
    <w:rsid w:val="00EB1B5C"/>
    <w:rsid w:val="00EB1C64"/>
    <w:rsid w:val="00EB1DC5"/>
    <w:rsid w:val="00EB1E20"/>
    <w:rsid w:val="00EB1EAE"/>
    <w:rsid w:val="00EB1F73"/>
    <w:rsid w:val="00EB1F74"/>
    <w:rsid w:val="00EB2086"/>
    <w:rsid w:val="00EB22A5"/>
    <w:rsid w:val="00EB24D0"/>
    <w:rsid w:val="00EB2542"/>
    <w:rsid w:val="00EB2631"/>
    <w:rsid w:val="00EB26A6"/>
    <w:rsid w:val="00EB295A"/>
    <w:rsid w:val="00EB2BDF"/>
    <w:rsid w:val="00EB2C6C"/>
    <w:rsid w:val="00EB2CFE"/>
    <w:rsid w:val="00EB2F1E"/>
    <w:rsid w:val="00EB2F37"/>
    <w:rsid w:val="00EB3250"/>
    <w:rsid w:val="00EB330A"/>
    <w:rsid w:val="00EB34B2"/>
    <w:rsid w:val="00EB383C"/>
    <w:rsid w:val="00EB39A3"/>
    <w:rsid w:val="00EB3A04"/>
    <w:rsid w:val="00EB3B09"/>
    <w:rsid w:val="00EB3BA0"/>
    <w:rsid w:val="00EB3D67"/>
    <w:rsid w:val="00EB3EAE"/>
    <w:rsid w:val="00EB3F8E"/>
    <w:rsid w:val="00EB4072"/>
    <w:rsid w:val="00EB42C3"/>
    <w:rsid w:val="00EB43BD"/>
    <w:rsid w:val="00EB44A1"/>
    <w:rsid w:val="00EB47E1"/>
    <w:rsid w:val="00EB483B"/>
    <w:rsid w:val="00EB49AD"/>
    <w:rsid w:val="00EB4A59"/>
    <w:rsid w:val="00EB4AF5"/>
    <w:rsid w:val="00EB4C54"/>
    <w:rsid w:val="00EB4E7C"/>
    <w:rsid w:val="00EB4EC5"/>
    <w:rsid w:val="00EB4FEF"/>
    <w:rsid w:val="00EB50CC"/>
    <w:rsid w:val="00EB5167"/>
    <w:rsid w:val="00EB53B9"/>
    <w:rsid w:val="00EB53D2"/>
    <w:rsid w:val="00EB555A"/>
    <w:rsid w:val="00EB57B4"/>
    <w:rsid w:val="00EB5826"/>
    <w:rsid w:val="00EB5AC8"/>
    <w:rsid w:val="00EB6083"/>
    <w:rsid w:val="00EB60D1"/>
    <w:rsid w:val="00EB6183"/>
    <w:rsid w:val="00EB62ED"/>
    <w:rsid w:val="00EB631F"/>
    <w:rsid w:val="00EB6397"/>
    <w:rsid w:val="00EB6694"/>
    <w:rsid w:val="00EB6790"/>
    <w:rsid w:val="00EB68CE"/>
    <w:rsid w:val="00EB6919"/>
    <w:rsid w:val="00EB6B5B"/>
    <w:rsid w:val="00EB6E8B"/>
    <w:rsid w:val="00EB6F70"/>
    <w:rsid w:val="00EB7126"/>
    <w:rsid w:val="00EB736D"/>
    <w:rsid w:val="00EB7384"/>
    <w:rsid w:val="00EB7455"/>
    <w:rsid w:val="00EB75F1"/>
    <w:rsid w:val="00EB77CE"/>
    <w:rsid w:val="00EB795D"/>
    <w:rsid w:val="00EB79EA"/>
    <w:rsid w:val="00EB7AEF"/>
    <w:rsid w:val="00EB7CBC"/>
    <w:rsid w:val="00EB7ECE"/>
    <w:rsid w:val="00EC05CB"/>
    <w:rsid w:val="00EC0601"/>
    <w:rsid w:val="00EC0794"/>
    <w:rsid w:val="00EC07E9"/>
    <w:rsid w:val="00EC080D"/>
    <w:rsid w:val="00EC086A"/>
    <w:rsid w:val="00EC091E"/>
    <w:rsid w:val="00EC0943"/>
    <w:rsid w:val="00EC0A45"/>
    <w:rsid w:val="00EC0AE3"/>
    <w:rsid w:val="00EC0D72"/>
    <w:rsid w:val="00EC100F"/>
    <w:rsid w:val="00EC13B1"/>
    <w:rsid w:val="00EC13B2"/>
    <w:rsid w:val="00EC1515"/>
    <w:rsid w:val="00EC1656"/>
    <w:rsid w:val="00EC16EB"/>
    <w:rsid w:val="00EC175B"/>
    <w:rsid w:val="00EC1799"/>
    <w:rsid w:val="00EC1AC0"/>
    <w:rsid w:val="00EC1B2F"/>
    <w:rsid w:val="00EC1F36"/>
    <w:rsid w:val="00EC1F72"/>
    <w:rsid w:val="00EC205B"/>
    <w:rsid w:val="00EC23AD"/>
    <w:rsid w:val="00EC26A4"/>
    <w:rsid w:val="00EC2788"/>
    <w:rsid w:val="00EC2A29"/>
    <w:rsid w:val="00EC2C4D"/>
    <w:rsid w:val="00EC2CF5"/>
    <w:rsid w:val="00EC3007"/>
    <w:rsid w:val="00EC3040"/>
    <w:rsid w:val="00EC3768"/>
    <w:rsid w:val="00EC3846"/>
    <w:rsid w:val="00EC3C5D"/>
    <w:rsid w:val="00EC3E00"/>
    <w:rsid w:val="00EC3F95"/>
    <w:rsid w:val="00EC4284"/>
    <w:rsid w:val="00EC436C"/>
    <w:rsid w:val="00EC43A4"/>
    <w:rsid w:val="00EC4459"/>
    <w:rsid w:val="00EC44B7"/>
    <w:rsid w:val="00EC4599"/>
    <w:rsid w:val="00EC47DC"/>
    <w:rsid w:val="00EC4A94"/>
    <w:rsid w:val="00EC4C05"/>
    <w:rsid w:val="00EC4CF9"/>
    <w:rsid w:val="00EC4D0A"/>
    <w:rsid w:val="00EC4D20"/>
    <w:rsid w:val="00EC50C4"/>
    <w:rsid w:val="00EC525F"/>
    <w:rsid w:val="00EC5273"/>
    <w:rsid w:val="00EC5355"/>
    <w:rsid w:val="00EC5558"/>
    <w:rsid w:val="00EC56A3"/>
    <w:rsid w:val="00EC57DA"/>
    <w:rsid w:val="00EC5804"/>
    <w:rsid w:val="00EC5824"/>
    <w:rsid w:val="00EC5924"/>
    <w:rsid w:val="00EC5A07"/>
    <w:rsid w:val="00EC5A96"/>
    <w:rsid w:val="00EC5B70"/>
    <w:rsid w:val="00EC5C35"/>
    <w:rsid w:val="00EC5DB1"/>
    <w:rsid w:val="00EC5EFB"/>
    <w:rsid w:val="00EC61A7"/>
    <w:rsid w:val="00EC61C2"/>
    <w:rsid w:val="00EC62E7"/>
    <w:rsid w:val="00EC633E"/>
    <w:rsid w:val="00EC63A7"/>
    <w:rsid w:val="00EC6416"/>
    <w:rsid w:val="00EC6435"/>
    <w:rsid w:val="00EC647D"/>
    <w:rsid w:val="00EC6559"/>
    <w:rsid w:val="00EC6726"/>
    <w:rsid w:val="00EC6790"/>
    <w:rsid w:val="00EC685F"/>
    <w:rsid w:val="00EC6914"/>
    <w:rsid w:val="00EC6AA5"/>
    <w:rsid w:val="00EC6CB2"/>
    <w:rsid w:val="00EC6D96"/>
    <w:rsid w:val="00EC6F8D"/>
    <w:rsid w:val="00EC7132"/>
    <w:rsid w:val="00EC7199"/>
    <w:rsid w:val="00EC7427"/>
    <w:rsid w:val="00EC75C2"/>
    <w:rsid w:val="00EC7A53"/>
    <w:rsid w:val="00EC7EE0"/>
    <w:rsid w:val="00ED0026"/>
    <w:rsid w:val="00ED02FA"/>
    <w:rsid w:val="00ED031D"/>
    <w:rsid w:val="00ED03EF"/>
    <w:rsid w:val="00ED06B0"/>
    <w:rsid w:val="00ED09B0"/>
    <w:rsid w:val="00ED09C1"/>
    <w:rsid w:val="00ED0B1B"/>
    <w:rsid w:val="00ED0D07"/>
    <w:rsid w:val="00ED0FBA"/>
    <w:rsid w:val="00ED122D"/>
    <w:rsid w:val="00ED12AA"/>
    <w:rsid w:val="00ED1505"/>
    <w:rsid w:val="00ED16C4"/>
    <w:rsid w:val="00ED1712"/>
    <w:rsid w:val="00ED1777"/>
    <w:rsid w:val="00ED186F"/>
    <w:rsid w:val="00ED19E2"/>
    <w:rsid w:val="00ED1AF2"/>
    <w:rsid w:val="00ED1BD7"/>
    <w:rsid w:val="00ED1C35"/>
    <w:rsid w:val="00ED1F0D"/>
    <w:rsid w:val="00ED20A9"/>
    <w:rsid w:val="00ED2378"/>
    <w:rsid w:val="00ED2560"/>
    <w:rsid w:val="00ED25F4"/>
    <w:rsid w:val="00ED2944"/>
    <w:rsid w:val="00ED2A55"/>
    <w:rsid w:val="00ED2C6B"/>
    <w:rsid w:val="00ED2D47"/>
    <w:rsid w:val="00ED2E3F"/>
    <w:rsid w:val="00ED2F1E"/>
    <w:rsid w:val="00ED2F88"/>
    <w:rsid w:val="00ED300B"/>
    <w:rsid w:val="00ED3043"/>
    <w:rsid w:val="00ED3324"/>
    <w:rsid w:val="00ED332C"/>
    <w:rsid w:val="00ED344E"/>
    <w:rsid w:val="00ED3A3F"/>
    <w:rsid w:val="00ED3AB8"/>
    <w:rsid w:val="00ED3B42"/>
    <w:rsid w:val="00ED3B79"/>
    <w:rsid w:val="00ED3D28"/>
    <w:rsid w:val="00ED3DB6"/>
    <w:rsid w:val="00ED3EA5"/>
    <w:rsid w:val="00ED43FB"/>
    <w:rsid w:val="00ED4417"/>
    <w:rsid w:val="00ED46DC"/>
    <w:rsid w:val="00ED4750"/>
    <w:rsid w:val="00ED4919"/>
    <w:rsid w:val="00ED4965"/>
    <w:rsid w:val="00ED49F0"/>
    <w:rsid w:val="00ED4A06"/>
    <w:rsid w:val="00ED4A17"/>
    <w:rsid w:val="00ED4AA2"/>
    <w:rsid w:val="00ED4CB9"/>
    <w:rsid w:val="00ED4D2A"/>
    <w:rsid w:val="00ED4D33"/>
    <w:rsid w:val="00ED4E8F"/>
    <w:rsid w:val="00ED4F8A"/>
    <w:rsid w:val="00ED4FAA"/>
    <w:rsid w:val="00ED517D"/>
    <w:rsid w:val="00ED519A"/>
    <w:rsid w:val="00ED51A8"/>
    <w:rsid w:val="00ED5423"/>
    <w:rsid w:val="00ED55A2"/>
    <w:rsid w:val="00ED574A"/>
    <w:rsid w:val="00ED585B"/>
    <w:rsid w:val="00ED5926"/>
    <w:rsid w:val="00ED5B4A"/>
    <w:rsid w:val="00ED5BCC"/>
    <w:rsid w:val="00ED5C88"/>
    <w:rsid w:val="00ED5D61"/>
    <w:rsid w:val="00ED5D9A"/>
    <w:rsid w:val="00ED5F71"/>
    <w:rsid w:val="00ED5FBB"/>
    <w:rsid w:val="00ED5FF5"/>
    <w:rsid w:val="00ED606C"/>
    <w:rsid w:val="00ED610A"/>
    <w:rsid w:val="00ED61BB"/>
    <w:rsid w:val="00ED620B"/>
    <w:rsid w:val="00ED65A7"/>
    <w:rsid w:val="00ED6E13"/>
    <w:rsid w:val="00ED6F33"/>
    <w:rsid w:val="00ED7334"/>
    <w:rsid w:val="00ED73C6"/>
    <w:rsid w:val="00ED74C1"/>
    <w:rsid w:val="00ED75E9"/>
    <w:rsid w:val="00ED76E0"/>
    <w:rsid w:val="00ED7725"/>
    <w:rsid w:val="00ED778C"/>
    <w:rsid w:val="00ED787B"/>
    <w:rsid w:val="00ED7884"/>
    <w:rsid w:val="00ED7AD9"/>
    <w:rsid w:val="00ED7AFA"/>
    <w:rsid w:val="00ED7C36"/>
    <w:rsid w:val="00ED7CC1"/>
    <w:rsid w:val="00EE01AD"/>
    <w:rsid w:val="00EE0356"/>
    <w:rsid w:val="00EE039A"/>
    <w:rsid w:val="00EE03A5"/>
    <w:rsid w:val="00EE0475"/>
    <w:rsid w:val="00EE07EC"/>
    <w:rsid w:val="00EE0896"/>
    <w:rsid w:val="00EE0917"/>
    <w:rsid w:val="00EE094B"/>
    <w:rsid w:val="00EE0B7B"/>
    <w:rsid w:val="00EE0C8C"/>
    <w:rsid w:val="00EE0D03"/>
    <w:rsid w:val="00EE0F25"/>
    <w:rsid w:val="00EE1192"/>
    <w:rsid w:val="00EE120F"/>
    <w:rsid w:val="00EE1475"/>
    <w:rsid w:val="00EE14C0"/>
    <w:rsid w:val="00EE14D0"/>
    <w:rsid w:val="00EE1643"/>
    <w:rsid w:val="00EE19BD"/>
    <w:rsid w:val="00EE1ABA"/>
    <w:rsid w:val="00EE1CEB"/>
    <w:rsid w:val="00EE1FAF"/>
    <w:rsid w:val="00EE212D"/>
    <w:rsid w:val="00EE21B9"/>
    <w:rsid w:val="00EE226B"/>
    <w:rsid w:val="00EE249F"/>
    <w:rsid w:val="00EE25EA"/>
    <w:rsid w:val="00EE2604"/>
    <w:rsid w:val="00EE277A"/>
    <w:rsid w:val="00EE2A26"/>
    <w:rsid w:val="00EE2A5E"/>
    <w:rsid w:val="00EE2AF3"/>
    <w:rsid w:val="00EE2B0A"/>
    <w:rsid w:val="00EE2E06"/>
    <w:rsid w:val="00EE2F21"/>
    <w:rsid w:val="00EE2FC0"/>
    <w:rsid w:val="00EE3004"/>
    <w:rsid w:val="00EE3366"/>
    <w:rsid w:val="00EE36E0"/>
    <w:rsid w:val="00EE3798"/>
    <w:rsid w:val="00EE391A"/>
    <w:rsid w:val="00EE3B64"/>
    <w:rsid w:val="00EE3C29"/>
    <w:rsid w:val="00EE3F9E"/>
    <w:rsid w:val="00EE417F"/>
    <w:rsid w:val="00EE43D4"/>
    <w:rsid w:val="00EE4432"/>
    <w:rsid w:val="00EE46A4"/>
    <w:rsid w:val="00EE486D"/>
    <w:rsid w:val="00EE48F2"/>
    <w:rsid w:val="00EE4972"/>
    <w:rsid w:val="00EE4A37"/>
    <w:rsid w:val="00EE4B5C"/>
    <w:rsid w:val="00EE4BBB"/>
    <w:rsid w:val="00EE4BE3"/>
    <w:rsid w:val="00EE4CF2"/>
    <w:rsid w:val="00EE4D77"/>
    <w:rsid w:val="00EE4DF3"/>
    <w:rsid w:val="00EE4F8E"/>
    <w:rsid w:val="00EE501C"/>
    <w:rsid w:val="00EE5027"/>
    <w:rsid w:val="00EE5141"/>
    <w:rsid w:val="00EE5301"/>
    <w:rsid w:val="00EE5431"/>
    <w:rsid w:val="00EE544B"/>
    <w:rsid w:val="00EE5452"/>
    <w:rsid w:val="00EE5537"/>
    <w:rsid w:val="00EE554D"/>
    <w:rsid w:val="00EE5574"/>
    <w:rsid w:val="00EE55C7"/>
    <w:rsid w:val="00EE59FE"/>
    <w:rsid w:val="00EE5C74"/>
    <w:rsid w:val="00EE5E5A"/>
    <w:rsid w:val="00EE603F"/>
    <w:rsid w:val="00EE6277"/>
    <w:rsid w:val="00EE6344"/>
    <w:rsid w:val="00EE63B6"/>
    <w:rsid w:val="00EE6449"/>
    <w:rsid w:val="00EE6454"/>
    <w:rsid w:val="00EE64C6"/>
    <w:rsid w:val="00EE65CD"/>
    <w:rsid w:val="00EE6663"/>
    <w:rsid w:val="00EE675F"/>
    <w:rsid w:val="00EE6797"/>
    <w:rsid w:val="00EE6955"/>
    <w:rsid w:val="00EE6A39"/>
    <w:rsid w:val="00EE6AEB"/>
    <w:rsid w:val="00EE6BB5"/>
    <w:rsid w:val="00EE6E3B"/>
    <w:rsid w:val="00EE6FF6"/>
    <w:rsid w:val="00EE73CB"/>
    <w:rsid w:val="00EE74B1"/>
    <w:rsid w:val="00EE74D4"/>
    <w:rsid w:val="00EE74FA"/>
    <w:rsid w:val="00EE755F"/>
    <w:rsid w:val="00EE7773"/>
    <w:rsid w:val="00EE779C"/>
    <w:rsid w:val="00EE77F5"/>
    <w:rsid w:val="00EE786C"/>
    <w:rsid w:val="00EE7872"/>
    <w:rsid w:val="00EE7B27"/>
    <w:rsid w:val="00EF0026"/>
    <w:rsid w:val="00EF01F6"/>
    <w:rsid w:val="00EF0234"/>
    <w:rsid w:val="00EF0321"/>
    <w:rsid w:val="00EF03D9"/>
    <w:rsid w:val="00EF054F"/>
    <w:rsid w:val="00EF0606"/>
    <w:rsid w:val="00EF0797"/>
    <w:rsid w:val="00EF07E6"/>
    <w:rsid w:val="00EF08C4"/>
    <w:rsid w:val="00EF0918"/>
    <w:rsid w:val="00EF0979"/>
    <w:rsid w:val="00EF0A6D"/>
    <w:rsid w:val="00EF0A76"/>
    <w:rsid w:val="00EF0B86"/>
    <w:rsid w:val="00EF0BFA"/>
    <w:rsid w:val="00EF0CE1"/>
    <w:rsid w:val="00EF0E35"/>
    <w:rsid w:val="00EF0F35"/>
    <w:rsid w:val="00EF10DB"/>
    <w:rsid w:val="00EF11E0"/>
    <w:rsid w:val="00EF1281"/>
    <w:rsid w:val="00EF157E"/>
    <w:rsid w:val="00EF169A"/>
    <w:rsid w:val="00EF16B6"/>
    <w:rsid w:val="00EF16E4"/>
    <w:rsid w:val="00EF1814"/>
    <w:rsid w:val="00EF1860"/>
    <w:rsid w:val="00EF188F"/>
    <w:rsid w:val="00EF18E9"/>
    <w:rsid w:val="00EF18F3"/>
    <w:rsid w:val="00EF1B0E"/>
    <w:rsid w:val="00EF1BE9"/>
    <w:rsid w:val="00EF1DE3"/>
    <w:rsid w:val="00EF1F96"/>
    <w:rsid w:val="00EF203C"/>
    <w:rsid w:val="00EF207C"/>
    <w:rsid w:val="00EF22B9"/>
    <w:rsid w:val="00EF2387"/>
    <w:rsid w:val="00EF25B4"/>
    <w:rsid w:val="00EF261B"/>
    <w:rsid w:val="00EF26D7"/>
    <w:rsid w:val="00EF2729"/>
    <w:rsid w:val="00EF27C6"/>
    <w:rsid w:val="00EF27CA"/>
    <w:rsid w:val="00EF2BDD"/>
    <w:rsid w:val="00EF2C3F"/>
    <w:rsid w:val="00EF2D77"/>
    <w:rsid w:val="00EF3232"/>
    <w:rsid w:val="00EF3239"/>
    <w:rsid w:val="00EF3420"/>
    <w:rsid w:val="00EF35F1"/>
    <w:rsid w:val="00EF3777"/>
    <w:rsid w:val="00EF3936"/>
    <w:rsid w:val="00EF3BC1"/>
    <w:rsid w:val="00EF3BCC"/>
    <w:rsid w:val="00EF3C46"/>
    <w:rsid w:val="00EF3F75"/>
    <w:rsid w:val="00EF3F7B"/>
    <w:rsid w:val="00EF4138"/>
    <w:rsid w:val="00EF497E"/>
    <w:rsid w:val="00EF4B6E"/>
    <w:rsid w:val="00EF4D08"/>
    <w:rsid w:val="00EF5116"/>
    <w:rsid w:val="00EF5561"/>
    <w:rsid w:val="00EF56B3"/>
    <w:rsid w:val="00EF5885"/>
    <w:rsid w:val="00EF5909"/>
    <w:rsid w:val="00EF5A13"/>
    <w:rsid w:val="00EF5AF4"/>
    <w:rsid w:val="00EF5D71"/>
    <w:rsid w:val="00EF5ED1"/>
    <w:rsid w:val="00EF60CB"/>
    <w:rsid w:val="00EF60DA"/>
    <w:rsid w:val="00EF6115"/>
    <w:rsid w:val="00EF61CB"/>
    <w:rsid w:val="00EF621D"/>
    <w:rsid w:val="00EF652C"/>
    <w:rsid w:val="00EF6561"/>
    <w:rsid w:val="00EF65E1"/>
    <w:rsid w:val="00EF6601"/>
    <w:rsid w:val="00EF69CB"/>
    <w:rsid w:val="00EF6EB4"/>
    <w:rsid w:val="00EF6F16"/>
    <w:rsid w:val="00EF6FDF"/>
    <w:rsid w:val="00EF724A"/>
    <w:rsid w:val="00EF72B8"/>
    <w:rsid w:val="00EF7478"/>
    <w:rsid w:val="00EF74DE"/>
    <w:rsid w:val="00EF76F4"/>
    <w:rsid w:val="00EF7720"/>
    <w:rsid w:val="00EF77D4"/>
    <w:rsid w:val="00EF7AAE"/>
    <w:rsid w:val="00EF7AC2"/>
    <w:rsid w:val="00EF7AD4"/>
    <w:rsid w:val="00EF7B15"/>
    <w:rsid w:val="00EF7CA5"/>
    <w:rsid w:val="00EF7FCD"/>
    <w:rsid w:val="00F001B3"/>
    <w:rsid w:val="00F00237"/>
    <w:rsid w:val="00F0054D"/>
    <w:rsid w:val="00F0057E"/>
    <w:rsid w:val="00F005E3"/>
    <w:rsid w:val="00F007D9"/>
    <w:rsid w:val="00F00998"/>
    <w:rsid w:val="00F009D9"/>
    <w:rsid w:val="00F00A77"/>
    <w:rsid w:val="00F00A8D"/>
    <w:rsid w:val="00F00C34"/>
    <w:rsid w:val="00F00D9B"/>
    <w:rsid w:val="00F00E8F"/>
    <w:rsid w:val="00F01344"/>
    <w:rsid w:val="00F018AA"/>
    <w:rsid w:val="00F01CE3"/>
    <w:rsid w:val="00F01DAA"/>
    <w:rsid w:val="00F020D9"/>
    <w:rsid w:val="00F023BC"/>
    <w:rsid w:val="00F024C8"/>
    <w:rsid w:val="00F024F9"/>
    <w:rsid w:val="00F02827"/>
    <w:rsid w:val="00F02831"/>
    <w:rsid w:val="00F02A6F"/>
    <w:rsid w:val="00F02A77"/>
    <w:rsid w:val="00F02B06"/>
    <w:rsid w:val="00F02CF0"/>
    <w:rsid w:val="00F02D17"/>
    <w:rsid w:val="00F0308A"/>
    <w:rsid w:val="00F03476"/>
    <w:rsid w:val="00F0348E"/>
    <w:rsid w:val="00F0355A"/>
    <w:rsid w:val="00F035BC"/>
    <w:rsid w:val="00F03A4D"/>
    <w:rsid w:val="00F03B74"/>
    <w:rsid w:val="00F03B82"/>
    <w:rsid w:val="00F03D4B"/>
    <w:rsid w:val="00F03DC5"/>
    <w:rsid w:val="00F03E03"/>
    <w:rsid w:val="00F040B2"/>
    <w:rsid w:val="00F043BE"/>
    <w:rsid w:val="00F04642"/>
    <w:rsid w:val="00F04AE6"/>
    <w:rsid w:val="00F04C45"/>
    <w:rsid w:val="00F04C94"/>
    <w:rsid w:val="00F04E4A"/>
    <w:rsid w:val="00F04E8F"/>
    <w:rsid w:val="00F04F5F"/>
    <w:rsid w:val="00F04F79"/>
    <w:rsid w:val="00F04FEA"/>
    <w:rsid w:val="00F050DF"/>
    <w:rsid w:val="00F05156"/>
    <w:rsid w:val="00F0528F"/>
    <w:rsid w:val="00F0531D"/>
    <w:rsid w:val="00F0545A"/>
    <w:rsid w:val="00F05570"/>
    <w:rsid w:val="00F0587C"/>
    <w:rsid w:val="00F058E2"/>
    <w:rsid w:val="00F0599C"/>
    <w:rsid w:val="00F05AC8"/>
    <w:rsid w:val="00F05BFB"/>
    <w:rsid w:val="00F05E8F"/>
    <w:rsid w:val="00F05ED9"/>
    <w:rsid w:val="00F06173"/>
    <w:rsid w:val="00F0633D"/>
    <w:rsid w:val="00F0681A"/>
    <w:rsid w:val="00F06A06"/>
    <w:rsid w:val="00F06C3F"/>
    <w:rsid w:val="00F06E34"/>
    <w:rsid w:val="00F06FB4"/>
    <w:rsid w:val="00F070E9"/>
    <w:rsid w:val="00F0727F"/>
    <w:rsid w:val="00F074BD"/>
    <w:rsid w:val="00F075EA"/>
    <w:rsid w:val="00F078D6"/>
    <w:rsid w:val="00F07A1B"/>
    <w:rsid w:val="00F07AD2"/>
    <w:rsid w:val="00F07B32"/>
    <w:rsid w:val="00F07D6C"/>
    <w:rsid w:val="00F07FA7"/>
    <w:rsid w:val="00F102F2"/>
    <w:rsid w:val="00F10306"/>
    <w:rsid w:val="00F104B3"/>
    <w:rsid w:val="00F105D5"/>
    <w:rsid w:val="00F108FA"/>
    <w:rsid w:val="00F10B29"/>
    <w:rsid w:val="00F10B60"/>
    <w:rsid w:val="00F10C31"/>
    <w:rsid w:val="00F10E58"/>
    <w:rsid w:val="00F11305"/>
    <w:rsid w:val="00F11358"/>
    <w:rsid w:val="00F1156A"/>
    <w:rsid w:val="00F11629"/>
    <w:rsid w:val="00F11986"/>
    <w:rsid w:val="00F11C58"/>
    <w:rsid w:val="00F11E91"/>
    <w:rsid w:val="00F120D2"/>
    <w:rsid w:val="00F121A1"/>
    <w:rsid w:val="00F1237D"/>
    <w:rsid w:val="00F123A3"/>
    <w:rsid w:val="00F128C2"/>
    <w:rsid w:val="00F12F18"/>
    <w:rsid w:val="00F13312"/>
    <w:rsid w:val="00F134CB"/>
    <w:rsid w:val="00F13825"/>
    <w:rsid w:val="00F13934"/>
    <w:rsid w:val="00F13A0C"/>
    <w:rsid w:val="00F13A41"/>
    <w:rsid w:val="00F13EFC"/>
    <w:rsid w:val="00F13FB1"/>
    <w:rsid w:val="00F1403D"/>
    <w:rsid w:val="00F14149"/>
    <w:rsid w:val="00F1448E"/>
    <w:rsid w:val="00F1472C"/>
    <w:rsid w:val="00F1478F"/>
    <w:rsid w:val="00F14867"/>
    <w:rsid w:val="00F14ACF"/>
    <w:rsid w:val="00F14B9F"/>
    <w:rsid w:val="00F14BB5"/>
    <w:rsid w:val="00F14BE0"/>
    <w:rsid w:val="00F14C62"/>
    <w:rsid w:val="00F14F09"/>
    <w:rsid w:val="00F1508C"/>
    <w:rsid w:val="00F152BC"/>
    <w:rsid w:val="00F1534A"/>
    <w:rsid w:val="00F153AF"/>
    <w:rsid w:val="00F154A4"/>
    <w:rsid w:val="00F15586"/>
    <w:rsid w:val="00F15667"/>
    <w:rsid w:val="00F15792"/>
    <w:rsid w:val="00F15D02"/>
    <w:rsid w:val="00F15F44"/>
    <w:rsid w:val="00F15F89"/>
    <w:rsid w:val="00F15FCD"/>
    <w:rsid w:val="00F16876"/>
    <w:rsid w:val="00F16B9C"/>
    <w:rsid w:val="00F16E79"/>
    <w:rsid w:val="00F16FA3"/>
    <w:rsid w:val="00F170C9"/>
    <w:rsid w:val="00F17201"/>
    <w:rsid w:val="00F172E5"/>
    <w:rsid w:val="00F17492"/>
    <w:rsid w:val="00F176A9"/>
    <w:rsid w:val="00F1772F"/>
    <w:rsid w:val="00F177E2"/>
    <w:rsid w:val="00F17EE1"/>
    <w:rsid w:val="00F17F58"/>
    <w:rsid w:val="00F17FEE"/>
    <w:rsid w:val="00F2018D"/>
    <w:rsid w:val="00F20273"/>
    <w:rsid w:val="00F2030E"/>
    <w:rsid w:val="00F204DA"/>
    <w:rsid w:val="00F205A9"/>
    <w:rsid w:val="00F20814"/>
    <w:rsid w:val="00F208B9"/>
    <w:rsid w:val="00F209AD"/>
    <w:rsid w:val="00F209BA"/>
    <w:rsid w:val="00F209E4"/>
    <w:rsid w:val="00F20A82"/>
    <w:rsid w:val="00F20BED"/>
    <w:rsid w:val="00F20CD9"/>
    <w:rsid w:val="00F20CE3"/>
    <w:rsid w:val="00F21223"/>
    <w:rsid w:val="00F212B5"/>
    <w:rsid w:val="00F213A8"/>
    <w:rsid w:val="00F216BA"/>
    <w:rsid w:val="00F21845"/>
    <w:rsid w:val="00F21980"/>
    <w:rsid w:val="00F21C2A"/>
    <w:rsid w:val="00F21C35"/>
    <w:rsid w:val="00F21FC6"/>
    <w:rsid w:val="00F21FC9"/>
    <w:rsid w:val="00F21FCF"/>
    <w:rsid w:val="00F2221D"/>
    <w:rsid w:val="00F22221"/>
    <w:rsid w:val="00F2227B"/>
    <w:rsid w:val="00F223B1"/>
    <w:rsid w:val="00F226A0"/>
    <w:rsid w:val="00F22716"/>
    <w:rsid w:val="00F227D3"/>
    <w:rsid w:val="00F22AE8"/>
    <w:rsid w:val="00F22C82"/>
    <w:rsid w:val="00F22D4A"/>
    <w:rsid w:val="00F22DC2"/>
    <w:rsid w:val="00F22E1B"/>
    <w:rsid w:val="00F22EDA"/>
    <w:rsid w:val="00F23191"/>
    <w:rsid w:val="00F231DA"/>
    <w:rsid w:val="00F2338A"/>
    <w:rsid w:val="00F2351A"/>
    <w:rsid w:val="00F237DA"/>
    <w:rsid w:val="00F237FC"/>
    <w:rsid w:val="00F23A86"/>
    <w:rsid w:val="00F23A8C"/>
    <w:rsid w:val="00F23B32"/>
    <w:rsid w:val="00F23B9B"/>
    <w:rsid w:val="00F23E5E"/>
    <w:rsid w:val="00F23EC3"/>
    <w:rsid w:val="00F242FE"/>
    <w:rsid w:val="00F24595"/>
    <w:rsid w:val="00F245B3"/>
    <w:rsid w:val="00F245F3"/>
    <w:rsid w:val="00F245F9"/>
    <w:rsid w:val="00F248AD"/>
    <w:rsid w:val="00F24900"/>
    <w:rsid w:val="00F24A78"/>
    <w:rsid w:val="00F24AFB"/>
    <w:rsid w:val="00F24BFF"/>
    <w:rsid w:val="00F24E24"/>
    <w:rsid w:val="00F24ED0"/>
    <w:rsid w:val="00F24F08"/>
    <w:rsid w:val="00F250DE"/>
    <w:rsid w:val="00F25177"/>
    <w:rsid w:val="00F251B2"/>
    <w:rsid w:val="00F254B6"/>
    <w:rsid w:val="00F254ED"/>
    <w:rsid w:val="00F25583"/>
    <w:rsid w:val="00F25594"/>
    <w:rsid w:val="00F256A0"/>
    <w:rsid w:val="00F257E1"/>
    <w:rsid w:val="00F2589A"/>
    <w:rsid w:val="00F258F6"/>
    <w:rsid w:val="00F25904"/>
    <w:rsid w:val="00F259C3"/>
    <w:rsid w:val="00F25B13"/>
    <w:rsid w:val="00F25D31"/>
    <w:rsid w:val="00F25D9F"/>
    <w:rsid w:val="00F25FF7"/>
    <w:rsid w:val="00F26053"/>
    <w:rsid w:val="00F2613B"/>
    <w:rsid w:val="00F26143"/>
    <w:rsid w:val="00F261C5"/>
    <w:rsid w:val="00F2622A"/>
    <w:rsid w:val="00F26259"/>
    <w:rsid w:val="00F262DB"/>
    <w:rsid w:val="00F2638E"/>
    <w:rsid w:val="00F2649E"/>
    <w:rsid w:val="00F2670B"/>
    <w:rsid w:val="00F26712"/>
    <w:rsid w:val="00F268CE"/>
    <w:rsid w:val="00F2699B"/>
    <w:rsid w:val="00F26A1C"/>
    <w:rsid w:val="00F26A9F"/>
    <w:rsid w:val="00F26FC4"/>
    <w:rsid w:val="00F270E3"/>
    <w:rsid w:val="00F27462"/>
    <w:rsid w:val="00F27534"/>
    <w:rsid w:val="00F27589"/>
    <w:rsid w:val="00F2761B"/>
    <w:rsid w:val="00F2762F"/>
    <w:rsid w:val="00F27743"/>
    <w:rsid w:val="00F27997"/>
    <w:rsid w:val="00F27B6F"/>
    <w:rsid w:val="00F27E93"/>
    <w:rsid w:val="00F27F0A"/>
    <w:rsid w:val="00F29215"/>
    <w:rsid w:val="00F300B3"/>
    <w:rsid w:val="00F302A1"/>
    <w:rsid w:val="00F303BA"/>
    <w:rsid w:val="00F304DF"/>
    <w:rsid w:val="00F305CB"/>
    <w:rsid w:val="00F30718"/>
    <w:rsid w:val="00F308E0"/>
    <w:rsid w:val="00F30BA2"/>
    <w:rsid w:val="00F30C2C"/>
    <w:rsid w:val="00F30EB4"/>
    <w:rsid w:val="00F310D1"/>
    <w:rsid w:val="00F310DB"/>
    <w:rsid w:val="00F315DD"/>
    <w:rsid w:val="00F316D2"/>
    <w:rsid w:val="00F31727"/>
    <w:rsid w:val="00F318B1"/>
    <w:rsid w:val="00F31AE4"/>
    <w:rsid w:val="00F31B5D"/>
    <w:rsid w:val="00F31BB9"/>
    <w:rsid w:val="00F31E72"/>
    <w:rsid w:val="00F31EF4"/>
    <w:rsid w:val="00F320E5"/>
    <w:rsid w:val="00F320F5"/>
    <w:rsid w:val="00F32109"/>
    <w:rsid w:val="00F3220C"/>
    <w:rsid w:val="00F323B4"/>
    <w:rsid w:val="00F3245F"/>
    <w:rsid w:val="00F3249B"/>
    <w:rsid w:val="00F325EE"/>
    <w:rsid w:val="00F32A4D"/>
    <w:rsid w:val="00F32C14"/>
    <w:rsid w:val="00F32CF8"/>
    <w:rsid w:val="00F32D36"/>
    <w:rsid w:val="00F32E17"/>
    <w:rsid w:val="00F32E4C"/>
    <w:rsid w:val="00F32EAD"/>
    <w:rsid w:val="00F32F62"/>
    <w:rsid w:val="00F33052"/>
    <w:rsid w:val="00F3321B"/>
    <w:rsid w:val="00F3325B"/>
    <w:rsid w:val="00F334B4"/>
    <w:rsid w:val="00F336C1"/>
    <w:rsid w:val="00F33841"/>
    <w:rsid w:val="00F3387E"/>
    <w:rsid w:val="00F3389D"/>
    <w:rsid w:val="00F33BB9"/>
    <w:rsid w:val="00F33CDA"/>
    <w:rsid w:val="00F33D50"/>
    <w:rsid w:val="00F33DAE"/>
    <w:rsid w:val="00F33E52"/>
    <w:rsid w:val="00F33ECE"/>
    <w:rsid w:val="00F33F42"/>
    <w:rsid w:val="00F33F9D"/>
    <w:rsid w:val="00F3445A"/>
    <w:rsid w:val="00F3447C"/>
    <w:rsid w:val="00F3452C"/>
    <w:rsid w:val="00F345D0"/>
    <w:rsid w:val="00F347BD"/>
    <w:rsid w:val="00F34830"/>
    <w:rsid w:val="00F34AF6"/>
    <w:rsid w:val="00F34C87"/>
    <w:rsid w:val="00F34CBA"/>
    <w:rsid w:val="00F34CE6"/>
    <w:rsid w:val="00F34FDB"/>
    <w:rsid w:val="00F35204"/>
    <w:rsid w:val="00F3550D"/>
    <w:rsid w:val="00F35635"/>
    <w:rsid w:val="00F35752"/>
    <w:rsid w:val="00F35900"/>
    <w:rsid w:val="00F35CA6"/>
    <w:rsid w:val="00F35DB9"/>
    <w:rsid w:val="00F35E2F"/>
    <w:rsid w:val="00F35EAE"/>
    <w:rsid w:val="00F3602E"/>
    <w:rsid w:val="00F3611A"/>
    <w:rsid w:val="00F3611C"/>
    <w:rsid w:val="00F3615C"/>
    <w:rsid w:val="00F361D4"/>
    <w:rsid w:val="00F361EB"/>
    <w:rsid w:val="00F36375"/>
    <w:rsid w:val="00F364A9"/>
    <w:rsid w:val="00F367A9"/>
    <w:rsid w:val="00F369E4"/>
    <w:rsid w:val="00F36A23"/>
    <w:rsid w:val="00F36B4A"/>
    <w:rsid w:val="00F36C68"/>
    <w:rsid w:val="00F36EFF"/>
    <w:rsid w:val="00F36F42"/>
    <w:rsid w:val="00F36F4F"/>
    <w:rsid w:val="00F3716C"/>
    <w:rsid w:val="00F37360"/>
    <w:rsid w:val="00F37366"/>
    <w:rsid w:val="00F374C3"/>
    <w:rsid w:val="00F376F4"/>
    <w:rsid w:val="00F377BE"/>
    <w:rsid w:val="00F37872"/>
    <w:rsid w:val="00F3798A"/>
    <w:rsid w:val="00F379AA"/>
    <w:rsid w:val="00F37CB4"/>
    <w:rsid w:val="00F37CFC"/>
    <w:rsid w:val="00F40063"/>
    <w:rsid w:val="00F406D1"/>
    <w:rsid w:val="00F40738"/>
    <w:rsid w:val="00F40872"/>
    <w:rsid w:val="00F4090C"/>
    <w:rsid w:val="00F40B24"/>
    <w:rsid w:val="00F410EE"/>
    <w:rsid w:val="00F41554"/>
    <w:rsid w:val="00F4162C"/>
    <w:rsid w:val="00F416D2"/>
    <w:rsid w:val="00F417DC"/>
    <w:rsid w:val="00F417DF"/>
    <w:rsid w:val="00F41820"/>
    <w:rsid w:val="00F41891"/>
    <w:rsid w:val="00F41A45"/>
    <w:rsid w:val="00F41E5C"/>
    <w:rsid w:val="00F41EB1"/>
    <w:rsid w:val="00F42057"/>
    <w:rsid w:val="00F420C4"/>
    <w:rsid w:val="00F42137"/>
    <w:rsid w:val="00F42192"/>
    <w:rsid w:val="00F4223B"/>
    <w:rsid w:val="00F42318"/>
    <w:rsid w:val="00F42418"/>
    <w:rsid w:val="00F424DF"/>
    <w:rsid w:val="00F42586"/>
    <w:rsid w:val="00F426DA"/>
    <w:rsid w:val="00F427E0"/>
    <w:rsid w:val="00F42AE3"/>
    <w:rsid w:val="00F42B17"/>
    <w:rsid w:val="00F42BAB"/>
    <w:rsid w:val="00F42CDD"/>
    <w:rsid w:val="00F42D75"/>
    <w:rsid w:val="00F42FB6"/>
    <w:rsid w:val="00F43254"/>
    <w:rsid w:val="00F43465"/>
    <w:rsid w:val="00F43630"/>
    <w:rsid w:val="00F4367C"/>
    <w:rsid w:val="00F436A5"/>
    <w:rsid w:val="00F4385E"/>
    <w:rsid w:val="00F4387D"/>
    <w:rsid w:val="00F43BD7"/>
    <w:rsid w:val="00F43E4E"/>
    <w:rsid w:val="00F44296"/>
    <w:rsid w:val="00F44299"/>
    <w:rsid w:val="00F4429B"/>
    <w:rsid w:val="00F44631"/>
    <w:rsid w:val="00F44991"/>
    <w:rsid w:val="00F449B6"/>
    <w:rsid w:val="00F44A2A"/>
    <w:rsid w:val="00F44A74"/>
    <w:rsid w:val="00F44BAA"/>
    <w:rsid w:val="00F44D0D"/>
    <w:rsid w:val="00F44D2C"/>
    <w:rsid w:val="00F44E7B"/>
    <w:rsid w:val="00F44FD2"/>
    <w:rsid w:val="00F451DD"/>
    <w:rsid w:val="00F45239"/>
    <w:rsid w:val="00F45354"/>
    <w:rsid w:val="00F45371"/>
    <w:rsid w:val="00F453D4"/>
    <w:rsid w:val="00F456D7"/>
    <w:rsid w:val="00F45760"/>
    <w:rsid w:val="00F457CD"/>
    <w:rsid w:val="00F4582B"/>
    <w:rsid w:val="00F45956"/>
    <w:rsid w:val="00F45BB7"/>
    <w:rsid w:val="00F45E90"/>
    <w:rsid w:val="00F45F05"/>
    <w:rsid w:val="00F45F0B"/>
    <w:rsid w:val="00F46068"/>
    <w:rsid w:val="00F464DD"/>
    <w:rsid w:val="00F464E4"/>
    <w:rsid w:val="00F46527"/>
    <w:rsid w:val="00F46636"/>
    <w:rsid w:val="00F4682D"/>
    <w:rsid w:val="00F4688C"/>
    <w:rsid w:val="00F468FA"/>
    <w:rsid w:val="00F46943"/>
    <w:rsid w:val="00F469D2"/>
    <w:rsid w:val="00F46A2D"/>
    <w:rsid w:val="00F46A53"/>
    <w:rsid w:val="00F46C9D"/>
    <w:rsid w:val="00F46FA1"/>
    <w:rsid w:val="00F47099"/>
    <w:rsid w:val="00F471F7"/>
    <w:rsid w:val="00F47492"/>
    <w:rsid w:val="00F474D5"/>
    <w:rsid w:val="00F47503"/>
    <w:rsid w:val="00F477BB"/>
    <w:rsid w:val="00F47CB5"/>
    <w:rsid w:val="00F47D54"/>
    <w:rsid w:val="00F50104"/>
    <w:rsid w:val="00F50125"/>
    <w:rsid w:val="00F502F8"/>
    <w:rsid w:val="00F5033C"/>
    <w:rsid w:val="00F5046D"/>
    <w:rsid w:val="00F504F8"/>
    <w:rsid w:val="00F505E6"/>
    <w:rsid w:val="00F50743"/>
    <w:rsid w:val="00F50779"/>
    <w:rsid w:val="00F50808"/>
    <w:rsid w:val="00F50946"/>
    <w:rsid w:val="00F50A9F"/>
    <w:rsid w:val="00F50B8D"/>
    <w:rsid w:val="00F51017"/>
    <w:rsid w:val="00F51034"/>
    <w:rsid w:val="00F51251"/>
    <w:rsid w:val="00F512B0"/>
    <w:rsid w:val="00F512F8"/>
    <w:rsid w:val="00F51332"/>
    <w:rsid w:val="00F51491"/>
    <w:rsid w:val="00F5150D"/>
    <w:rsid w:val="00F51550"/>
    <w:rsid w:val="00F51856"/>
    <w:rsid w:val="00F5197A"/>
    <w:rsid w:val="00F51D5A"/>
    <w:rsid w:val="00F51D9B"/>
    <w:rsid w:val="00F52036"/>
    <w:rsid w:val="00F522CB"/>
    <w:rsid w:val="00F522CE"/>
    <w:rsid w:val="00F52615"/>
    <w:rsid w:val="00F52740"/>
    <w:rsid w:val="00F52753"/>
    <w:rsid w:val="00F527DA"/>
    <w:rsid w:val="00F52922"/>
    <w:rsid w:val="00F52976"/>
    <w:rsid w:val="00F52AF2"/>
    <w:rsid w:val="00F52C1C"/>
    <w:rsid w:val="00F52C89"/>
    <w:rsid w:val="00F53004"/>
    <w:rsid w:val="00F530C3"/>
    <w:rsid w:val="00F530CE"/>
    <w:rsid w:val="00F530D3"/>
    <w:rsid w:val="00F5326E"/>
    <w:rsid w:val="00F53281"/>
    <w:rsid w:val="00F53292"/>
    <w:rsid w:val="00F533E2"/>
    <w:rsid w:val="00F53434"/>
    <w:rsid w:val="00F53562"/>
    <w:rsid w:val="00F53652"/>
    <w:rsid w:val="00F536EE"/>
    <w:rsid w:val="00F53759"/>
    <w:rsid w:val="00F53B0E"/>
    <w:rsid w:val="00F53E23"/>
    <w:rsid w:val="00F54039"/>
    <w:rsid w:val="00F5423F"/>
    <w:rsid w:val="00F5429E"/>
    <w:rsid w:val="00F542D1"/>
    <w:rsid w:val="00F542DB"/>
    <w:rsid w:val="00F5431F"/>
    <w:rsid w:val="00F54922"/>
    <w:rsid w:val="00F54933"/>
    <w:rsid w:val="00F54B5B"/>
    <w:rsid w:val="00F54BD1"/>
    <w:rsid w:val="00F54C1B"/>
    <w:rsid w:val="00F54D8D"/>
    <w:rsid w:val="00F54E13"/>
    <w:rsid w:val="00F54ECA"/>
    <w:rsid w:val="00F55180"/>
    <w:rsid w:val="00F551AE"/>
    <w:rsid w:val="00F551D3"/>
    <w:rsid w:val="00F552CF"/>
    <w:rsid w:val="00F55338"/>
    <w:rsid w:val="00F55388"/>
    <w:rsid w:val="00F553A8"/>
    <w:rsid w:val="00F55438"/>
    <w:rsid w:val="00F5543D"/>
    <w:rsid w:val="00F55535"/>
    <w:rsid w:val="00F55CF6"/>
    <w:rsid w:val="00F55D75"/>
    <w:rsid w:val="00F55F7B"/>
    <w:rsid w:val="00F55F91"/>
    <w:rsid w:val="00F55F94"/>
    <w:rsid w:val="00F561AC"/>
    <w:rsid w:val="00F562CC"/>
    <w:rsid w:val="00F5635B"/>
    <w:rsid w:val="00F564D6"/>
    <w:rsid w:val="00F5655E"/>
    <w:rsid w:val="00F567C8"/>
    <w:rsid w:val="00F569E5"/>
    <w:rsid w:val="00F56B1E"/>
    <w:rsid w:val="00F56D6A"/>
    <w:rsid w:val="00F57263"/>
    <w:rsid w:val="00F57495"/>
    <w:rsid w:val="00F575BC"/>
    <w:rsid w:val="00F575E7"/>
    <w:rsid w:val="00F57939"/>
    <w:rsid w:val="00F57ACA"/>
    <w:rsid w:val="00F57B44"/>
    <w:rsid w:val="00F57C38"/>
    <w:rsid w:val="00F57E5D"/>
    <w:rsid w:val="00F57F6C"/>
    <w:rsid w:val="00F600B0"/>
    <w:rsid w:val="00F60237"/>
    <w:rsid w:val="00F605E9"/>
    <w:rsid w:val="00F608D3"/>
    <w:rsid w:val="00F609CE"/>
    <w:rsid w:val="00F60ABD"/>
    <w:rsid w:val="00F60AC9"/>
    <w:rsid w:val="00F60C0A"/>
    <w:rsid w:val="00F60CAC"/>
    <w:rsid w:val="00F60D96"/>
    <w:rsid w:val="00F60F7E"/>
    <w:rsid w:val="00F61064"/>
    <w:rsid w:val="00F612E6"/>
    <w:rsid w:val="00F614B2"/>
    <w:rsid w:val="00F6175D"/>
    <w:rsid w:val="00F6185D"/>
    <w:rsid w:val="00F619DF"/>
    <w:rsid w:val="00F61C83"/>
    <w:rsid w:val="00F61CE5"/>
    <w:rsid w:val="00F61D48"/>
    <w:rsid w:val="00F61F52"/>
    <w:rsid w:val="00F62039"/>
    <w:rsid w:val="00F6216F"/>
    <w:rsid w:val="00F6219C"/>
    <w:rsid w:val="00F621AB"/>
    <w:rsid w:val="00F62336"/>
    <w:rsid w:val="00F6238F"/>
    <w:rsid w:val="00F62400"/>
    <w:rsid w:val="00F62402"/>
    <w:rsid w:val="00F62486"/>
    <w:rsid w:val="00F624B8"/>
    <w:rsid w:val="00F624C9"/>
    <w:rsid w:val="00F62929"/>
    <w:rsid w:val="00F62B39"/>
    <w:rsid w:val="00F62CCB"/>
    <w:rsid w:val="00F62F3D"/>
    <w:rsid w:val="00F63013"/>
    <w:rsid w:val="00F63062"/>
    <w:rsid w:val="00F6324F"/>
    <w:rsid w:val="00F6325D"/>
    <w:rsid w:val="00F634E9"/>
    <w:rsid w:val="00F6361B"/>
    <w:rsid w:val="00F636CE"/>
    <w:rsid w:val="00F63878"/>
    <w:rsid w:val="00F63C40"/>
    <w:rsid w:val="00F63DE0"/>
    <w:rsid w:val="00F63EFB"/>
    <w:rsid w:val="00F64011"/>
    <w:rsid w:val="00F64097"/>
    <w:rsid w:val="00F6427F"/>
    <w:rsid w:val="00F64404"/>
    <w:rsid w:val="00F64553"/>
    <w:rsid w:val="00F6482F"/>
    <w:rsid w:val="00F649B4"/>
    <w:rsid w:val="00F64B25"/>
    <w:rsid w:val="00F64D40"/>
    <w:rsid w:val="00F64E99"/>
    <w:rsid w:val="00F656F4"/>
    <w:rsid w:val="00F6578E"/>
    <w:rsid w:val="00F65957"/>
    <w:rsid w:val="00F65AFB"/>
    <w:rsid w:val="00F65D16"/>
    <w:rsid w:val="00F65E2F"/>
    <w:rsid w:val="00F66283"/>
    <w:rsid w:val="00F665CF"/>
    <w:rsid w:val="00F666E6"/>
    <w:rsid w:val="00F66789"/>
    <w:rsid w:val="00F669C9"/>
    <w:rsid w:val="00F66A74"/>
    <w:rsid w:val="00F66AE8"/>
    <w:rsid w:val="00F66D0D"/>
    <w:rsid w:val="00F66DE1"/>
    <w:rsid w:val="00F66E36"/>
    <w:rsid w:val="00F66E5E"/>
    <w:rsid w:val="00F66F8A"/>
    <w:rsid w:val="00F67007"/>
    <w:rsid w:val="00F67010"/>
    <w:rsid w:val="00F6713B"/>
    <w:rsid w:val="00F67188"/>
    <w:rsid w:val="00F674C5"/>
    <w:rsid w:val="00F675F5"/>
    <w:rsid w:val="00F6765E"/>
    <w:rsid w:val="00F676C0"/>
    <w:rsid w:val="00F67732"/>
    <w:rsid w:val="00F677B9"/>
    <w:rsid w:val="00F67993"/>
    <w:rsid w:val="00F679B3"/>
    <w:rsid w:val="00F679CA"/>
    <w:rsid w:val="00F67A82"/>
    <w:rsid w:val="00F67AAC"/>
    <w:rsid w:val="00F67E6A"/>
    <w:rsid w:val="00F7043D"/>
    <w:rsid w:val="00F7044D"/>
    <w:rsid w:val="00F70493"/>
    <w:rsid w:val="00F705BD"/>
    <w:rsid w:val="00F70B2F"/>
    <w:rsid w:val="00F70D79"/>
    <w:rsid w:val="00F70F43"/>
    <w:rsid w:val="00F70FAF"/>
    <w:rsid w:val="00F710A4"/>
    <w:rsid w:val="00F71173"/>
    <w:rsid w:val="00F711E1"/>
    <w:rsid w:val="00F713F8"/>
    <w:rsid w:val="00F71592"/>
    <w:rsid w:val="00F7183E"/>
    <w:rsid w:val="00F71C0D"/>
    <w:rsid w:val="00F71C19"/>
    <w:rsid w:val="00F71CB6"/>
    <w:rsid w:val="00F72013"/>
    <w:rsid w:val="00F72088"/>
    <w:rsid w:val="00F72132"/>
    <w:rsid w:val="00F7227C"/>
    <w:rsid w:val="00F72301"/>
    <w:rsid w:val="00F725C4"/>
    <w:rsid w:val="00F726E2"/>
    <w:rsid w:val="00F72AAF"/>
    <w:rsid w:val="00F72C66"/>
    <w:rsid w:val="00F72C85"/>
    <w:rsid w:val="00F72CCD"/>
    <w:rsid w:val="00F732FC"/>
    <w:rsid w:val="00F73354"/>
    <w:rsid w:val="00F73406"/>
    <w:rsid w:val="00F734DC"/>
    <w:rsid w:val="00F734DD"/>
    <w:rsid w:val="00F73539"/>
    <w:rsid w:val="00F7379F"/>
    <w:rsid w:val="00F738E8"/>
    <w:rsid w:val="00F739E7"/>
    <w:rsid w:val="00F73D4F"/>
    <w:rsid w:val="00F73FF3"/>
    <w:rsid w:val="00F741F9"/>
    <w:rsid w:val="00F74220"/>
    <w:rsid w:val="00F743CB"/>
    <w:rsid w:val="00F74529"/>
    <w:rsid w:val="00F74D5F"/>
    <w:rsid w:val="00F74FDA"/>
    <w:rsid w:val="00F75012"/>
    <w:rsid w:val="00F7503D"/>
    <w:rsid w:val="00F75134"/>
    <w:rsid w:val="00F752DB"/>
    <w:rsid w:val="00F757B2"/>
    <w:rsid w:val="00F758F6"/>
    <w:rsid w:val="00F759C4"/>
    <w:rsid w:val="00F75A51"/>
    <w:rsid w:val="00F75B25"/>
    <w:rsid w:val="00F75E4A"/>
    <w:rsid w:val="00F76044"/>
    <w:rsid w:val="00F7620D"/>
    <w:rsid w:val="00F76464"/>
    <w:rsid w:val="00F765EB"/>
    <w:rsid w:val="00F76842"/>
    <w:rsid w:val="00F768F6"/>
    <w:rsid w:val="00F768FB"/>
    <w:rsid w:val="00F769B4"/>
    <w:rsid w:val="00F76A02"/>
    <w:rsid w:val="00F76A51"/>
    <w:rsid w:val="00F76BB2"/>
    <w:rsid w:val="00F76C52"/>
    <w:rsid w:val="00F76D7E"/>
    <w:rsid w:val="00F76EE8"/>
    <w:rsid w:val="00F76F19"/>
    <w:rsid w:val="00F76F85"/>
    <w:rsid w:val="00F774E1"/>
    <w:rsid w:val="00F77613"/>
    <w:rsid w:val="00F77665"/>
    <w:rsid w:val="00F776FC"/>
    <w:rsid w:val="00F77824"/>
    <w:rsid w:val="00F7787E"/>
    <w:rsid w:val="00F77C23"/>
    <w:rsid w:val="00F77D8D"/>
    <w:rsid w:val="00F77E22"/>
    <w:rsid w:val="00F7D725"/>
    <w:rsid w:val="00F8039F"/>
    <w:rsid w:val="00F8091C"/>
    <w:rsid w:val="00F80968"/>
    <w:rsid w:val="00F809F8"/>
    <w:rsid w:val="00F80A9F"/>
    <w:rsid w:val="00F80AAB"/>
    <w:rsid w:val="00F80BF6"/>
    <w:rsid w:val="00F80D91"/>
    <w:rsid w:val="00F80DDF"/>
    <w:rsid w:val="00F80FEC"/>
    <w:rsid w:val="00F816EE"/>
    <w:rsid w:val="00F81701"/>
    <w:rsid w:val="00F81914"/>
    <w:rsid w:val="00F81A22"/>
    <w:rsid w:val="00F81B49"/>
    <w:rsid w:val="00F81DE9"/>
    <w:rsid w:val="00F81FE1"/>
    <w:rsid w:val="00F82113"/>
    <w:rsid w:val="00F82425"/>
    <w:rsid w:val="00F8246C"/>
    <w:rsid w:val="00F82640"/>
    <w:rsid w:val="00F8270F"/>
    <w:rsid w:val="00F8275A"/>
    <w:rsid w:val="00F8280B"/>
    <w:rsid w:val="00F82858"/>
    <w:rsid w:val="00F82AE2"/>
    <w:rsid w:val="00F82B89"/>
    <w:rsid w:val="00F82BD1"/>
    <w:rsid w:val="00F82D07"/>
    <w:rsid w:val="00F82E21"/>
    <w:rsid w:val="00F82E79"/>
    <w:rsid w:val="00F83282"/>
    <w:rsid w:val="00F8337B"/>
    <w:rsid w:val="00F834A7"/>
    <w:rsid w:val="00F8367C"/>
    <w:rsid w:val="00F83765"/>
    <w:rsid w:val="00F8379F"/>
    <w:rsid w:val="00F83C30"/>
    <w:rsid w:val="00F83E32"/>
    <w:rsid w:val="00F83F3C"/>
    <w:rsid w:val="00F83FF3"/>
    <w:rsid w:val="00F840A3"/>
    <w:rsid w:val="00F8425A"/>
    <w:rsid w:val="00F84370"/>
    <w:rsid w:val="00F84732"/>
    <w:rsid w:val="00F849E9"/>
    <w:rsid w:val="00F84C41"/>
    <w:rsid w:val="00F84D73"/>
    <w:rsid w:val="00F8519C"/>
    <w:rsid w:val="00F851A7"/>
    <w:rsid w:val="00F85207"/>
    <w:rsid w:val="00F8553C"/>
    <w:rsid w:val="00F855D4"/>
    <w:rsid w:val="00F85642"/>
    <w:rsid w:val="00F858BD"/>
    <w:rsid w:val="00F85A2A"/>
    <w:rsid w:val="00F85B29"/>
    <w:rsid w:val="00F85B2B"/>
    <w:rsid w:val="00F85BF9"/>
    <w:rsid w:val="00F85C49"/>
    <w:rsid w:val="00F85CEE"/>
    <w:rsid w:val="00F85EC9"/>
    <w:rsid w:val="00F85F12"/>
    <w:rsid w:val="00F860D4"/>
    <w:rsid w:val="00F863CE"/>
    <w:rsid w:val="00F86671"/>
    <w:rsid w:val="00F86687"/>
    <w:rsid w:val="00F866C6"/>
    <w:rsid w:val="00F8677F"/>
    <w:rsid w:val="00F86977"/>
    <w:rsid w:val="00F869D8"/>
    <w:rsid w:val="00F86D64"/>
    <w:rsid w:val="00F86DDA"/>
    <w:rsid w:val="00F86DFE"/>
    <w:rsid w:val="00F86FD3"/>
    <w:rsid w:val="00F87029"/>
    <w:rsid w:val="00F870E0"/>
    <w:rsid w:val="00F87109"/>
    <w:rsid w:val="00F8715A"/>
    <w:rsid w:val="00F872EA"/>
    <w:rsid w:val="00F8754A"/>
    <w:rsid w:val="00F8776E"/>
    <w:rsid w:val="00F87797"/>
    <w:rsid w:val="00F87A12"/>
    <w:rsid w:val="00F87AC4"/>
    <w:rsid w:val="00F87B00"/>
    <w:rsid w:val="00F87BF8"/>
    <w:rsid w:val="00F87C50"/>
    <w:rsid w:val="00F87D62"/>
    <w:rsid w:val="00F87EB8"/>
    <w:rsid w:val="00F902DB"/>
    <w:rsid w:val="00F90392"/>
    <w:rsid w:val="00F905BC"/>
    <w:rsid w:val="00F90628"/>
    <w:rsid w:val="00F907C7"/>
    <w:rsid w:val="00F907E7"/>
    <w:rsid w:val="00F90A8A"/>
    <w:rsid w:val="00F90A8B"/>
    <w:rsid w:val="00F90BE7"/>
    <w:rsid w:val="00F90BF3"/>
    <w:rsid w:val="00F90CAF"/>
    <w:rsid w:val="00F90ED5"/>
    <w:rsid w:val="00F91063"/>
    <w:rsid w:val="00F9113F"/>
    <w:rsid w:val="00F91399"/>
    <w:rsid w:val="00F913B6"/>
    <w:rsid w:val="00F91470"/>
    <w:rsid w:val="00F914B9"/>
    <w:rsid w:val="00F91514"/>
    <w:rsid w:val="00F91A43"/>
    <w:rsid w:val="00F91B1E"/>
    <w:rsid w:val="00F91D11"/>
    <w:rsid w:val="00F91DA0"/>
    <w:rsid w:val="00F91E75"/>
    <w:rsid w:val="00F91F3C"/>
    <w:rsid w:val="00F92125"/>
    <w:rsid w:val="00F92354"/>
    <w:rsid w:val="00F9248B"/>
    <w:rsid w:val="00F9263B"/>
    <w:rsid w:val="00F92809"/>
    <w:rsid w:val="00F92849"/>
    <w:rsid w:val="00F92B3D"/>
    <w:rsid w:val="00F92C19"/>
    <w:rsid w:val="00F92DEF"/>
    <w:rsid w:val="00F93088"/>
    <w:rsid w:val="00F931D7"/>
    <w:rsid w:val="00F932CD"/>
    <w:rsid w:val="00F9333D"/>
    <w:rsid w:val="00F93482"/>
    <w:rsid w:val="00F93522"/>
    <w:rsid w:val="00F938D5"/>
    <w:rsid w:val="00F93955"/>
    <w:rsid w:val="00F939B4"/>
    <w:rsid w:val="00F939CD"/>
    <w:rsid w:val="00F939E4"/>
    <w:rsid w:val="00F939FF"/>
    <w:rsid w:val="00F93AAA"/>
    <w:rsid w:val="00F93B4F"/>
    <w:rsid w:val="00F93BF5"/>
    <w:rsid w:val="00F93CA9"/>
    <w:rsid w:val="00F93EC3"/>
    <w:rsid w:val="00F9411E"/>
    <w:rsid w:val="00F94414"/>
    <w:rsid w:val="00F9454E"/>
    <w:rsid w:val="00F945C6"/>
    <w:rsid w:val="00F94764"/>
    <w:rsid w:val="00F94A51"/>
    <w:rsid w:val="00F94C5A"/>
    <w:rsid w:val="00F94CA3"/>
    <w:rsid w:val="00F94DE9"/>
    <w:rsid w:val="00F95026"/>
    <w:rsid w:val="00F9511A"/>
    <w:rsid w:val="00F95438"/>
    <w:rsid w:val="00F9547A"/>
    <w:rsid w:val="00F95634"/>
    <w:rsid w:val="00F957D6"/>
    <w:rsid w:val="00F95900"/>
    <w:rsid w:val="00F95A04"/>
    <w:rsid w:val="00F95BF4"/>
    <w:rsid w:val="00F95BF9"/>
    <w:rsid w:val="00F95FD2"/>
    <w:rsid w:val="00F9617D"/>
    <w:rsid w:val="00F96304"/>
    <w:rsid w:val="00F96325"/>
    <w:rsid w:val="00F96362"/>
    <w:rsid w:val="00F963D1"/>
    <w:rsid w:val="00F964C7"/>
    <w:rsid w:val="00F9657C"/>
    <w:rsid w:val="00F9662D"/>
    <w:rsid w:val="00F968C4"/>
    <w:rsid w:val="00F968DC"/>
    <w:rsid w:val="00F9695B"/>
    <w:rsid w:val="00F96BEE"/>
    <w:rsid w:val="00F96CB5"/>
    <w:rsid w:val="00F96ED4"/>
    <w:rsid w:val="00F9743C"/>
    <w:rsid w:val="00F9745F"/>
    <w:rsid w:val="00F97579"/>
    <w:rsid w:val="00F976D8"/>
    <w:rsid w:val="00F97790"/>
    <w:rsid w:val="00F978D0"/>
    <w:rsid w:val="00F9791F"/>
    <w:rsid w:val="00F97991"/>
    <w:rsid w:val="00F97A1B"/>
    <w:rsid w:val="00F97B23"/>
    <w:rsid w:val="00F97B56"/>
    <w:rsid w:val="00F97C8E"/>
    <w:rsid w:val="00F97CB8"/>
    <w:rsid w:val="00F97F42"/>
    <w:rsid w:val="00FA0167"/>
    <w:rsid w:val="00FA01C9"/>
    <w:rsid w:val="00FA0341"/>
    <w:rsid w:val="00FA046B"/>
    <w:rsid w:val="00FA0526"/>
    <w:rsid w:val="00FA0567"/>
    <w:rsid w:val="00FA0640"/>
    <w:rsid w:val="00FA06A2"/>
    <w:rsid w:val="00FA082F"/>
    <w:rsid w:val="00FA0A09"/>
    <w:rsid w:val="00FA0A73"/>
    <w:rsid w:val="00FA0AF0"/>
    <w:rsid w:val="00FA0C71"/>
    <w:rsid w:val="00FA0CDE"/>
    <w:rsid w:val="00FA0CDF"/>
    <w:rsid w:val="00FA0D98"/>
    <w:rsid w:val="00FA0F6E"/>
    <w:rsid w:val="00FA1079"/>
    <w:rsid w:val="00FA1204"/>
    <w:rsid w:val="00FA120A"/>
    <w:rsid w:val="00FA1247"/>
    <w:rsid w:val="00FA1344"/>
    <w:rsid w:val="00FA137B"/>
    <w:rsid w:val="00FA15C7"/>
    <w:rsid w:val="00FA176E"/>
    <w:rsid w:val="00FA1B84"/>
    <w:rsid w:val="00FA1BC4"/>
    <w:rsid w:val="00FA1CD0"/>
    <w:rsid w:val="00FA1D53"/>
    <w:rsid w:val="00FA1D64"/>
    <w:rsid w:val="00FA1D89"/>
    <w:rsid w:val="00FA1DEF"/>
    <w:rsid w:val="00FA1E19"/>
    <w:rsid w:val="00FA2090"/>
    <w:rsid w:val="00FA211B"/>
    <w:rsid w:val="00FA214D"/>
    <w:rsid w:val="00FA2414"/>
    <w:rsid w:val="00FA2415"/>
    <w:rsid w:val="00FA244D"/>
    <w:rsid w:val="00FA24E8"/>
    <w:rsid w:val="00FA28E9"/>
    <w:rsid w:val="00FA2A40"/>
    <w:rsid w:val="00FA2AA5"/>
    <w:rsid w:val="00FA2C7E"/>
    <w:rsid w:val="00FA2CB7"/>
    <w:rsid w:val="00FA2D08"/>
    <w:rsid w:val="00FA2D52"/>
    <w:rsid w:val="00FA310B"/>
    <w:rsid w:val="00FA3282"/>
    <w:rsid w:val="00FA3649"/>
    <w:rsid w:val="00FA3883"/>
    <w:rsid w:val="00FA3A7F"/>
    <w:rsid w:val="00FA3B5C"/>
    <w:rsid w:val="00FA3BC8"/>
    <w:rsid w:val="00FA3CBF"/>
    <w:rsid w:val="00FA3E5A"/>
    <w:rsid w:val="00FA3F73"/>
    <w:rsid w:val="00FA45B6"/>
    <w:rsid w:val="00FA476A"/>
    <w:rsid w:val="00FA4909"/>
    <w:rsid w:val="00FA4957"/>
    <w:rsid w:val="00FA4A32"/>
    <w:rsid w:val="00FA4A6E"/>
    <w:rsid w:val="00FA4A7A"/>
    <w:rsid w:val="00FA4CF8"/>
    <w:rsid w:val="00FA4D9A"/>
    <w:rsid w:val="00FA50C8"/>
    <w:rsid w:val="00FA520D"/>
    <w:rsid w:val="00FA5780"/>
    <w:rsid w:val="00FA580A"/>
    <w:rsid w:val="00FA5942"/>
    <w:rsid w:val="00FA59A1"/>
    <w:rsid w:val="00FA5C11"/>
    <w:rsid w:val="00FA5C60"/>
    <w:rsid w:val="00FA5C89"/>
    <w:rsid w:val="00FA5DBC"/>
    <w:rsid w:val="00FA5EF8"/>
    <w:rsid w:val="00FA5FB2"/>
    <w:rsid w:val="00FA5FE7"/>
    <w:rsid w:val="00FA60E5"/>
    <w:rsid w:val="00FA6194"/>
    <w:rsid w:val="00FA61A7"/>
    <w:rsid w:val="00FA62EA"/>
    <w:rsid w:val="00FA64C6"/>
    <w:rsid w:val="00FA6610"/>
    <w:rsid w:val="00FA688A"/>
    <w:rsid w:val="00FA6A3C"/>
    <w:rsid w:val="00FA6A7A"/>
    <w:rsid w:val="00FA700C"/>
    <w:rsid w:val="00FA703D"/>
    <w:rsid w:val="00FA7173"/>
    <w:rsid w:val="00FA72D7"/>
    <w:rsid w:val="00FA73B3"/>
    <w:rsid w:val="00FA7563"/>
    <w:rsid w:val="00FA760D"/>
    <w:rsid w:val="00FA7763"/>
    <w:rsid w:val="00FA7A42"/>
    <w:rsid w:val="00FA7C83"/>
    <w:rsid w:val="00FA7D92"/>
    <w:rsid w:val="00FA7F4B"/>
    <w:rsid w:val="00FB004A"/>
    <w:rsid w:val="00FB008F"/>
    <w:rsid w:val="00FB00BB"/>
    <w:rsid w:val="00FB0172"/>
    <w:rsid w:val="00FB01EC"/>
    <w:rsid w:val="00FB0238"/>
    <w:rsid w:val="00FB023B"/>
    <w:rsid w:val="00FB07A7"/>
    <w:rsid w:val="00FB08C4"/>
    <w:rsid w:val="00FB0916"/>
    <w:rsid w:val="00FB0ACD"/>
    <w:rsid w:val="00FB0B4B"/>
    <w:rsid w:val="00FB0C4C"/>
    <w:rsid w:val="00FB0CF5"/>
    <w:rsid w:val="00FB0E15"/>
    <w:rsid w:val="00FB0EC8"/>
    <w:rsid w:val="00FB0F58"/>
    <w:rsid w:val="00FB0F96"/>
    <w:rsid w:val="00FB10E4"/>
    <w:rsid w:val="00FB1102"/>
    <w:rsid w:val="00FB1631"/>
    <w:rsid w:val="00FB19C2"/>
    <w:rsid w:val="00FB1B64"/>
    <w:rsid w:val="00FB2239"/>
    <w:rsid w:val="00FB24AA"/>
    <w:rsid w:val="00FB25A5"/>
    <w:rsid w:val="00FB27C3"/>
    <w:rsid w:val="00FB29B7"/>
    <w:rsid w:val="00FB29CC"/>
    <w:rsid w:val="00FB29D1"/>
    <w:rsid w:val="00FB2A40"/>
    <w:rsid w:val="00FB2C0D"/>
    <w:rsid w:val="00FB2DBB"/>
    <w:rsid w:val="00FB2E3B"/>
    <w:rsid w:val="00FB3047"/>
    <w:rsid w:val="00FB31E6"/>
    <w:rsid w:val="00FB3204"/>
    <w:rsid w:val="00FB3463"/>
    <w:rsid w:val="00FB349C"/>
    <w:rsid w:val="00FB3652"/>
    <w:rsid w:val="00FB367F"/>
    <w:rsid w:val="00FB3843"/>
    <w:rsid w:val="00FB38B0"/>
    <w:rsid w:val="00FB39DB"/>
    <w:rsid w:val="00FB3E70"/>
    <w:rsid w:val="00FB3EE9"/>
    <w:rsid w:val="00FB400F"/>
    <w:rsid w:val="00FB47F2"/>
    <w:rsid w:val="00FB5049"/>
    <w:rsid w:val="00FB51A1"/>
    <w:rsid w:val="00FB53BF"/>
    <w:rsid w:val="00FB5703"/>
    <w:rsid w:val="00FB5933"/>
    <w:rsid w:val="00FB5AF8"/>
    <w:rsid w:val="00FB5D18"/>
    <w:rsid w:val="00FB5D5B"/>
    <w:rsid w:val="00FB5D6C"/>
    <w:rsid w:val="00FB6266"/>
    <w:rsid w:val="00FB62A6"/>
    <w:rsid w:val="00FB631E"/>
    <w:rsid w:val="00FB63E2"/>
    <w:rsid w:val="00FB6808"/>
    <w:rsid w:val="00FB6826"/>
    <w:rsid w:val="00FB6848"/>
    <w:rsid w:val="00FB69DD"/>
    <w:rsid w:val="00FB6D39"/>
    <w:rsid w:val="00FB6FF7"/>
    <w:rsid w:val="00FB74F9"/>
    <w:rsid w:val="00FB751B"/>
    <w:rsid w:val="00FB75DD"/>
    <w:rsid w:val="00FB7836"/>
    <w:rsid w:val="00FB7A85"/>
    <w:rsid w:val="00FB7ADE"/>
    <w:rsid w:val="00FB7BEA"/>
    <w:rsid w:val="00FB7D54"/>
    <w:rsid w:val="00FB7DAA"/>
    <w:rsid w:val="00FBFED5"/>
    <w:rsid w:val="00FC00B9"/>
    <w:rsid w:val="00FC028C"/>
    <w:rsid w:val="00FC044F"/>
    <w:rsid w:val="00FC0457"/>
    <w:rsid w:val="00FC05F2"/>
    <w:rsid w:val="00FC0931"/>
    <w:rsid w:val="00FC0A2D"/>
    <w:rsid w:val="00FC107E"/>
    <w:rsid w:val="00FC1085"/>
    <w:rsid w:val="00FC11B2"/>
    <w:rsid w:val="00FC1358"/>
    <w:rsid w:val="00FC13A8"/>
    <w:rsid w:val="00FC13BC"/>
    <w:rsid w:val="00FC1443"/>
    <w:rsid w:val="00FC1592"/>
    <w:rsid w:val="00FC1740"/>
    <w:rsid w:val="00FC1D1A"/>
    <w:rsid w:val="00FC218E"/>
    <w:rsid w:val="00FC24E3"/>
    <w:rsid w:val="00FC2758"/>
    <w:rsid w:val="00FC28CB"/>
    <w:rsid w:val="00FC294D"/>
    <w:rsid w:val="00FC29BB"/>
    <w:rsid w:val="00FC2A76"/>
    <w:rsid w:val="00FC2BB8"/>
    <w:rsid w:val="00FC2D1D"/>
    <w:rsid w:val="00FC2E32"/>
    <w:rsid w:val="00FC309B"/>
    <w:rsid w:val="00FC312B"/>
    <w:rsid w:val="00FC31E8"/>
    <w:rsid w:val="00FC33D4"/>
    <w:rsid w:val="00FC36A4"/>
    <w:rsid w:val="00FC3773"/>
    <w:rsid w:val="00FC3A70"/>
    <w:rsid w:val="00FC3C15"/>
    <w:rsid w:val="00FC3DF0"/>
    <w:rsid w:val="00FC3E81"/>
    <w:rsid w:val="00FC4150"/>
    <w:rsid w:val="00FC4495"/>
    <w:rsid w:val="00FC44C4"/>
    <w:rsid w:val="00FC4517"/>
    <w:rsid w:val="00FC48B8"/>
    <w:rsid w:val="00FC4A54"/>
    <w:rsid w:val="00FC4A97"/>
    <w:rsid w:val="00FC4B00"/>
    <w:rsid w:val="00FC4B32"/>
    <w:rsid w:val="00FC4B72"/>
    <w:rsid w:val="00FC4D2A"/>
    <w:rsid w:val="00FC4DC0"/>
    <w:rsid w:val="00FC5041"/>
    <w:rsid w:val="00FC5084"/>
    <w:rsid w:val="00FC557A"/>
    <w:rsid w:val="00FC57B3"/>
    <w:rsid w:val="00FC58EE"/>
    <w:rsid w:val="00FC59F6"/>
    <w:rsid w:val="00FC5A4F"/>
    <w:rsid w:val="00FC5AC8"/>
    <w:rsid w:val="00FC5C56"/>
    <w:rsid w:val="00FC5D13"/>
    <w:rsid w:val="00FC6104"/>
    <w:rsid w:val="00FC63AF"/>
    <w:rsid w:val="00FC63E2"/>
    <w:rsid w:val="00FC66CE"/>
    <w:rsid w:val="00FC674E"/>
    <w:rsid w:val="00FC6940"/>
    <w:rsid w:val="00FC6C56"/>
    <w:rsid w:val="00FC6E5B"/>
    <w:rsid w:val="00FC6F51"/>
    <w:rsid w:val="00FC70C1"/>
    <w:rsid w:val="00FC725C"/>
    <w:rsid w:val="00FC72F2"/>
    <w:rsid w:val="00FC7576"/>
    <w:rsid w:val="00FC7841"/>
    <w:rsid w:val="00FC7B36"/>
    <w:rsid w:val="00FC7DE6"/>
    <w:rsid w:val="00FC7EEE"/>
    <w:rsid w:val="00FD02B4"/>
    <w:rsid w:val="00FD0394"/>
    <w:rsid w:val="00FD0432"/>
    <w:rsid w:val="00FD05FB"/>
    <w:rsid w:val="00FD0876"/>
    <w:rsid w:val="00FD09FF"/>
    <w:rsid w:val="00FD0A41"/>
    <w:rsid w:val="00FD0A63"/>
    <w:rsid w:val="00FD0B39"/>
    <w:rsid w:val="00FD0C22"/>
    <w:rsid w:val="00FD0D39"/>
    <w:rsid w:val="00FD0DD4"/>
    <w:rsid w:val="00FD0FED"/>
    <w:rsid w:val="00FD1185"/>
    <w:rsid w:val="00FD1343"/>
    <w:rsid w:val="00FD1584"/>
    <w:rsid w:val="00FD1AE6"/>
    <w:rsid w:val="00FD1D3B"/>
    <w:rsid w:val="00FD1DAC"/>
    <w:rsid w:val="00FD206F"/>
    <w:rsid w:val="00FD2680"/>
    <w:rsid w:val="00FD27A8"/>
    <w:rsid w:val="00FD27AB"/>
    <w:rsid w:val="00FD2813"/>
    <w:rsid w:val="00FD2A84"/>
    <w:rsid w:val="00FD2B20"/>
    <w:rsid w:val="00FD2BE0"/>
    <w:rsid w:val="00FD2E9F"/>
    <w:rsid w:val="00FD3049"/>
    <w:rsid w:val="00FD3104"/>
    <w:rsid w:val="00FD310D"/>
    <w:rsid w:val="00FD3267"/>
    <w:rsid w:val="00FD351B"/>
    <w:rsid w:val="00FD3926"/>
    <w:rsid w:val="00FD39A8"/>
    <w:rsid w:val="00FD3AB2"/>
    <w:rsid w:val="00FD3AE0"/>
    <w:rsid w:val="00FD3AF9"/>
    <w:rsid w:val="00FD3C4F"/>
    <w:rsid w:val="00FD3D56"/>
    <w:rsid w:val="00FD3DA3"/>
    <w:rsid w:val="00FD3EC7"/>
    <w:rsid w:val="00FD3FD5"/>
    <w:rsid w:val="00FD40CA"/>
    <w:rsid w:val="00FD43DF"/>
    <w:rsid w:val="00FD4773"/>
    <w:rsid w:val="00FD49A8"/>
    <w:rsid w:val="00FD4CBB"/>
    <w:rsid w:val="00FD4FC0"/>
    <w:rsid w:val="00FD4FF2"/>
    <w:rsid w:val="00FD505C"/>
    <w:rsid w:val="00FD5113"/>
    <w:rsid w:val="00FD5209"/>
    <w:rsid w:val="00FD53CD"/>
    <w:rsid w:val="00FD53DF"/>
    <w:rsid w:val="00FD5755"/>
    <w:rsid w:val="00FD5B82"/>
    <w:rsid w:val="00FD5D0E"/>
    <w:rsid w:val="00FD5D7B"/>
    <w:rsid w:val="00FD5DC9"/>
    <w:rsid w:val="00FD6053"/>
    <w:rsid w:val="00FD6175"/>
    <w:rsid w:val="00FD625C"/>
    <w:rsid w:val="00FD62A8"/>
    <w:rsid w:val="00FD630C"/>
    <w:rsid w:val="00FD660C"/>
    <w:rsid w:val="00FD67FC"/>
    <w:rsid w:val="00FD68AC"/>
    <w:rsid w:val="00FD6A40"/>
    <w:rsid w:val="00FD6EA9"/>
    <w:rsid w:val="00FD7076"/>
    <w:rsid w:val="00FD7452"/>
    <w:rsid w:val="00FD76D1"/>
    <w:rsid w:val="00FD7763"/>
    <w:rsid w:val="00FD7845"/>
    <w:rsid w:val="00FD78FB"/>
    <w:rsid w:val="00FD7996"/>
    <w:rsid w:val="00FD7B75"/>
    <w:rsid w:val="00FD7BDA"/>
    <w:rsid w:val="00FD7C65"/>
    <w:rsid w:val="00FD7D69"/>
    <w:rsid w:val="00FD7DF7"/>
    <w:rsid w:val="00FD7FF0"/>
    <w:rsid w:val="00FE0050"/>
    <w:rsid w:val="00FE027E"/>
    <w:rsid w:val="00FE0286"/>
    <w:rsid w:val="00FE031C"/>
    <w:rsid w:val="00FE0951"/>
    <w:rsid w:val="00FE0AF6"/>
    <w:rsid w:val="00FE0BBF"/>
    <w:rsid w:val="00FE0BFB"/>
    <w:rsid w:val="00FE0C19"/>
    <w:rsid w:val="00FE0C76"/>
    <w:rsid w:val="00FE12F0"/>
    <w:rsid w:val="00FE151B"/>
    <w:rsid w:val="00FE17CB"/>
    <w:rsid w:val="00FE181C"/>
    <w:rsid w:val="00FE1AD1"/>
    <w:rsid w:val="00FE1ADE"/>
    <w:rsid w:val="00FE1B02"/>
    <w:rsid w:val="00FE1B9E"/>
    <w:rsid w:val="00FE1D5D"/>
    <w:rsid w:val="00FE1D9F"/>
    <w:rsid w:val="00FE1DA6"/>
    <w:rsid w:val="00FE1E8B"/>
    <w:rsid w:val="00FE205E"/>
    <w:rsid w:val="00FE213D"/>
    <w:rsid w:val="00FE2459"/>
    <w:rsid w:val="00FE2580"/>
    <w:rsid w:val="00FE25C4"/>
    <w:rsid w:val="00FE2746"/>
    <w:rsid w:val="00FE2CA0"/>
    <w:rsid w:val="00FE2CB4"/>
    <w:rsid w:val="00FE2DD9"/>
    <w:rsid w:val="00FE3135"/>
    <w:rsid w:val="00FE3298"/>
    <w:rsid w:val="00FE32FA"/>
    <w:rsid w:val="00FE3624"/>
    <w:rsid w:val="00FE369D"/>
    <w:rsid w:val="00FE36CD"/>
    <w:rsid w:val="00FE3778"/>
    <w:rsid w:val="00FE3AC0"/>
    <w:rsid w:val="00FE3C0C"/>
    <w:rsid w:val="00FE3F20"/>
    <w:rsid w:val="00FE4060"/>
    <w:rsid w:val="00FE4274"/>
    <w:rsid w:val="00FE4318"/>
    <w:rsid w:val="00FE44E7"/>
    <w:rsid w:val="00FE45F6"/>
    <w:rsid w:val="00FE4710"/>
    <w:rsid w:val="00FE48CA"/>
    <w:rsid w:val="00FE4AB2"/>
    <w:rsid w:val="00FE4B47"/>
    <w:rsid w:val="00FE4E66"/>
    <w:rsid w:val="00FE54FB"/>
    <w:rsid w:val="00FE55A1"/>
    <w:rsid w:val="00FE55BE"/>
    <w:rsid w:val="00FE578B"/>
    <w:rsid w:val="00FE5887"/>
    <w:rsid w:val="00FE5914"/>
    <w:rsid w:val="00FE59BF"/>
    <w:rsid w:val="00FE5A3E"/>
    <w:rsid w:val="00FE5AF6"/>
    <w:rsid w:val="00FE5D04"/>
    <w:rsid w:val="00FE5D4E"/>
    <w:rsid w:val="00FE5F5C"/>
    <w:rsid w:val="00FE5FEF"/>
    <w:rsid w:val="00FE607E"/>
    <w:rsid w:val="00FE6346"/>
    <w:rsid w:val="00FE6818"/>
    <w:rsid w:val="00FE69AC"/>
    <w:rsid w:val="00FE6FD7"/>
    <w:rsid w:val="00FE72BD"/>
    <w:rsid w:val="00FE7C19"/>
    <w:rsid w:val="00FE7D54"/>
    <w:rsid w:val="00FE7DFF"/>
    <w:rsid w:val="00FF01D1"/>
    <w:rsid w:val="00FF05AE"/>
    <w:rsid w:val="00FF073E"/>
    <w:rsid w:val="00FF0A94"/>
    <w:rsid w:val="00FF0C12"/>
    <w:rsid w:val="00FF0DDE"/>
    <w:rsid w:val="00FF0E93"/>
    <w:rsid w:val="00FF1051"/>
    <w:rsid w:val="00FF1406"/>
    <w:rsid w:val="00FF16D1"/>
    <w:rsid w:val="00FF16F5"/>
    <w:rsid w:val="00FF173C"/>
    <w:rsid w:val="00FF1785"/>
    <w:rsid w:val="00FF178A"/>
    <w:rsid w:val="00FF17DE"/>
    <w:rsid w:val="00FF17F8"/>
    <w:rsid w:val="00FF1801"/>
    <w:rsid w:val="00FF189E"/>
    <w:rsid w:val="00FF18EB"/>
    <w:rsid w:val="00FF1A1B"/>
    <w:rsid w:val="00FF1B15"/>
    <w:rsid w:val="00FF1D24"/>
    <w:rsid w:val="00FF200A"/>
    <w:rsid w:val="00FF235B"/>
    <w:rsid w:val="00FF24B7"/>
    <w:rsid w:val="00FF24EC"/>
    <w:rsid w:val="00FF2A22"/>
    <w:rsid w:val="00FF2B9B"/>
    <w:rsid w:val="00FF2C84"/>
    <w:rsid w:val="00FF2CD1"/>
    <w:rsid w:val="00FF2CF9"/>
    <w:rsid w:val="00FF2FDE"/>
    <w:rsid w:val="00FF3101"/>
    <w:rsid w:val="00FF32A4"/>
    <w:rsid w:val="00FF32AB"/>
    <w:rsid w:val="00FF3693"/>
    <w:rsid w:val="00FF399E"/>
    <w:rsid w:val="00FF3A06"/>
    <w:rsid w:val="00FF3E91"/>
    <w:rsid w:val="00FF424D"/>
    <w:rsid w:val="00FF432D"/>
    <w:rsid w:val="00FF43F3"/>
    <w:rsid w:val="00FF46D8"/>
    <w:rsid w:val="00FF4A94"/>
    <w:rsid w:val="00FF4E05"/>
    <w:rsid w:val="00FF4FDC"/>
    <w:rsid w:val="00FF4FF9"/>
    <w:rsid w:val="00FF524E"/>
    <w:rsid w:val="00FF53CF"/>
    <w:rsid w:val="00FF552F"/>
    <w:rsid w:val="00FF5607"/>
    <w:rsid w:val="00FF56DC"/>
    <w:rsid w:val="00FF5945"/>
    <w:rsid w:val="00FF6143"/>
    <w:rsid w:val="00FF6264"/>
    <w:rsid w:val="00FF633B"/>
    <w:rsid w:val="00FF642E"/>
    <w:rsid w:val="00FF6465"/>
    <w:rsid w:val="00FF647D"/>
    <w:rsid w:val="00FF64B8"/>
    <w:rsid w:val="00FF666E"/>
    <w:rsid w:val="00FF669F"/>
    <w:rsid w:val="00FF68F2"/>
    <w:rsid w:val="00FF6A62"/>
    <w:rsid w:val="00FF6A6A"/>
    <w:rsid w:val="00FF6B9C"/>
    <w:rsid w:val="00FF6BAA"/>
    <w:rsid w:val="00FF6D9D"/>
    <w:rsid w:val="00FF6DE4"/>
    <w:rsid w:val="00FF6E02"/>
    <w:rsid w:val="00FF6E68"/>
    <w:rsid w:val="00FF7031"/>
    <w:rsid w:val="00FF7105"/>
    <w:rsid w:val="00FF7156"/>
    <w:rsid w:val="00FF715A"/>
    <w:rsid w:val="00FF720C"/>
    <w:rsid w:val="00FF728C"/>
    <w:rsid w:val="00FF74B8"/>
    <w:rsid w:val="00FF75C0"/>
    <w:rsid w:val="00FF7702"/>
    <w:rsid w:val="00FF7757"/>
    <w:rsid w:val="00FF7858"/>
    <w:rsid w:val="00FF793D"/>
    <w:rsid w:val="00FF7A4B"/>
    <w:rsid w:val="00FF7AFA"/>
    <w:rsid w:val="00FF7BB2"/>
    <w:rsid w:val="00FF7C2B"/>
    <w:rsid w:val="00FF7C93"/>
    <w:rsid w:val="00FF7DF3"/>
    <w:rsid w:val="00FF7EED"/>
    <w:rsid w:val="00FF7F12"/>
    <w:rsid w:val="00FF7FCB"/>
    <w:rsid w:val="010BF4B4"/>
    <w:rsid w:val="010C1BDF"/>
    <w:rsid w:val="0116337E"/>
    <w:rsid w:val="01192CD8"/>
    <w:rsid w:val="011DE757"/>
    <w:rsid w:val="0121ADD3"/>
    <w:rsid w:val="01260D07"/>
    <w:rsid w:val="012BCBD9"/>
    <w:rsid w:val="012DF9F8"/>
    <w:rsid w:val="012EB5F5"/>
    <w:rsid w:val="012F10E9"/>
    <w:rsid w:val="0131BE18"/>
    <w:rsid w:val="0133A066"/>
    <w:rsid w:val="01386322"/>
    <w:rsid w:val="0139F6DF"/>
    <w:rsid w:val="013BF9CA"/>
    <w:rsid w:val="013D1335"/>
    <w:rsid w:val="013F9E30"/>
    <w:rsid w:val="0142E759"/>
    <w:rsid w:val="014421C2"/>
    <w:rsid w:val="014A2AD1"/>
    <w:rsid w:val="014B588C"/>
    <w:rsid w:val="01532691"/>
    <w:rsid w:val="0154FF51"/>
    <w:rsid w:val="01582705"/>
    <w:rsid w:val="015A1A4A"/>
    <w:rsid w:val="015F953E"/>
    <w:rsid w:val="0161DDCE"/>
    <w:rsid w:val="0169D00E"/>
    <w:rsid w:val="016AEF57"/>
    <w:rsid w:val="016B20AB"/>
    <w:rsid w:val="016C7DED"/>
    <w:rsid w:val="016CCA41"/>
    <w:rsid w:val="016CCD9B"/>
    <w:rsid w:val="016DAED6"/>
    <w:rsid w:val="016DECEE"/>
    <w:rsid w:val="016EB202"/>
    <w:rsid w:val="01704296"/>
    <w:rsid w:val="0173B68E"/>
    <w:rsid w:val="017A863E"/>
    <w:rsid w:val="017C1596"/>
    <w:rsid w:val="01818B4F"/>
    <w:rsid w:val="01864CF4"/>
    <w:rsid w:val="0186FFF5"/>
    <w:rsid w:val="018743F1"/>
    <w:rsid w:val="01880D1A"/>
    <w:rsid w:val="018B28C2"/>
    <w:rsid w:val="018CD6E6"/>
    <w:rsid w:val="018DAFEF"/>
    <w:rsid w:val="0190B7F4"/>
    <w:rsid w:val="0193CCB5"/>
    <w:rsid w:val="0198AF72"/>
    <w:rsid w:val="019FA047"/>
    <w:rsid w:val="019FF7AB"/>
    <w:rsid w:val="01A16400"/>
    <w:rsid w:val="01A2E568"/>
    <w:rsid w:val="01A35B68"/>
    <w:rsid w:val="01A45F72"/>
    <w:rsid w:val="01A46346"/>
    <w:rsid w:val="01A9D154"/>
    <w:rsid w:val="01AFA87E"/>
    <w:rsid w:val="01B13246"/>
    <w:rsid w:val="01B2A7E4"/>
    <w:rsid w:val="01BAE76B"/>
    <w:rsid w:val="01BC1092"/>
    <w:rsid w:val="01C65546"/>
    <w:rsid w:val="01CCC6FC"/>
    <w:rsid w:val="01CD6602"/>
    <w:rsid w:val="01D21274"/>
    <w:rsid w:val="01D25B76"/>
    <w:rsid w:val="01D40764"/>
    <w:rsid w:val="01D4602F"/>
    <w:rsid w:val="01D7326A"/>
    <w:rsid w:val="01D7E1D3"/>
    <w:rsid w:val="01DC61C8"/>
    <w:rsid w:val="01E6DFC7"/>
    <w:rsid w:val="01F1B8F5"/>
    <w:rsid w:val="01F8368F"/>
    <w:rsid w:val="01F96B0C"/>
    <w:rsid w:val="01FEF751"/>
    <w:rsid w:val="01FF32EB"/>
    <w:rsid w:val="02016F3D"/>
    <w:rsid w:val="02021174"/>
    <w:rsid w:val="0204CEB4"/>
    <w:rsid w:val="0205EAA4"/>
    <w:rsid w:val="0208A1C5"/>
    <w:rsid w:val="0216E2FB"/>
    <w:rsid w:val="021781D2"/>
    <w:rsid w:val="021AE156"/>
    <w:rsid w:val="021D1D1C"/>
    <w:rsid w:val="0221DB62"/>
    <w:rsid w:val="02263F6B"/>
    <w:rsid w:val="022830B9"/>
    <w:rsid w:val="022B55D7"/>
    <w:rsid w:val="022C1C39"/>
    <w:rsid w:val="022C3524"/>
    <w:rsid w:val="0231D4DA"/>
    <w:rsid w:val="0237613D"/>
    <w:rsid w:val="023B7742"/>
    <w:rsid w:val="023CD826"/>
    <w:rsid w:val="02406457"/>
    <w:rsid w:val="02438E4D"/>
    <w:rsid w:val="0248F293"/>
    <w:rsid w:val="024B3D10"/>
    <w:rsid w:val="024F02CA"/>
    <w:rsid w:val="0254DAB2"/>
    <w:rsid w:val="02553FC6"/>
    <w:rsid w:val="02565761"/>
    <w:rsid w:val="025896A9"/>
    <w:rsid w:val="0258A02F"/>
    <w:rsid w:val="025BB2C4"/>
    <w:rsid w:val="0268E9CC"/>
    <w:rsid w:val="026AECCA"/>
    <w:rsid w:val="02700DA1"/>
    <w:rsid w:val="0274C65C"/>
    <w:rsid w:val="0274FDA6"/>
    <w:rsid w:val="02767881"/>
    <w:rsid w:val="02769283"/>
    <w:rsid w:val="027C8197"/>
    <w:rsid w:val="027E092D"/>
    <w:rsid w:val="0283B03C"/>
    <w:rsid w:val="0287B560"/>
    <w:rsid w:val="0288C308"/>
    <w:rsid w:val="029132D4"/>
    <w:rsid w:val="0294CEC0"/>
    <w:rsid w:val="0295C5D7"/>
    <w:rsid w:val="02963DD8"/>
    <w:rsid w:val="029C12DB"/>
    <w:rsid w:val="029CECFF"/>
    <w:rsid w:val="029D590E"/>
    <w:rsid w:val="02A6BC1F"/>
    <w:rsid w:val="02AD55F1"/>
    <w:rsid w:val="02B3ADC1"/>
    <w:rsid w:val="02BBCD27"/>
    <w:rsid w:val="02C9C000"/>
    <w:rsid w:val="02D07FDE"/>
    <w:rsid w:val="02D0B347"/>
    <w:rsid w:val="02D55C5F"/>
    <w:rsid w:val="02D632AB"/>
    <w:rsid w:val="02D6F581"/>
    <w:rsid w:val="02DCA3F0"/>
    <w:rsid w:val="02DE3FFE"/>
    <w:rsid w:val="02DEFCE7"/>
    <w:rsid w:val="02E4DF32"/>
    <w:rsid w:val="02E5667B"/>
    <w:rsid w:val="02E9C0B9"/>
    <w:rsid w:val="02EDAAD5"/>
    <w:rsid w:val="02EFC777"/>
    <w:rsid w:val="02F1CA52"/>
    <w:rsid w:val="02F28CFE"/>
    <w:rsid w:val="02F2B39E"/>
    <w:rsid w:val="02F85BD1"/>
    <w:rsid w:val="02FAED06"/>
    <w:rsid w:val="02FC875D"/>
    <w:rsid w:val="0304F141"/>
    <w:rsid w:val="030528B3"/>
    <w:rsid w:val="030A2F46"/>
    <w:rsid w:val="030E65E7"/>
    <w:rsid w:val="030F32B8"/>
    <w:rsid w:val="0310689F"/>
    <w:rsid w:val="0315F550"/>
    <w:rsid w:val="03169834"/>
    <w:rsid w:val="03274864"/>
    <w:rsid w:val="03360E0B"/>
    <w:rsid w:val="033613AD"/>
    <w:rsid w:val="0336B824"/>
    <w:rsid w:val="033846EF"/>
    <w:rsid w:val="03384D3B"/>
    <w:rsid w:val="033A7339"/>
    <w:rsid w:val="033BFAB0"/>
    <w:rsid w:val="033D6047"/>
    <w:rsid w:val="034DA27A"/>
    <w:rsid w:val="035167EA"/>
    <w:rsid w:val="03518713"/>
    <w:rsid w:val="03527358"/>
    <w:rsid w:val="0356F076"/>
    <w:rsid w:val="0359D870"/>
    <w:rsid w:val="036BAD1A"/>
    <w:rsid w:val="036FEDA8"/>
    <w:rsid w:val="037373A0"/>
    <w:rsid w:val="0375F0F8"/>
    <w:rsid w:val="037A7926"/>
    <w:rsid w:val="037D51FE"/>
    <w:rsid w:val="03810165"/>
    <w:rsid w:val="038543D5"/>
    <w:rsid w:val="03883EA1"/>
    <w:rsid w:val="03884FEF"/>
    <w:rsid w:val="03948414"/>
    <w:rsid w:val="0398C29D"/>
    <w:rsid w:val="03992A5C"/>
    <w:rsid w:val="03997463"/>
    <w:rsid w:val="039ABD72"/>
    <w:rsid w:val="039D53EA"/>
    <w:rsid w:val="039F098B"/>
    <w:rsid w:val="039F9C6F"/>
    <w:rsid w:val="03A2F458"/>
    <w:rsid w:val="03A3019C"/>
    <w:rsid w:val="03A92BAD"/>
    <w:rsid w:val="03A97CF2"/>
    <w:rsid w:val="03A9BCCA"/>
    <w:rsid w:val="03AA83F2"/>
    <w:rsid w:val="03AA8E0D"/>
    <w:rsid w:val="03AA9C61"/>
    <w:rsid w:val="03ABAF2E"/>
    <w:rsid w:val="03AEEC8B"/>
    <w:rsid w:val="03B04785"/>
    <w:rsid w:val="03B11D7C"/>
    <w:rsid w:val="03B2E4E1"/>
    <w:rsid w:val="03B5F5E3"/>
    <w:rsid w:val="03B8C2EB"/>
    <w:rsid w:val="03B9E040"/>
    <w:rsid w:val="03BB5473"/>
    <w:rsid w:val="03BB5FCD"/>
    <w:rsid w:val="03BE627C"/>
    <w:rsid w:val="03BE77F3"/>
    <w:rsid w:val="03C28D5F"/>
    <w:rsid w:val="03C7A149"/>
    <w:rsid w:val="03DB1767"/>
    <w:rsid w:val="03E02690"/>
    <w:rsid w:val="03EA125B"/>
    <w:rsid w:val="03EA9BE7"/>
    <w:rsid w:val="03EC746C"/>
    <w:rsid w:val="03EE159E"/>
    <w:rsid w:val="03F3A8AC"/>
    <w:rsid w:val="03FA3AB6"/>
    <w:rsid w:val="03FACB2D"/>
    <w:rsid w:val="03FB64B8"/>
    <w:rsid w:val="03FBCD7A"/>
    <w:rsid w:val="03FCA402"/>
    <w:rsid w:val="03FF574F"/>
    <w:rsid w:val="04027397"/>
    <w:rsid w:val="04038CA4"/>
    <w:rsid w:val="0403F376"/>
    <w:rsid w:val="0406915B"/>
    <w:rsid w:val="040C3713"/>
    <w:rsid w:val="04103C93"/>
    <w:rsid w:val="04116406"/>
    <w:rsid w:val="04124C08"/>
    <w:rsid w:val="041308F0"/>
    <w:rsid w:val="04177239"/>
    <w:rsid w:val="0417B982"/>
    <w:rsid w:val="041B2747"/>
    <w:rsid w:val="0425D62B"/>
    <w:rsid w:val="0426C550"/>
    <w:rsid w:val="042B6417"/>
    <w:rsid w:val="04311489"/>
    <w:rsid w:val="0431E6ED"/>
    <w:rsid w:val="0435D297"/>
    <w:rsid w:val="0436F41A"/>
    <w:rsid w:val="043790AE"/>
    <w:rsid w:val="04408344"/>
    <w:rsid w:val="04461045"/>
    <w:rsid w:val="0446EDB8"/>
    <w:rsid w:val="0447117F"/>
    <w:rsid w:val="0449BECC"/>
    <w:rsid w:val="044A19D0"/>
    <w:rsid w:val="044AAD34"/>
    <w:rsid w:val="0451710B"/>
    <w:rsid w:val="0454F2D2"/>
    <w:rsid w:val="045A8117"/>
    <w:rsid w:val="046B21E8"/>
    <w:rsid w:val="046B2DF6"/>
    <w:rsid w:val="046DCEAA"/>
    <w:rsid w:val="046EC9C4"/>
    <w:rsid w:val="0472BB4C"/>
    <w:rsid w:val="0473643A"/>
    <w:rsid w:val="0477EECB"/>
    <w:rsid w:val="04785397"/>
    <w:rsid w:val="0478FBD5"/>
    <w:rsid w:val="047EAAFB"/>
    <w:rsid w:val="0483B5F2"/>
    <w:rsid w:val="04872F8A"/>
    <w:rsid w:val="0487B052"/>
    <w:rsid w:val="048EEF2E"/>
    <w:rsid w:val="04928DC4"/>
    <w:rsid w:val="0496D778"/>
    <w:rsid w:val="049903F1"/>
    <w:rsid w:val="049947B8"/>
    <w:rsid w:val="049ED369"/>
    <w:rsid w:val="04A16193"/>
    <w:rsid w:val="04A1642A"/>
    <w:rsid w:val="04A394AB"/>
    <w:rsid w:val="04A5E08A"/>
    <w:rsid w:val="04A81DA2"/>
    <w:rsid w:val="04AABA9F"/>
    <w:rsid w:val="04AD216C"/>
    <w:rsid w:val="04B1E378"/>
    <w:rsid w:val="04B34944"/>
    <w:rsid w:val="04B4F888"/>
    <w:rsid w:val="04BC1ED6"/>
    <w:rsid w:val="04C0F66E"/>
    <w:rsid w:val="04C34EB2"/>
    <w:rsid w:val="04C81EC2"/>
    <w:rsid w:val="04CA17AE"/>
    <w:rsid w:val="04CC6C8D"/>
    <w:rsid w:val="04CEAEAF"/>
    <w:rsid w:val="04D06C9F"/>
    <w:rsid w:val="04D2F2DA"/>
    <w:rsid w:val="04D374BF"/>
    <w:rsid w:val="04D4040B"/>
    <w:rsid w:val="04D66897"/>
    <w:rsid w:val="04D93AB2"/>
    <w:rsid w:val="04DA3C09"/>
    <w:rsid w:val="04DB5ECC"/>
    <w:rsid w:val="04DC7B85"/>
    <w:rsid w:val="04E0BDA2"/>
    <w:rsid w:val="04EB4B3B"/>
    <w:rsid w:val="04ED3E43"/>
    <w:rsid w:val="04EEAE94"/>
    <w:rsid w:val="04EF82A6"/>
    <w:rsid w:val="04F5D91B"/>
    <w:rsid w:val="04F9E9FD"/>
    <w:rsid w:val="0508DFBB"/>
    <w:rsid w:val="050C9592"/>
    <w:rsid w:val="050CF3F6"/>
    <w:rsid w:val="0510B5FA"/>
    <w:rsid w:val="0510FEE1"/>
    <w:rsid w:val="05179E8D"/>
    <w:rsid w:val="0517B0C1"/>
    <w:rsid w:val="0519F840"/>
    <w:rsid w:val="051BBA6F"/>
    <w:rsid w:val="051E0F0F"/>
    <w:rsid w:val="052148D1"/>
    <w:rsid w:val="0526ED19"/>
    <w:rsid w:val="05276179"/>
    <w:rsid w:val="0528D80B"/>
    <w:rsid w:val="05310649"/>
    <w:rsid w:val="05338FE0"/>
    <w:rsid w:val="05365C9B"/>
    <w:rsid w:val="0537649D"/>
    <w:rsid w:val="053DEC71"/>
    <w:rsid w:val="053DF3AA"/>
    <w:rsid w:val="05438A4B"/>
    <w:rsid w:val="054E4C96"/>
    <w:rsid w:val="05510094"/>
    <w:rsid w:val="0552D20A"/>
    <w:rsid w:val="05543466"/>
    <w:rsid w:val="05586785"/>
    <w:rsid w:val="0560928D"/>
    <w:rsid w:val="0562AFC5"/>
    <w:rsid w:val="05665D5D"/>
    <w:rsid w:val="0568C0EB"/>
    <w:rsid w:val="056C0280"/>
    <w:rsid w:val="056D887C"/>
    <w:rsid w:val="0570AA70"/>
    <w:rsid w:val="05732923"/>
    <w:rsid w:val="057632D0"/>
    <w:rsid w:val="0579EB52"/>
    <w:rsid w:val="057CDD21"/>
    <w:rsid w:val="057D7A76"/>
    <w:rsid w:val="0582A66F"/>
    <w:rsid w:val="05854DB4"/>
    <w:rsid w:val="058C153F"/>
    <w:rsid w:val="058E2536"/>
    <w:rsid w:val="058E3732"/>
    <w:rsid w:val="058FAE88"/>
    <w:rsid w:val="0591CF86"/>
    <w:rsid w:val="0593657A"/>
    <w:rsid w:val="05956714"/>
    <w:rsid w:val="05996AF0"/>
    <w:rsid w:val="05A15A20"/>
    <w:rsid w:val="05A21DEB"/>
    <w:rsid w:val="05A470B6"/>
    <w:rsid w:val="05A658BF"/>
    <w:rsid w:val="05A95FC9"/>
    <w:rsid w:val="05B1739F"/>
    <w:rsid w:val="05B1D071"/>
    <w:rsid w:val="05B43421"/>
    <w:rsid w:val="05B44147"/>
    <w:rsid w:val="05B7DDA1"/>
    <w:rsid w:val="05BC8747"/>
    <w:rsid w:val="05BCDA57"/>
    <w:rsid w:val="05C226BB"/>
    <w:rsid w:val="05C569FC"/>
    <w:rsid w:val="05C82F7F"/>
    <w:rsid w:val="05C89250"/>
    <w:rsid w:val="05CDA044"/>
    <w:rsid w:val="05D3B75F"/>
    <w:rsid w:val="05D4952B"/>
    <w:rsid w:val="05D587CB"/>
    <w:rsid w:val="05D605EA"/>
    <w:rsid w:val="05E07F47"/>
    <w:rsid w:val="05E20C4F"/>
    <w:rsid w:val="05E2829F"/>
    <w:rsid w:val="05E2BA49"/>
    <w:rsid w:val="05E4FE0B"/>
    <w:rsid w:val="05E7323D"/>
    <w:rsid w:val="05ED4D48"/>
    <w:rsid w:val="05EEEF25"/>
    <w:rsid w:val="05F33890"/>
    <w:rsid w:val="05FA2D5C"/>
    <w:rsid w:val="05FE8356"/>
    <w:rsid w:val="0601D713"/>
    <w:rsid w:val="060EB10B"/>
    <w:rsid w:val="060F3BC7"/>
    <w:rsid w:val="060FAB5A"/>
    <w:rsid w:val="0614179B"/>
    <w:rsid w:val="061513B3"/>
    <w:rsid w:val="06160C9F"/>
    <w:rsid w:val="061626AD"/>
    <w:rsid w:val="06188FC3"/>
    <w:rsid w:val="0619C887"/>
    <w:rsid w:val="061F75EF"/>
    <w:rsid w:val="06205664"/>
    <w:rsid w:val="062489EC"/>
    <w:rsid w:val="0624BC39"/>
    <w:rsid w:val="06262283"/>
    <w:rsid w:val="062EB9A4"/>
    <w:rsid w:val="0631D8C0"/>
    <w:rsid w:val="0631FC52"/>
    <w:rsid w:val="06345991"/>
    <w:rsid w:val="0647AAFE"/>
    <w:rsid w:val="06483510"/>
    <w:rsid w:val="064E6569"/>
    <w:rsid w:val="0655807C"/>
    <w:rsid w:val="0655C99C"/>
    <w:rsid w:val="065695E6"/>
    <w:rsid w:val="06587904"/>
    <w:rsid w:val="066CEFD4"/>
    <w:rsid w:val="06782A60"/>
    <w:rsid w:val="06783F27"/>
    <w:rsid w:val="06795159"/>
    <w:rsid w:val="067BA135"/>
    <w:rsid w:val="067E92DB"/>
    <w:rsid w:val="067F0902"/>
    <w:rsid w:val="068BD4F1"/>
    <w:rsid w:val="068C07CC"/>
    <w:rsid w:val="068DDBBF"/>
    <w:rsid w:val="06924455"/>
    <w:rsid w:val="069313BC"/>
    <w:rsid w:val="069E6392"/>
    <w:rsid w:val="06A156F7"/>
    <w:rsid w:val="06A47672"/>
    <w:rsid w:val="06A8DA80"/>
    <w:rsid w:val="06AA0292"/>
    <w:rsid w:val="06AAFFB8"/>
    <w:rsid w:val="06B2DE62"/>
    <w:rsid w:val="06B48FEB"/>
    <w:rsid w:val="06B6F999"/>
    <w:rsid w:val="06B926A4"/>
    <w:rsid w:val="06BB0186"/>
    <w:rsid w:val="06BFD5BB"/>
    <w:rsid w:val="06C193B8"/>
    <w:rsid w:val="06CAEB25"/>
    <w:rsid w:val="06D021D1"/>
    <w:rsid w:val="06D8381D"/>
    <w:rsid w:val="06DDCEAA"/>
    <w:rsid w:val="06DEAC3C"/>
    <w:rsid w:val="06DFD72C"/>
    <w:rsid w:val="06E072B9"/>
    <w:rsid w:val="06E31A74"/>
    <w:rsid w:val="06E8A789"/>
    <w:rsid w:val="06EC8A2E"/>
    <w:rsid w:val="06EE63E1"/>
    <w:rsid w:val="06F19599"/>
    <w:rsid w:val="06F3DD64"/>
    <w:rsid w:val="06F47E7D"/>
    <w:rsid w:val="06F4D0ED"/>
    <w:rsid w:val="06F6BBDF"/>
    <w:rsid w:val="07068F7C"/>
    <w:rsid w:val="0706ECD4"/>
    <w:rsid w:val="070A7DE5"/>
    <w:rsid w:val="07117400"/>
    <w:rsid w:val="07128876"/>
    <w:rsid w:val="07128CE7"/>
    <w:rsid w:val="0712A142"/>
    <w:rsid w:val="07172689"/>
    <w:rsid w:val="07193DE2"/>
    <w:rsid w:val="071E06C5"/>
    <w:rsid w:val="071EB513"/>
    <w:rsid w:val="07261C13"/>
    <w:rsid w:val="0726C5A7"/>
    <w:rsid w:val="0727AD65"/>
    <w:rsid w:val="0727F1CC"/>
    <w:rsid w:val="072E9DAC"/>
    <w:rsid w:val="0733A24D"/>
    <w:rsid w:val="0733BBB6"/>
    <w:rsid w:val="07390440"/>
    <w:rsid w:val="073F12CF"/>
    <w:rsid w:val="074086F5"/>
    <w:rsid w:val="0743ABAE"/>
    <w:rsid w:val="07479302"/>
    <w:rsid w:val="074961CD"/>
    <w:rsid w:val="074F086D"/>
    <w:rsid w:val="07510153"/>
    <w:rsid w:val="0753E59E"/>
    <w:rsid w:val="07546C47"/>
    <w:rsid w:val="075A4D4C"/>
    <w:rsid w:val="075BA4C6"/>
    <w:rsid w:val="075E05C8"/>
    <w:rsid w:val="07600DDE"/>
    <w:rsid w:val="076066B9"/>
    <w:rsid w:val="07608994"/>
    <w:rsid w:val="07644585"/>
    <w:rsid w:val="07648BED"/>
    <w:rsid w:val="076CA31C"/>
    <w:rsid w:val="076ED7C2"/>
    <w:rsid w:val="076FE18D"/>
    <w:rsid w:val="0772DBDB"/>
    <w:rsid w:val="077314FF"/>
    <w:rsid w:val="07741B73"/>
    <w:rsid w:val="0774594C"/>
    <w:rsid w:val="077AA740"/>
    <w:rsid w:val="077C4722"/>
    <w:rsid w:val="077DE7F2"/>
    <w:rsid w:val="077F133C"/>
    <w:rsid w:val="0780E111"/>
    <w:rsid w:val="07853273"/>
    <w:rsid w:val="078B8992"/>
    <w:rsid w:val="078DB1D3"/>
    <w:rsid w:val="078FF5DB"/>
    <w:rsid w:val="0790B794"/>
    <w:rsid w:val="0791987C"/>
    <w:rsid w:val="0793805E"/>
    <w:rsid w:val="0793A25B"/>
    <w:rsid w:val="079586A6"/>
    <w:rsid w:val="0797A3AF"/>
    <w:rsid w:val="079C90BE"/>
    <w:rsid w:val="079D3461"/>
    <w:rsid w:val="07A1F16E"/>
    <w:rsid w:val="07A733E0"/>
    <w:rsid w:val="07A9F248"/>
    <w:rsid w:val="07AD2767"/>
    <w:rsid w:val="07B73D6A"/>
    <w:rsid w:val="07BB95AC"/>
    <w:rsid w:val="07BBF414"/>
    <w:rsid w:val="07BF1111"/>
    <w:rsid w:val="07C0F038"/>
    <w:rsid w:val="07C1C804"/>
    <w:rsid w:val="07C1FC39"/>
    <w:rsid w:val="07C29BB5"/>
    <w:rsid w:val="07C4A782"/>
    <w:rsid w:val="07C87998"/>
    <w:rsid w:val="07CA4BC7"/>
    <w:rsid w:val="07CE98A0"/>
    <w:rsid w:val="07D2D737"/>
    <w:rsid w:val="07D3D907"/>
    <w:rsid w:val="07DD5EA8"/>
    <w:rsid w:val="07DF5460"/>
    <w:rsid w:val="07E41F5F"/>
    <w:rsid w:val="07E665F4"/>
    <w:rsid w:val="07E9DF8F"/>
    <w:rsid w:val="07EAF45F"/>
    <w:rsid w:val="07F12D09"/>
    <w:rsid w:val="07F6B0EF"/>
    <w:rsid w:val="07F7AA63"/>
    <w:rsid w:val="07F8580E"/>
    <w:rsid w:val="07F9446E"/>
    <w:rsid w:val="0802E34A"/>
    <w:rsid w:val="0804A832"/>
    <w:rsid w:val="0807DF4E"/>
    <w:rsid w:val="0812DA72"/>
    <w:rsid w:val="081501E9"/>
    <w:rsid w:val="0816CF4F"/>
    <w:rsid w:val="08178122"/>
    <w:rsid w:val="081B5719"/>
    <w:rsid w:val="081CFE1B"/>
    <w:rsid w:val="081F31E7"/>
    <w:rsid w:val="0824AF38"/>
    <w:rsid w:val="0824E36F"/>
    <w:rsid w:val="0827973B"/>
    <w:rsid w:val="0827AFE3"/>
    <w:rsid w:val="082E2656"/>
    <w:rsid w:val="082EC7DE"/>
    <w:rsid w:val="0832F34A"/>
    <w:rsid w:val="083482F2"/>
    <w:rsid w:val="083EE135"/>
    <w:rsid w:val="083F56BB"/>
    <w:rsid w:val="083F89C3"/>
    <w:rsid w:val="0841AE35"/>
    <w:rsid w:val="0842C5CA"/>
    <w:rsid w:val="0844554B"/>
    <w:rsid w:val="084CFC55"/>
    <w:rsid w:val="08519188"/>
    <w:rsid w:val="08549F33"/>
    <w:rsid w:val="08576DEA"/>
    <w:rsid w:val="085F419E"/>
    <w:rsid w:val="0863815F"/>
    <w:rsid w:val="0869453A"/>
    <w:rsid w:val="086CE429"/>
    <w:rsid w:val="08704582"/>
    <w:rsid w:val="08706255"/>
    <w:rsid w:val="0872C817"/>
    <w:rsid w:val="08738DCB"/>
    <w:rsid w:val="087966B1"/>
    <w:rsid w:val="087A6EC8"/>
    <w:rsid w:val="08827541"/>
    <w:rsid w:val="0882ED9C"/>
    <w:rsid w:val="08832F71"/>
    <w:rsid w:val="08840292"/>
    <w:rsid w:val="08896D3A"/>
    <w:rsid w:val="088B9286"/>
    <w:rsid w:val="088CAAE7"/>
    <w:rsid w:val="088F96A1"/>
    <w:rsid w:val="089AF0FA"/>
    <w:rsid w:val="089F1B82"/>
    <w:rsid w:val="089F50ED"/>
    <w:rsid w:val="08A11ED4"/>
    <w:rsid w:val="08ACAEF7"/>
    <w:rsid w:val="08B1167F"/>
    <w:rsid w:val="08BABD25"/>
    <w:rsid w:val="08BCAD4E"/>
    <w:rsid w:val="08BE23AF"/>
    <w:rsid w:val="08C1CB6F"/>
    <w:rsid w:val="08C41740"/>
    <w:rsid w:val="08C6E4CA"/>
    <w:rsid w:val="08C81C1D"/>
    <w:rsid w:val="08CC4056"/>
    <w:rsid w:val="08CC71CC"/>
    <w:rsid w:val="08CC9277"/>
    <w:rsid w:val="08CD00D9"/>
    <w:rsid w:val="08CF9B17"/>
    <w:rsid w:val="08CFAE44"/>
    <w:rsid w:val="08D3D1E9"/>
    <w:rsid w:val="08D576D8"/>
    <w:rsid w:val="08D58E34"/>
    <w:rsid w:val="08DA84BA"/>
    <w:rsid w:val="08DD3675"/>
    <w:rsid w:val="08E6AC5B"/>
    <w:rsid w:val="08E7E59B"/>
    <w:rsid w:val="08F7808A"/>
    <w:rsid w:val="08FB90AD"/>
    <w:rsid w:val="08FF1F6D"/>
    <w:rsid w:val="09006838"/>
    <w:rsid w:val="0901051A"/>
    <w:rsid w:val="09020046"/>
    <w:rsid w:val="09050F1C"/>
    <w:rsid w:val="0908EAC5"/>
    <w:rsid w:val="091183AD"/>
    <w:rsid w:val="09135B89"/>
    <w:rsid w:val="09188587"/>
    <w:rsid w:val="0919CE84"/>
    <w:rsid w:val="091DB495"/>
    <w:rsid w:val="091E3A40"/>
    <w:rsid w:val="091F0F3C"/>
    <w:rsid w:val="091F82A4"/>
    <w:rsid w:val="0921D854"/>
    <w:rsid w:val="09271FE4"/>
    <w:rsid w:val="092858EA"/>
    <w:rsid w:val="092A73F3"/>
    <w:rsid w:val="092D8B89"/>
    <w:rsid w:val="092F835E"/>
    <w:rsid w:val="09316F11"/>
    <w:rsid w:val="0936FFEC"/>
    <w:rsid w:val="093DDA42"/>
    <w:rsid w:val="09403DC1"/>
    <w:rsid w:val="09438156"/>
    <w:rsid w:val="0944DC95"/>
    <w:rsid w:val="094505FD"/>
    <w:rsid w:val="0946BA6A"/>
    <w:rsid w:val="09471431"/>
    <w:rsid w:val="0954069F"/>
    <w:rsid w:val="0954849C"/>
    <w:rsid w:val="095571C9"/>
    <w:rsid w:val="0956862D"/>
    <w:rsid w:val="09626AEC"/>
    <w:rsid w:val="096582AF"/>
    <w:rsid w:val="096A9A92"/>
    <w:rsid w:val="096BADDD"/>
    <w:rsid w:val="0970C2FE"/>
    <w:rsid w:val="09727DCB"/>
    <w:rsid w:val="0975BCCD"/>
    <w:rsid w:val="0976113D"/>
    <w:rsid w:val="097E4011"/>
    <w:rsid w:val="097E902E"/>
    <w:rsid w:val="09825EC4"/>
    <w:rsid w:val="09857B9D"/>
    <w:rsid w:val="0988ADC4"/>
    <w:rsid w:val="0988D059"/>
    <w:rsid w:val="098CD82C"/>
    <w:rsid w:val="098FB1DA"/>
    <w:rsid w:val="0990EE72"/>
    <w:rsid w:val="09917F85"/>
    <w:rsid w:val="09959817"/>
    <w:rsid w:val="0996384D"/>
    <w:rsid w:val="09A024FA"/>
    <w:rsid w:val="09A269FB"/>
    <w:rsid w:val="09A2CF3D"/>
    <w:rsid w:val="09A3EA77"/>
    <w:rsid w:val="09AF6C64"/>
    <w:rsid w:val="09B4C0DE"/>
    <w:rsid w:val="09BF639B"/>
    <w:rsid w:val="09C18507"/>
    <w:rsid w:val="09CE55F4"/>
    <w:rsid w:val="09D4018E"/>
    <w:rsid w:val="09DE8ADF"/>
    <w:rsid w:val="09DFF839"/>
    <w:rsid w:val="09E5EBFB"/>
    <w:rsid w:val="09E77925"/>
    <w:rsid w:val="09F26EAE"/>
    <w:rsid w:val="09F8B48B"/>
    <w:rsid w:val="09FA1A2D"/>
    <w:rsid w:val="0A0304D3"/>
    <w:rsid w:val="0A037E22"/>
    <w:rsid w:val="0A107190"/>
    <w:rsid w:val="0A13E495"/>
    <w:rsid w:val="0A13EFC4"/>
    <w:rsid w:val="0A17BBEE"/>
    <w:rsid w:val="0A199F1E"/>
    <w:rsid w:val="0A1C1CB3"/>
    <w:rsid w:val="0A1F0EB0"/>
    <w:rsid w:val="0A2B0305"/>
    <w:rsid w:val="0A2CA615"/>
    <w:rsid w:val="0A30C02A"/>
    <w:rsid w:val="0A32F316"/>
    <w:rsid w:val="0A32F434"/>
    <w:rsid w:val="0A392849"/>
    <w:rsid w:val="0A3AAD77"/>
    <w:rsid w:val="0A3D4B70"/>
    <w:rsid w:val="0A3DE8C3"/>
    <w:rsid w:val="0A43340E"/>
    <w:rsid w:val="0A4B33D4"/>
    <w:rsid w:val="0A4BD96B"/>
    <w:rsid w:val="0A4C23C8"/>
    <w:rsid w:val="0A5018CD"/>
    <w:rsid w:val="0A51AD13"/>
    <w:rsid w:val="0A5A8200"/>
    <w:rsid w:val="0A5D875D"/>
    <w:rsid w:val="0A5E3993"/>
    <w:rsid w:val="0A62F598"/>
    <w:rsid w:val="0A6737D4"/>
    <w:rsid w:val="0A687AA5"/>
    <w:rsid w:val="0A687F46"/>
    <w:rsid w:val="0A68D3C0"/>
    <w:rsid w:val="0A6A9574"/>
    <w:rsid w:val="0A6FCA55"/>
    <w:rsid w:val="0A700B5F"/>
    <w:rsid w:val="0A70370C"/>
    <w:rsid w:val="0A70D544"/>
    <w:rsid w:val="0A71B0EC"/>
    <w:rsid w:val="0A72A367"/>
    <w:rsid w:val="0A7317D8"/>
    <w:rsid w:val="0A762036"/>
    <w:rsid w:val="0A767941"/>
    <w:rsid w:val="0A76CEE0"/>
    <w:rsid w:val="0A78A7DD"/>
    <w:rsid w:val="0A7A0BDE"/>
    <w:rsid w:val="0A7B3958"/>
    <w:rsid w:val="0A7C047A"/>
    <w:rsid w:val="0A7DAE90"/>
    <w:rsid w:val="0A83725B"/>
    <w:rsid w:val="0A837DF7"/>
    <w:rsid w:val="0A85451D"/>
    <w:rsid w:val="0A868CD0"/>
    <w:rsid w:val="0A886D6A"/>
    <w:rsid w:val="0A8BD158"/>
    <w:rsid w:val="0A8D2301"/>
    <w:rsid w:val="0A90E88C"/>
    <w:rsid w:val="0A9129A4"/>
    <w:rsid w:val="0A964201"/>
    <w:rsid w:val="0A99889F"/>
    <w:rsid w:val="0A9E49FF"/>
    <w:rsid w:val="0AA2FA45"/>
    <w:rsid w:val="0AA7BD50"/>
    <w:rsid w:val="0AA7E64B"/>
    <w:rsid w:val="0AAA4545"/>
    <w:rsid w:val="0AAA92D4"/>
    <w:rsid w:val="0AAC012B"/>
    <w:rsid w:val="0AAC2E92"/>
    <w:rsid w:val="0AB51E09"/>
    <w:rsid w:val="0AC044A8"/>
    <w:rsid w:val="0AC40C40"/>
    <w:rsid w:val="0AC4D952"/>
    <w:rsid w:val="0ACABF02"/>
    <w:rsid w:val="0ACBDF39"/>
    <w:rsid w:val="0ACFA6A7"/>
    <w:rsid w:val="0AD95092"/>
    <w:rsid w:val="0ADA6B5E"/>
    <w:rsid w:val="0ADD4045"/>
    <w:rsid w:val="0AE028D9"/>
    <w:rsid w:val="0AE95FBA"/>
    <w:rsid w:val="0AEA7069"/>
    <w:rsid w:val="0AF098D6"/>
    <w:rsid w:val="0AFB96F3"/>
    <w:rsid w:val="0AFDB6FE"/>
    <w:rsid w:val="0AFFD0A4"/>
    <w:rsid w:val="0B0D2A32"/>
    <w:rsid w:val="0B133F71"/>
    <w:rsid w:val="0B183D36"/>
    <w:rsid w:val="0B1A76D4"/>
    <w:rsid w:val="0B1ADC12"/>
    <w:rsid w:val="0B1DA012"/>
    <w:rsid w:val="0B1DB12A"/>
    <w:rsid w:val="0B20BBA5"/>
    <w:rsid w:val="0B23DB12"/>
    <w:rsid w:val="0B2C3053"/>
    <w:rsid w:val="0B30F8C2"/>
    <w:rsid w:val="0B396291"/>
    <w:rsid w:val="0B414CF2"/>
    <w:rsid w:val="0B502845"/>
    <w:rsid w:val="0B57D2AD"/>
    <w:rsid w:val="0B584533"/>
    <w:rsid w:val="0B584F7E"/>
    <w:rsid w:val="0B5C75C6"/>
    <w:rsid w:val="0B5CF5FD"/>
    <w:rsid w:val="0B5FBDFE"/>
    <w:rsid w:val="0B604CDB"/>
    <w:rsid w:val="0B62CCA5"/>
    <w:rsid w:val="0B667860"/>
    <w:rsid w:val="0B667FA6"/>
    <w:rsid w:val="0B690E13"/>
    <w:rsid w:val="0B6E4511"/>
    <w:rsid w:val="0B70012A"/>
    <w:rsid w:val="0B71D0F8"/>
    <w:rsid w:val="0B741769"/>
    <w:rsid w:val="0B753DCF"/>
    <w:rsid w:val="0B75DE2C"/>
    <w:rsid w:val="0B7662DD"/>
    <w:rsid w:val="0B779046"/>
    <w:rsid w:val="0B7B189B"/>
    <w:rsid w:val="0B7CA91F"/>
    <w:rsid w:val="0B83504E"/>
    <w:rsid w:val="0B83BB04"/>
    <w:rsid w:val="0B8785FE"/>
    <w:rsid w:val="0B8C24C3"/>
    <w:rsid w:val="0B8D62F1"/>
    <w:rsid w:val="0B8EDD70"/>
    <w:rsid w:val="0B902042"/>
    <w:rsid w:val="0B918207"/>
    <w:rsid w:val="0B981E3C"/>
    <w:rsid w:val="0B9917E8"/>
    <w:rsid w:val="0B99475C"/>
    <w:rsid w:val="0B9E0907"/>
    <w:rsid w:val="0B9E1E0D"/>
    <w:rsid w:val="0BA304AE"/>
    <w:rsid w:val="0BA35C1C"/>
    <w:rsid w:val="0BA4C859"/>
    <w:rsid w:val="0BA52FD7"/>
    <w:rsid w:val="0BA5F6B7"/>
    <w:rsid w:val="0BA68FBE"/>
    <w:rsid w:val="0BA85805"/>
    <w:rsid w:val="0BA893FF"/>
    <w:rsid w:val="0BAA5E94"/>
    <w:rsid w:val="0BABF05B"/>
    <w:rsid w:val="0BB09D3F"/>
    <w:rsid w:val="0BB3A190"/>
    <w:rsid w:val="0BB5AF10"/>
    <w:rsid w:val="0BB9C54F"/>
    <w:rsid w:val="0BBD688B"/>
    <w:rsid w:val="0BC17AEC"/>
    <w:rsid w:val="0BC1C1F1"/>
    <w:rsid w:val="0BC56671"/>
    <w:rsid w:val="0BCB5493"/>
    <w:rsid w:val="0BCDA0B3"/>
    <w:rsid w:val="0BD31871"/>
    <w:rsid w:val="0BD6CD3C"/>
    <w:rsid w:val="0BD6D40F"/>
    <w:rsid w:val="0BE1F8EC"/>
    <w:rsid w:val="0BE2221F"/>
    <w:rsid w:val="0BE2230F"/>
    <w:rsid w:val="0BE2D509"/>
    <w:rsid w:val="0BE81623"/>
    <w:rsid w:val="0BE94934"/>
    <w:rsid w:val="0BE9FF3F"/>
    <w:rsid w:val="0BEC3222"/>
    <w:rsid w:val="0BEE4FF5"/>
    <w:rsid w:val="0BEF3D74"/>
    <w:rsid w:val="0BF0F47C"/>
    <w:rsid w:val="0BF3B702"/>
    <w:rsid w:val="0BF8A4DF"/>
    <w:rsid w:val="0C00AA7F"/>
    <w:rsid w:val="0C0BDED8"/>
    <w:rsid w:val="0C0C5738"/>
    <w:rsid w:val="0C197042"/>
    <w:rsid w:val="0C1D838E"/>
    <w:rsid w:val="0C1F7EDC"/>
    <w:rsid w:val="0C210505"/>
    <w:rsid w:val="0C224D7A"/>
    <w:rsid w:val="0C25C3EA"/>
    <w:rsid w:val="0C265759"/>
    <w:rsid w:val="0C2DD48D"/>
    <w:rsid w:val="0C2E7B52"/>
    <w:rsid w:val="0C35717E"/>
    <w:rsid w:val="0C38586C"/>
    <w:rsid w:val="0C392688"/>
    <w:rsid w:val="0C3960F2"/>
    <w:rsid w:val="0C39C262"/>
    <w:rsid w:val="0C499FC4"/>
    <w:rsid w:val="0C537DC8"/>
    <w:rsid w:val="0C567FDB"/>
    <w:rsid w:val="0C586CC1"/>
    <w:rsid w:val="0C5C62DD"/>
    <w:rsid w:val="0C60AA0C"/>
    <w:rsid w:val="0C6101C6"/>
    <w:rsid w:val="0C62F19D"/>
    <w:rsid w:val="0C639C02"/>
    <w:rsid w:val="0C65F4DA"/>
    <w:rsid w:val="0C698276"/>
    <w:rsid w:val="0C6C6979"/>
    <w:rsid w:val="0C6D4073"/>
    <w:rsid w:val="0C6F3903"/>
    <w:rsid w:val="0C83D0C7"/>
    <w:rsid w:val="0C8EA632"/>
    <w:rsid w:val="0C90D3AB"/>
    <w:rsid w:val="0C926D84"/>
    <w:rsid w:val="0C9C6953"/>
    <w:rsid w:val="0C9E0660"/>
    <w:rsid w:val="0C9E7E52"/>
    <w:rsid w:val="0CA111C1"/>
    <w:rsid w:val="0CA3BEF7"/>
    <w:rsid w:val="0CA65493"/>
    <w:rsid w:val="0CA8981A"/>
    <w:rsid w:val="0CABC5FA"/>
    <w:rsid w:val="0CAC0D37"/>
    <w:rsid w:val="0CAC5469"/>
    <w:rsid w:val="0CAF5D3D"/>
    <w:rsid w:val="0CB1C127"/>
    <w:rsid w:val="0CB49142"/>
    <w:rsid w:val="0CBF479F"/>
    <w:rsid w:val="0CC2A55B"/>
    <w:rsid w:val="0CC3A2D8"/>
    <w:rsid w:val="0CCC2986"/>
    <w:rsid w:val="0CCD4203"/>
    <w:rsid w:val="0CCE9162"/>
    <w:rsid w:val="0CD1609D"/>
    <w:rsid w:val="0CD638B4"/>
    <w:rsid w:val="0CD7DF28"/>
    <w:rsid w:val="0CD8180E"/>
    <w:rsid w:val="0CD94C60"/>
    <w:rsid w:val="0CDB7C09"/>
    <w:rsid w:val="0CDC4285"/>
    <w:rsid w:val="0CEE3ECF"/>
    <w:rsid w:val="0CF5AFA5"/>
    <w:rsid w:val="0CFB2A35"/>
    <w:rsid w:val="0D0134DB"/>
    <w:rsid w:val="0D078C89"/>
    <w:rsid w:val="0D080A2A"/>
    <w:rsid w:val="0D095A96"/>
    <w:rsid w:val="0D0C359D"/>
    <w:rsid w:val="0D181D97"/>
    <w:rsid w:val="0D1A8DDF"/>
    <w:rsid w:val="0D20161E"/>
    <w:rsid w:val="0D2864F2"/>
    <w:rsid w:val="0D2E045E"/>
    <w:rsid w:val="0D30F7BB"/>
    <w:rsid w:val="0D31A72A"/>
    <w:rsid w:val="0D35917B"/>
    <w:rsid w:val="0D3F6C43"/>
    <w:rsid w:val="0D40F20C"/>
    <w:rsid w:val="0D427A4A"/>
    <w:rsid w:val="0D43A487"/>
    <w:rsid w:val="0D448D0E"/>
    <w:rsid w:val="0D47D3F4"/>
    <w:rsid w:val="0D494329"/>
    <w:rsid w:val="0D4AAB53"/>
    <w:rsid w:val="0D4D6BF8"/>
    <w:rsid w:val="0D4DF69E"/>
    <w:rsid w:val="0D5E028C"/>
    <w:rsid w:val="0D5E6FD5"/>
    <w:rsid w:val="0D6A75B9"/>
    <w:rsid w:val="0D6CA851"/>
    <w:rsid w:val="0D6DE1EA"/>
    <w:rsid w:val="0D73CEF2"/>
    <w:rsid w:val="0D770D94"/>
    <w:rsid w:val="0D78CC56"/>
    <w:rsid w:val="0D7BC4B1"/>
    <w:rsid w:val="0D7D889D"/>
    <w:rsid w:val="0D809C19"/>
    <w:rsid w:val="0D81591B"/>
    <w:rsid w:val="0D81707F"/>
    <w:rsid w:val="0D8B251B"/>
    <w:rsid w:val="0D8BE295"/>
    <w:rsid w:val="0D8C2CF8"/>
    <w:rsid w:val="0D8E571C"/>
    <w:rsid w:val="0D91AC7D"/>
    <w:rsid w:val="0D92DF9A"/>
    <w:rsid w:val="0D9508E3"/>
    <w:rsid w:val="0D95F3BE"/>
    <w:rsid w:val="0D95F4A5"/>
    <w:rsid w:val="0D9BF9C2"/>
    <w:rsid w:val="0DA023EF"/>
    <w:rsid w:val="0DA4555D"/>
    <w:rsid w:val="0DA72082"/>
    <w:rsid w:val="0DA7F9E0"/>
    <w:rsid w:val="0DAAD483"/>
    <w:rsid w:val="0DABB250"/>
    <w:rsid w:val="0DADD9B0"/>
    <w:rsid w:val="0DBE667D"/>
    <w:rsid w:val="0DC044B5"/>
    <w:rsid w:val="0DC1CB5A"/>
    <w:rsid w:val="0DC3558E"/>
    <w:rsid w:val="0DC89695"/>
    <w:rsid w:val="0DD911EF"/>
    <w:rsid w:val="0DDFD70A"/>
    <w:rsid w:val="0DE1CDC5"/>
    <w:rsid w:val="0DE51072"/>
    <w:rsid w:val="0DE62842"/>
    <w:rsid w:val="0DEB5C06"/>
    <w:rsid w:val="0DEC928D"/>
    <w:rsid w:val="0DECB20B"/>
    <w:rsid w:val="0DF1EFF9"/>
    <w:rsid w:val="0DF27138"/>
    <w:rsid w:val="0DF377AA"/>
    <w:rsid w:val="0E02EC15"/>
    <w:rsid w:val="0E03BDF9"/>
    <w:rsid w:val="0E0511F2"/>
    <w:rsid w:val="0E0942DB"/>
    <w:rsid w:val="0E1D44DE"/>
    <w:rsid w:val="0E1F19B5"/>
    <w:rsid w:val="0E215BBA"/>
    <w:rsid w:val="0E26F188"/>
    <w:rsid w:val="0E2C9F01"/>
    <w:rsid w:val="0E2F4890"/>
    <w:rsid w:val="0E33CBA9"/>
    <w:rsid w:val="0E363A2A"/>
    <w:rsid w:val="0E3CAC6B"/>
    <w:rsid w:val="0E40FEBE"/>
    <w:rsid w:val="0E45A2F5"/>
    <w:rsid w:val="0E549F90"/>
    <w:rsid w:val="0E57C9DA"/>
    <w:rsid w:val="0E5AAE4E"/>
    <w:rsid w:val="0E602888"/>
    <w:rsid w:val="0E675D5B"/>
    <w:rsid w:val="0E69C60C"/>
    <w:rsid w:val="0E6C3C56"/>
    <w:rsid w:val="0E6CF996"/>
    <w:rsid w:val="0E701A15"/>
    <w:rsid w:val="0E70DBA2"/>
    <w:rsid w:val="0E72469F"/>
    <w:rsid w:val="0E72A0BD"/>
    <w:rsid w:val="0E75D0B6"/>
    <w:rsid w:val="0E76CE6E"/>
    <w:rsid w:val="0E76F2C2"/>
    <w:rsid w:val="0E7B2A7D"/>
    <w:rsid w:val="0E801BB7"/>
    <w:rsid w:val="0E8059D4"/>
    <w:rsid w:val="0E80DBBC"/>
    <w:rsid w:val="0E8149E0"/>
    <w:rsid w:val="0E8BA6E2"/>
    <w:rsid w:val="0E8E510B"/>
    <w:rsid w:val="0E8E7A9D"/>
    <w:rsid w:val="0E91AEFE"/>
    <w:rsid w:val="0E91C7A1"/>
    <w:rsid w:val="0E924EDE"/>
    <w:rsid w:val="0E93DA68"/>
    <w:rsid w:val="0E957A11"/>
    <w:rsid w:val="0E95DEEC"/>
    <w:rsid w:val="0E95F47E"/>
    <w:rsid w:val="0E9667B6"/>
    <w:rsid w:val="0E9708B3"/>
    <w:rsid w:val="0E988193"/>
    <w:rsid w:val="0E98E0CF"/>
    <w:rsid w:val="0E9B872C"/>
    <w:rsid w:val="0EA14E67"/>
    <w:rsid w:val="0EA484D7"/>
    <w:rsid w:val="0EAB3C3A"/>
    <w:rsid w:val="0EBF20A3"/>
    <w:rsid w:val="0EBFE326"/>
    <w:rsid w:val="0EC19C44"/>
    <w:rsid w:val="0EC1BE9F"/>
    <w:rsid w:val="0EC5932C"/>
    <w:rsid w:val="0EC653D2"/>
    <w:rsid w:val="0ECA38D0"/>
    <w:rsid w:val="0ED5CD5E"/>
    <w:rsid w:val="0ED63E7C"/>
    <w:rsid w:val="0ED8B780"/>
    <w:rsid w:val="0EDA5C15"/>
    <w:rsid w:val="0EDDED96"/>
    <w:rsid w:val="0EE26401"/>
    <w:rsid w:val="0EE814BD"/>
    <w:rsid w:val="0EEC1F16"/>
    <w:rsid w:val="0EEE1260"/>
    <w:rsid w:val="0EF77496"/>
    <w:rsid w:val="0EF86A4E"/>
    <w:rsid w:val="0EFAF16D"/>
    <w:rsid w:val="0EFC583C"/>
    <w:rsid w:val="0EFD845F"/>
    <w:rsid w:val="0F007507"/>
    <w:rsid w:val="0F02DA70"/>
    <w:rsid w:val="0F03F6A0"/>
    <w:rsid w:val="0F05102C"/>
    <w:rsid w:val="0F06256B"/>
    <w:rsid w:val="0F08882F"/>
    <w:rsid w:val="0F0A036E"/>
    <w:rsid w:val="0F0A86B9"/>
    <w:rsid w:val="0F0B7B08"/>
    <w:rsid w:val="0F0DD182"/>
    <w:rsid w:val="0F0E00F4"/>
    <w:rsid w:val="0F0E64B1"/>
    <w:rsid w:val="0F0EC79A"/>
    <w:rsid w:val="0F16E70A"/>
    <w:rsid w:val="0F1C6AB3"/>
    <w:rsid w:val="0F1D2DEC"/>
    <w:rsid w:val="0F23300F"/>
    <w:rsid w:val="0F24343D"/>
    <w:rsid w:val="0F259469"/>
    <w:rsid w:val="0F25BEDC"/>
    <w:rsid w:val="0F262380"/>
    <w:rsid w:val="0F27FC5F"/>
    <w:rsid w:val="0F29DAE2"/>
    <w:rsid w:val="0F2EDE1E"/>
    <w:rsid w:val="0F323E94"/>
    <w:rsid w:val="0F3A5CD7"/>
    <w:rsid w:val="0F3EB32C"/>
    <w:rsid w:val="0F43AAC6"/>
    <w:rsid w:val="0F4BC1EC"/>
    <w:rsid w:val="0F516579"/>
    <w:rsid w:val="0F55E5B0"/>
    <w:rsid w:val="0F5B0AD4"/>
    <w:rsid w:val="0F5BEA0C"/>
    <w:rsid w:val="0F5CB9B9"/>
    <w:rsid w:val="0F5CFD53"/>
    <w:rsid w:val="0F6731D2"/>
    <w:rsid w:val="0F6D3A18"/>
    <w:rsid w:val="0F6DF48A"/>
    <w:rsid w:val="0F6E223E"/>
    <w:rsid w:val="0F70E756"/>
    <w:rsid w:val="0F757EB8"/>
    <w:rsid w:val="0F7D1554"/>
    <w:rsid w:val="0F7D1732"/>
    <w:rsid w:val="0F7D88D8"/>
    <w:rsid w:val="0F83645B"/>
    <w:rsid w:val="0F83C692"/>
    <w:rsid w:val="0F8468BE"/>
    <w:rsid w:val="0F879E76"/>
    <w:rsid w:val="0F89D0B1"/>
    <w:rsid w:val="0F8E6F92"/>
    <w:rsid w:val="0F9560A4"/>
    <w:rsid w:val="0F98EB83"/>
    <w:rsid w:val="0F99FB81"/>
    <w:rsid w:val="0F9B420B"/>
    <w:rsid w:val="0F9C9DD9"/>
    <w:rsid w:val="0FA40D12"/>
    <w:rsid w:val="0FA52849"/>
    <w:rsid w:val="0FA7F203"/>
    <w:rsid w:val="0FAC6239"/>
    <w:rsid w:val="0FADCE48"/>
    <w:rsid w:val="0FB03DF1"/>
    <w:rsid w:val="0FB06315"/>
    <w:rsid w:val="0FB70604"/>
    <w:rsid w:val="0FB7999D"/>
    <w:rsid w:val="0FB9ABF6"/>
    <w:rsid w:val="0FC1176C"/>
    <w:rsid w:val="0FCB531B"/>
    <w:rsid w:val="0FCB5866"/>
    <w:rsid w:val="0FCC335F"/>
    <w:rsid w:val="0FD2795F"/>
    <w:rsid w:val="0FD76B07"/>
    <w:rsid w:val="0FDBE104"/>
    <w:rsid w:val="0FDEA725"/>
    <w:rsid w:val="0FE2AF52"/>
    <w:rsid w:val="0FE2EB6D"/>
    <w:rsid w:val="0FE5EA55"/>
    <w:rsid w:val="0FE90C5E"/>
    <w:rsid w:val="0FE9AFD3"/>
    <w:rsid w:val="0FEA9840"/>
    <w:rsid w:val="0FECB453"/>
    <w:rsid w:val="0FED0AD5"/>
    <w:rsid w:val="0FF1831B"/>
    <w:rsid w:val="0FF49AB8"/>
    <w:rsid w:val="0FF9AFC7"/>
    <w:rsid w:val="0FF9D8F5"/>
    <w:rsid w:val="1008AF05"/>
    <w:rsid w:val="100ACEDF"/>
    <w:rsid w:val="100D123F"/>
    <w:rsid w:val="100DDD00"/>
    <w:rsid w:val="10111F39"/>
    <w:rsid w:val="101475BA"/>
    <w:rsid w:val="10154FED"/>
    <w:rsid w:val="101581D8"/>
    <w:rsid w:val="101660D8"/>
    <w:rsid w:val="10186D88"/>
    <w:rsid w:val="101906AD"/>
    <w:rsid w:val="102096BD"/>
    <w:rsid w:val="10306735"/>
    <w:rsid w:val="1037772F"/>
    <w:rsid w:val="103B2212"/>
    <w:rsid w:val="10455C33"/>
    <w:rsid w:val="10465235"/>
    <w:rsid w:val="104A7CF0"/>
    <w:rsid w:val="104A9479"/>
    <w:rsid w:val="104B427B"/>
    <w:rsid w:val="104B9EA3"/>
    <w:rsid w:val="104CB22D"/>
    <w:rsid w:val="10543C52"/>
    <w:rsid w:val="105D28D5"/>
    <w:rsid w:val="105FBA39"/>
    <w:rsid w:val="10632FCC"/>
    <w:rsid w:val="1065ED2A"/>
    <w:rsid w:val="1066BA4E"/>
    <w:rsid w:val="106B9D77"/>
    <w:rsid w:val="106C24A8"/>
    <w:rsid w:val="106E025D"/>
    <w:rsid w:val="106FC18C"/>
    <w:rsid w:val="1079E0A3"/>
    <w:rsid w:val="107B51EA"/>
    <w:rsid w:val="107D4E65"/>
    <w:rsid w:val="107DD812"/>
    <w:rsid w:val="107EB581"/>
    <w:rsid w:val="108035AD"/>
    <w:rsid w:val="10804EDC"/>
    <w:rsid w:val="108A5B94"/>
    <w:rsid w:val="108EF72E"/>
    <w:rsid w:val="1092DE74"/>
    <w:rsid w:val="1098C233"/>
    <w:rsid w:val="109DE12D"/>
    <w:rsid w:val="109EBB1B"/>
    <w:rsid w:val="10AA7553"/>
    <w:rsid w:val="10AAD0F6"/>
    <w:rsid w:val="10BA5795"/>
    <w:rsid w:val="10BCF458"/>
    <w:rsid w:val="10BF5AFF"/>
    <w:rsid w:val="10C1EFFD"/>
    <w:rsid w:val="10C35D61"/>
    <w:rsid w:val="10C4B0CF"/>
    <w:rsid w:val="10C576A1"/>
    <w:rsid w:val="10C802AA"/>
    <w:rsid w:val="10C8E921"/>
    <w:rsid w:val="10D0CCC8"/>
    <w:rsid w:val="10D9E565"/>
    <w:rsid w:val="10DD4D8D"/>
    <w:rsid w:val="10E45A8B"/>
    <w:rsid w:val="10E8F76D"/>
    <w:rsid w:val="10EA2663"/>
    <w:rsid w:val="10EAE2A0"/>
    <w:rsid w:val="10EAFFA8"/>
    <w:rsid w:val="10F4E287"/>
    <w:rsid w:val="10FB6A50"/>
    <w:rsid w:val="10FF4C4B"/>
    <w:rsid w:val="1102F751"/>
    <w:rsid w:val="11038E54"/>
    <w:rsid w:val="1108D5DE"/>
    <w:rsid w:val="110B2AA1"/>
    <w:rsid w:val="110C56FC"/>
    <w:rsid w:val="110C6C2A"/>
    <w:rsid w:val="11146960"/>
    <w:rsid w:val="111B6C5B"/>
    <w:rsid w:val="111F3053"/>
    <w:rsid w:val="11259CCC"/>
    <w:rsid w:val="112A148A"/>
    <w:rsid w:val="112DA3DA"/>
    <w:rsid w:val="113C1A3F"/>
    <w:rsid w:val="113C7734"/>
    <w:rsid w:val="113F7AA5"/>
    <w:rsid w:val="113FD28B"/>
    <w:rsid w:val="114492A8"/>
    <w:rsid w:val="1145BEA0"/>
    <w:rsid w:val="1148635F"/>
    <w:rsid w:val="114D1FF1"/>
    <w:rsid w:val="114F079F"/>
    <w:rsid w:val="11572590"/>
    <w:rsid w:val="115EE285"/>
    <w:rsid w:val="115FB437"/>
    <w:rsid w:val="11607B6D"/>
    <w:rsid w:val="11654949"/>
    <w:rsid w:val="116739BB"/>
    <w:rsid w:val="116769F4"/>
    <w:rsid w:val="11688A6A"/>
    <w:rsid w:val="1168BAE1"/>
    <w:rsid w:val="11761A01"/>
    <w:rsid w:val="117B5ACF"/>
    <w:rsid w:val="117CD758"/>
    <w:rsid w:val="117E9662"/>
    <w:rsid w:val="118106D1"/>
    <w:rsid w:val="118BBA4A"/>
    <w:rsid w:val="1192D4E1"/>
    <w:rsid w:val="1199A963"/>
    <w:rsid w:val="11A080B3"/>
    <w:rsid w:val="11A0858E"/>
    <w:rsid w:val="11B07F59"/>
    <w:rsid w:val="11B0EAD9"/>
    <w:rsid w:val="11B25A5A"/>
    <w:rsid w:val="11B5B2B0"/>
    <w:rsid w:val="11B6A06D"/>
    <w:rsid w:val="11B9E857"/>
    <w:rsid w:val="11BB1D8D"/>
    <w:rsid w:val="11C5346C"/>
    <w:rsid w:val="11C76A82"/>
    <w:rsid w:val="11C9964F"/>
    <w:rsid w:val="11CA2880"/>
    <w:rsid w:val="11D355C6"/>
    <w:rsid w:val="11D6398B"/>
    <w:rsid w:val="11DBFA0B"/>
    <w:rsid w:val="11E3C83D"/>
    <w:rsid w:val="11EA7C76"/>
    <w:rsid w:val="11EE1191"/>
    <w:rsid w:val="11EF81CB"/>
    <w:rsid w:val="11F0EB4C"/>
    <w:rsid w:val="11F1CB01"/>
    <w:rsid w:val="11FAA55E"/>
    <w:rsid w:val="11FCBD5F"/>
    <w:rsid w:val="1204E49B"/>
    <w:rsid w:val="1205EBF2"/>
    <w:rsid w:val="120B6476"/>
    <w:rsid w:val="120C7425"/>
    <w:rsid w:val="120C9500"/>
    <w:rsid w:val="1210C134"/>
    <w:rsid w:val="1212A743"/>
    <w:rsid w:val="121322B8"/>
    <w:rsid w:val="1213712D"/>
    <w:rsid w:val="12146039"/>
    <w:rsid w:val="1216B2D4"/>
    <w:rsid w:val="1217C87A"/>
    <w:rsid w:val="121C3C80"/>
    <w:rsid w:val="121D3F2D"/>
    <w:rsid w:val="1224D827"/>
    <w:rsid w:val="122BFD19"/>
    <w:rsid w:val="122DC242"/>
    <w:rsid w:val="1233282C"/>
    <w:rsid w:val="1234BBF9"/>
    <w:rsid w:val="1236D6E0"/>
    <w:rsid w:val="12380130"/>
    <w:rsid w:val="12476F15"/>
    <w:rsid w:val="124D1AAD"/>
    <w:rsid w:val="12541A51"/>
    <w:rsid w:val="125B6A12"/>
    <w:rsid w:val="125CE221"/>
    <w:rsid w:val="125D7973"/>
    <w:rsid w:val="125DDBBB"/>
    <w:rsid w:val="125E9A26"/>
    <w:rsid w:val="1260497A"/>
    <w:rsid w:val="12635C7A"/>
    <w:rsid w:val="1263CFD6"/>
    <w:rsid w:val="12663E6A"/>
    <w:rsid w:val="1267F153"/>
    <w:rsid w:val="1268586E"/>
    <w:rsid w:val="1269CF44"/>
    <w:rsid w:val="126D7A67"/>
    <w:rsid w:val="126EB9FB"/>
    <w:rsid w:val="1275176D"/>
    <w:rsid w:val="12794516"/>
    <w:rsid w:val="127A76BA"/>
    <w:rsid w:val="127AB0E3"/>
    <w:rsid w:val="127E75FE"/>
    <w:rsid w:val="1287FEBE"/>
    <w:rsid w:val="12895238"/>
    <w:rsid w:val="128AED83"/>
    <w:rsid w:val="128BCBFC"/>
    <w:rsid w:val="128F4A96"/>
    <w:rsid w:val="129023C8"/>
    <w:rsid w:val="1293ECEF"/>
    <w:rsid w:val="12961DC5"/>
    <w:rsid w:val="129870FC"/>
    <w:rsid w:val="129E2AD9"/>
    <w:rsid w:val="12A0F8CF"/>
    <w:rsid w:val="12A25D6B"/>
    <w:rsid w:val="12A2C79E"/>
    <w:rsid w:val="12A73539"/>
    <w:rsid w:val="12A8D047"/>
    <w:rsid w:val="12A96848"/>
    <w:rsid w:val="12ACB39B"/>
    <w:rsid w:val="12B79B2B"/>
    <w:rsid w:val="12BC62A5"/>
    <w:rsid w:val="12BD4539"/>
    <w:rsid w:val="12BDA58C"/>
    <w:rsid w:val="12C08275"/>
    <w:rsid w:val="12C26663"/>
    <w:rsid w:val="12C2B342"/>
    <w:rsid w:val="12C599F3"/>
    <w:rsid w:val="12C5CCDB"/>
    <w:rsid w:val="12CB2EC7"/>
    <w:rsid w:val="12D16916"/>
    <w:rsid w:val="12D1A95E"/>
    <w:rsid w:val="12D2F0F8"/>
    <w:rsid w:val="12D5FF5D"/>
    <w:rsid w:val="12DC7C9F"/>
    <w:rsid w:val="12DCEB7A"/>
    <w:rsid w:val="12DFF616"/>
    <w:rsid w:val="12DFFBB6"/>
    <w:rsid w:val="12E386A4"/>
    <w:rsid w:val="12E7F48A"/>
    <w:rsid w:val="12E922EE"/>
    <w:rsid w:val="12E9B8DF"/>
    <w:rsid w:val="12EA300B"/>
    <w:rsid w:val="12EB203C"/>
    <w:rsid w:val="12EBFAB3"/>
    <w:rsid w:val="12ECDB64"/>
    <w:rsid w:val="12FB560D"/>
    <w:rsid w:val="1303CB26"/>
    <w:rsid w:val="13055BE1"/>
    <w:rsid w:val="130DFEB9"/>
    <w:rsid w:val="1310612A"/>
    <w:rsid w:val="1310730C"/>
    <w:rsid w:val="13128A07"/>
    <w:rsid w:val="131809AC"/>
    <w:rsid w:val="131A7FEA"/>
    <w:rsid w:val="131BCA34"/>
    <w:rsid w:val="131C3622"/>
    <w:rsid w:val="131FE6E6"/>
    <w:rsid w:val="13216073"/>
    <w:rsid w:val="132BE3C7"/>
    <w:rsid w:val="132FFD02"/>
    <w:rsid w:val="133026E2"/>
    <w:rsid w:val="1333FFB8"/>
    <w:rsid w:val="13395176"/>
    <w:rsid w:val="1339618A"/>
    <w:rsid w:val="133FC70C"/>
    <w:rsid w:val="1341FBB9"/>
    <w:rsid w:val="13439F4D"/>
    <w:rsid w:val="1345CDFA"/>
    <w:rsid w:val="13460867"/>
    <w:rsid w:val="1346593D"/>
    <w:rsid w:val="135008B9"/>
    <w:rsid w:val="13535A7E"/>
    <w:rsid w:val="135524D7"/>
    <w:rsid w:val="135BE2DA"/>
    <w:rsid w:val="135C2303"/>
    <w:rsid w:val="135CA734"/>
    <w:rsid w:val="1361DB2D"/>
    <w:rsid w:val="136B7237"/>
    <w:rsid w:val="136E8504"/>
    <w:rsid w:val="136F09A4"/>
    <w:rsid w:val="1370EF3B"/>
    <w:rsid w:val="137296CF"/>
    <w:rsid w:val="1374B5C2"/>
    <w:rsid w:val="1378A079"/>
    <w:rsid w:val="137A05A3"/>
    <w:rsid w:val="137BFD5C"/>
    <w:rsid w:val="137CEE0C"/>
    <w:rsid w:val="137F0A20"/>
    <w:rsid w:val="1381C99A"/>
    <w:rsid w:val="138A05AB"/>
    <w:rsid w:val="138AACA7"/>
    <w:rsid w:val="138D82A5"/>
    <w:rsid w:val="138DCD8E"/>
    <w:rsid w:val="138EF053"/>
    <w:rsid w:val="138F5E81"/>
    <w:rsid w:val="13954A0B"/>
    <w:rsid w:val="1396310A"/>
    <w:rsid w:val="13991024"/>
    <w:rsid w:val="139BBD16"/>
    <w:rsid w:val="13A0CD8D"/>
    <w:rsid w:val="13A12820"/>
    <w:rsid w:val="13A34A82"/>
    <w:rsid w:val="13A63417"/>
    <w:rsid w:val="13A66AAC"/>
    <w:rsid w:val="13A682D9"/>
    <w:rsid w:val="13A83A95"/>
    <w:rsid w:val="13A90592"/>
    <w:rsid w:val="13A91E9F"/>
    <w:rsid w:val="13B3A2B0"/>
    <w:rsid w:val="13B4ECF2"/>
    <w:rsid w:val="13B505AF"/>
    <w:rsid w:val="13B66F52"/>
    <w:rsid w:val="13BAC95B"/>
    <w:rsid w:val="13BF03B8"/>
    <w:rsid w:val="13BFAA71"/>
    <w:rsid w:val="13C7E948"/>
    <w:rsid w:val="13CBE6AB"/>
    <w:rsid w:val="13D70802"/>
    <w:rsid w:val="13D70D9F"/>
    <w:rsid w:val="13DF6AC2"/>
    <w:rsid w:val="13E1863B"/>
    <w:rsid w:val="13E307DE"/>
    <w:rsid w:val="13E30AB0"/>
    <w:rsid w:val="13E92D8E"/>
    <w:rsid w:val="13E93CFF"/>
    <w:rsid w:val="13E96A5A"/>
    <w:rsid w:val="13EBE20A"/>
    <w:rsid w:val="13EFAA30"/>
    <w:rsid w:val="13F183B1"/>
    <w:rsid w:val="13F1EF13"/>
    <w:rsid w:val="13F588C0"/>
    <w:rsid w:val="13F58B43"/>
    <w:rsid w:val="13F6DDF5"/>
    <w:rsid w:val="13FAE0D9"/>
    <w:rsid w:val="13FB2BA3"/>
    <w:rsid w:val="13FB3B64"/>
    <w:rsid w:val="14029F28"/>
    <w:rsid w:val="1407A6E9"/>
    <w:rsid w:val="1409FEFA"/>
    <w:rsid w:val="1410A742"/>
    <w:rsid w:val="1410A943"/>
    <w:rsid w:val="1410B8F9"/>
    <w:rsid w:val="1411AF2C"/>
    <w:rsid w:val="1412F863"/>
    <w:rsid w:val="1416CF85"/>
    <w:rsid w:val="14192C4B"/>
    <w:rsid w:val="141BEE45"/>
    <w:rsid w:val="141C3F93"/>
    <w:rsid w:val="14212F4D"/>
    <w:rsid w:val="142344CE"/>
    <w:rsid w:val="142F3512"/>
    <w:rsid w:val="1432D06B"/>
    <w:rsid w:val="14369A74"/>
    <w:rsid w:val="143A6592"/>
    <w:rsid w:val="143AE9EF"/>
    <w:rsid w:val="143CE3D3"/>
    <w:rsid w:val="143ED256"/>
    <w:rsid w:val="14426F1D"/>
    <w:rsid w:val="1444A453"/>
    <w:rsid w:val="14450736"/>
    <w:rsid w:val="14475D10"/>
    <w:rsid w:val="1456344B"/>
    <w:rsid w:val="1457CA88"/>
    <w:rsid w:val="145F9CD0"/>
    <w:rsid w:val="145FF7D9"/>
    <w:rsid w:val="1464792C"/>
    <w:rsid w:val="14665455"/>
    <w:rsid w:val="146D7DE9"/>
    <w:rsid w:val="14702675"/>
    <w:rsid w:val="14771AB4"/>
    <w:rsid w:val="147BD537"/>
    <w:rsid w:val="147D48EE"/>
    <w:rsid w:val="147ECC87"/>
    <w:rsid w:val="147F5E82"/>
    <w:rsid w:val="148017B8"/>
    <w:rsid w:val="14827012"/>
    <w:rsid w:val="1484882A"/>
    <w:rsid w:val="14858D12"/>
    <w:rsid w:val="14863014"/>
    <w:rsid w:val="148BF98C"/>
    <w:rsid w:val="148E3795"/>
    <w:rsid w:val="149622D6"/>
    <w:rsid w:val="149BC922"/>
    <w:rsid w:val="14A20DBD"/>
    <w:rsid w:val="14A8338D"/>
    <w:rsid w:val="14A8AEFB"/>
    <w:rsid w:val="14A9D51C"/>
    <w:rsid w:val="14AD3DB0"/>
    <w:rsid w:val="14B3C93C"/>
    <w:rsid w:val="14B9D055"/>
    <w:rsid w:val="14BAD1F1"/>
    <w:rsid w:val="14BBA8AA"/>
    <w:rsid w:val="14BC73C6"/>
    <w:rsid w:val="14BCE239"/>
    <w:rsid w:val="14C3C959"/>
    <w:rsid w:val="14C5FF46"/>
    <w:rsid w:val="14C60A4B"/>
    <w:rsid w:val="14C64EE6"/>
    <w:rsid w:val="14C874C3"/>
    <w:rsid w:val="14C8CDD7"/>
    <w:rsid w:val="14CCBFB8"/>
    <w:rsid w:val="14CD54A1"/>
    <w:rsid w:val="14CEB362"/>
    <w:rsid w:val="14CF55AC"/>
    <w:rsid w:val="14CFA585"/>
    <w:rsid w:val="14D4D896"/>
    <w:rsid w:val="14D6F3FF"/>
    <w:rsid w:val="14E63B3A"/>
    <w:rsid w:val="14E7D831"/>
    <w:rsid w:val="14E90676"/>
    <w:rsid w:val="14F015DF"/>
    <w:rsid w:val="14F90495"/>
    <w:rsid w:val="14F9DE94"/>
    <w:rsid w:val="14FEBDB6"/>
    <w:rsid w:val="15060629"/>
    <w:rsid w:val="1506B398"/>
    <w:rsid w:val="1508B393"/>
    <w:rsid w:val="1508BEF5"/>
    <w:rsid w:val="150A7AD3"/>
    <w:rsid w:val="150DB938"/>
    <w:rsid w:val="150DC6DC"/>
    <w:rsid w:val="150DEBD8"/>
    <w:rsid w:val="150F5D57"/>
    <w:rsid w:val="15133E6A"/>
    <w:rsid w:val="1516D628"/>
    <w:rsid w:val="1516DD7B"/>
    <w:rsid w:val="15248B5B"/>
    <w:rsid w:val="152B4420"/>
    <w:rsid w:val="152B7F81"/>
    <w:rsid w:val="152C6AAA"/>
    <w:rsid w:val="152E7492"/>
    <w:rsid w:val="1531C984"/>
    <w:rsid w:val="1531D767"/>
    <w:rsid w:val="15364294"/>
    <w:rsid w:val="15389298"/>
    <w:rsid w:val="153B2A08"/>
    <w:rsid w:val="153EB26F"/>
    <w:rsid w:val="1549FAA7"/>
    <w:rsid w:val="154ADB19"/>
    <w:rsid w:val="1554E7D8"/>
    <w:rsid w:val="1556FEAE"/>
    <w:rsid w:val="155A1434"/>
    <w:rsid w:val="155F7A2E"/>
    <w:rsid w:val="15605F2D"/>
    <w:rsid w:val="156A329A"/>
    <w:rsid w:val="156C6747"/>
    <w:rsid w:val="156E71C4"/>
    <w:rsid w:val="15715A24"/>
    <w:rsid w:val="1571EB9F"/>
    <w:rsid w:val="15730BD7"/>
    <w:rsid w:val="1575F756"/>
    <w:rsid w:val="1576740A"/>
    <w:rsid w:val="15796804"/>
    <w:rsid w:val="157EC00F"/>
    <w:rsid w:val="1586B3AE"/>
    <w:rsid w:val="1587290B"/>
    <w:rsid w:val="158824FF"/>
    <w:rsid w:val="158E6009"/>
    <w:rsid w:val="15916E5D"/>
    <w:rsid w:val="15922D0C"/>
    <w:rsid w:val="1599EDD6"/>
    <w:rsid w:val="1599F5D3"/>
    <w:rsid w:val="159A9DDE"/>
    <w:rsid w:val="159C7F67"/>
    <w:rsid w:val="159E8F63"/>
    <w:rsid w:val="15A65BFA"/>
    <w:rsid w:val="15A76514"/>
    <w:rsid w:val="15A8D30F"/>
    <w:rsid w:val="15AA4D0B"/>
    <w:rsid w:val="15AC2135"/>
    <w:rsid w:val="15AF5D5A"/>
    <w:rsid w:val="15B57855"/>
    <w:rsid w:val="15B72F30"/>
    <w:rsid w:val="15BE1DA5"/>
    <w:rsid w:val="15BE86FA"/>
    <w:rsid w:val="15BFAC01"/>
    <w:rsid w:val="15C26365"/>
    <w:rsid w:val="15C4D7CD"/>
    <w:rsid w:val="15CAB985"/>
    <w:rsid w:val="15CB7E93"/>
    <w:rsid w:val="15CD3202"/>
    <w:rsid w:val="15CDA642"/>
    <w:rsid w:val="15D55F37"/>
    <w:rsid w:val="15D5D400"/>
    <w:rsid w:val="15D6D126"/>
    <w:rsid w:val="15DCEE72"/>
    <w:rsid w:val="15EA7BFE"/>
    <w:rsid w:val="15EAA313"/>
    <w:rsid w:val="15EFD1DF"/>
    <w:rsid w:val="15F1F8C2"/>
    <w:rsid w:val="15F3F47D"/>
    <w:rsid w:val="15F614AE"/>
    <w:rsid w:val="15F88833"/>
    <w:rsid w:val="15F9ADDC"/>
    <w:rsid w:val="15FC6811"/>
    <w:rsid w:val="15FF3C06"/>
    <w:rsid w:val="15FF450B"/>
    <w:rsid w:val="16027BCB"/>
    <w:rsid w:val="1605D8B9"/>
    <w:rsid w:val="16079185"/>
    <w:rsid w:val="160B94CC"/>
    <w:rsid w:val="160E0899"/>
    <w:rsid w:val="160F2A23"/>
    <w:rsid w:val="16118F0F"/>
    <w:rsid w:val="1613D74B"/>
    <w:rsid w:val="1614F879"/>
    <w:rsid w:val="1619173F"/>
    <w:rsid w:val="1619C790"/>
    <w:rsid w:val="161DCE1F"/>
    <w:rsid w:val="161FF119"/>
    <w:rsid w:val="16227863"/>
    <w:rsid w:val="16347DC8"/>
    <w:rsid w:val="1636338A"/>
    <w:rsid w:val="1640BE6B"/>
    <w:rsid w:val="16526F25"/>
    <w:rsid w:val="16586FE4"/>
    <w:rsid w:val="165BA0C2"/>
    <w:rsid w:val="16657AA9"/>
    <w:rsid w:val="1667AE76"/>
    <w:rsid w:val="166DB8F4"/>
    <w:rsid w:val="167084C6"/>
    <w:rsid w:val="1672AEBF"/>
    <w:rsid w:val="16766542"/>
    <w:rsid w:val="167DD71C"/>
    <w:rsid w:val="1684BDEC"/>
    <w:rsid w:val="168631F1"/>
    <w:rsid w:val="168757CC"/>
    <w:rsid w:val="1688F8A6"/>
    <w:rsid w:val="168C15E7"/>
    <w:rsid w:val="1690531E"/>
    <w:rsid w:val="16985FB5"/>
    <w:rsid w:val="169D1088"/>
    <w:rsid w:val="16A4F8FD"/>
    <w:rsid w:val="16A552B2"/>
    <w:rsid w:val="16A6E806"/>
    <w:rsid w:val="16AA0C3F"/>
    <w:rsid w:val="16ABA01B"/>
    <w:rsid w:val="16B0B4F9"/>
    <w:rsid w:val="16B5CE74"/>
    <w:rsid w:val="16BB9989"/>
    <w:rsid w:val="16BBEA44"/>
    <w:rsid w:val="16BBF0CB"/>
    <w:rsid w:val="16C1044C"/>
    <w:rsid w:val="16C20550"/>
    <w:rsid w:val="16C55F7C"/>
    <w:rsid w:val="16C867F3"/>
    <w:rsid w:val="16C8E5A9"/>
    <w:rsid w:val="16D1714F"/>
    <w:rsid w:val="16D54A94"/>
    <w:rsid w:val="16D8424B"/>
    <w:rsid w:val="16DB7F79"/>
    <w:rsid w:val="16E21A68"/>
    <w:rsid w:val="16E4879A"/>
    <w:rsid w:val="16E5AA68"/>
    <w:rsid w:val="16E663A8"/>
    <w:rsid w:val="16E7BCB6"/>
    <w:rsid w:val="16E9D2F5"/>
    <w:rsid w:val="16ECAC6D"/>
    <w:rsid w:val="16ED4912"/>
    <w:rsid w:val="16F49831"/>
    <w:rsid w:val="16FBD124"/>
    <w:rsid w:val="1709D4B5"/>
    <w:rsid w:val="170A1B8D"/>
    <w:rsid w:val="170A2302"/>
    <w:rsid w:val="170D0ACE"/>
    <w:rsid w:val="170D4351"/>
    <w:rsid w:val="170F916A"/>
    <w:rsid w:val="1710D307"/>
    <w:rsid w:val="1712940F"/>
    <w:rsid w:val="1714F6F6"/>
    <w:rsid w:val="1714FBFA"/>
    <w:rsid w:val="17158711"/>
    <w:rsid w:val="1717460B"/>
    <w:rsid w:val="1717F077"/>
    <w:rsid w:val="1717F466"/>
    <w:rsid w:val="1719ED5D"/>
    <w:rsid w:val="171A4BF4"/>
    <w:rsid w:val="171C32AD"/>
    <w:rsid w:val="171D7A27"/>
    <w:rsid w:val="171F10DB"/>
    <w:rsid w:val="17252FD1"/>
    <w:rsid w:val="1727753B"/>
    <w:rsid w:val="172D1822"/>
    <w:rsid w:val="1730E4D1"/>
    <w:rsid w:val="1732A20E"/>
    <w:rsid w:val="1732B26F"/>
    <w:rsid w:val="1732D10D"/>
    <w:rsid w:val="1733D874"/>
    <w:rsid w:val="173543DD"/>
    <w:rsid w:val="1735D00D"/>
    <w:rsid w:val="17382F49"/>
    <w:rsid w:val="173872B3"/>
    <w:rsid w:val="1738AFF8"/>
    <w:rsid w:val="173E1037"/>
    <w:rsid w:val="174114DA"/>
    <w:rsid w:val="17418CA2"/>
    <w:rsid w:val="1741F76D"/>
    <w:rsid w:val="174BCD29"/>
    <w:rsid w:val="17520109"/>
    <w:rsid w:val="175A4EC3"/>
    <w:rsid w:val="1761367A"/>
    <w:rsid w:val="1765E004"/>
    <w:rsid w:val="17660D6B"/>
    <w:rsid w:val="176EBCC7"/>
    <w:rsid w:val="177027D7"/>
    <w:rsid w:val="177B7A50"/>
    <w:rsid w:val="177B9B8D"/>
    <w:rsid w:val="177E8273"/>
    <w:rsid w:val="178283D3"/>
    <w:rsid w:val="178622C3"/>
    <w:rsid w:val="17879FA6"/>
    <w:rsid w:val="17901A0E"/>
    <w:rsid w:val="1796E418"/>
    <w:rsid w:val="1798C188"/>
    <w:rsid w:val="179AC154"/>
    <w:rsid w:val="17A1C0FB"/>
    <w:rsid w:val="17A7629A"/>
    <w:rsid w:val="17AD0FCB"/>
    <w:rsid w:val="17AF6017"/>
    <w:rsid w:val="17B275E6"/>
    <w:rsid w:val="17B8C401"/>
    <w:rsid w:val="17C285B0"/>
    <w:rsid w:val="17C57817"/>
    <w:rsid w:val="17CBAB7F"/>
    <w:rsid w:val="17CC4788"/>
    <w:rsid w:val="17CFBE4D"/>
    <w:rsid w:val="17D85444"/>
    <w:rsid w:val="17D89259"/>
    <w:rsid w:val="17DC264B"/>
    <w:rsid w:val="17DC4529"/>
    <w:rsid w:val="17DE0669"/>
    <w:rsid w:val="17DE43EB"/>
    <w:rsid w:val="17E1207E"/>
    <w:rsid w:val="17E27578"/>
    <w:rsid w:val="17EBEA91"/>
    <w:rsid w:val="17EE200A"/>
    <w:rsid w:val="17EE6862"/>
    <w:rsid w:val="17EE741E"/>
    <w:rsid w:val="17F3CBD0"/>
    <w:rsid w:val="17F53EA7"/>
    <w:rsid w:val="17F5DC8E"/>
    <w:rsid w:val="17F99BF2"/>
    <w:rsid w:val="17F9D23D"/>
    <w:rsid w:val="17FB36A8"/>
    <w:rsid w:val="17FCCF14"/>
    <w:rsid w:val="1803901D"/>
    <w:rsid w:val="1805882A"/>
    <w:rsid w:val="18064FCE"/>
    <w:rsid w:val="18121523"/>
    <w:rsid w:val="1812FBD2"/>
    <w:rsid w:val="18131CED"/>
    <w:rsid w:val="18154B8F"/>
    <w:rsid w:val="18161EB1"/>
    <w:rsid w:val="181FF66B"/>
    <w:rsid w:val="1825C9B9"/>
    <w:rsid w:val="182F5F85"/>
    <w:rsid w:val="1831037F"/>
    <w:rsid w:val="1831A734"/>
    <w:rsid w:val="18326061"/>
    <w:rsid w:val="18339FFE"/>
    <w:rsid w:val="1835BCCE"/>
    <w:rsid w:val="183E18A4"/>
    <w:rsid w:val="183E4586"/>
    <w:rsid w:val="18413475"/>
    <w:rsid w:val="1841EE36"/>
    <w:rsid w:val="1846A213"/>
    <w:rsid w:val="184857D5"/>
    <w:rsid w:val="184C68A9"/>
    <w:rsid w:val="184FE6F5"/>
    <w:rsid w:val="1850020F"/>
    <w:rsid w:val="1850E608"/>
    <w:rsid w:val="18532F31"/>
    <w:rsid w:val="18536DDC"/>
    <w:rsid w:val="1854205E"/>
    <w:rsid w:val="185431E8"/>
    <w:rsid w:val="1856FC77"/>
    <w:rsid w:val="18577075"/>
    <w:rsid w:val="1861F69A"/>
    <w:rsid w:val="1866A37B"/>
    <w:rsid w:val="18741C58"/>
    <w:rsid w:val="1879412C"/>
    <w:rsid w:val="187B809F"/>
    <w:rsid w:val="187D2AFA"/>
    <w:rsid w:val="187EA0ED"/>
    <w:rsid w:val="187F3B72"/>
    <w:rsid w:val="18893801"/>
    <w:rsid w:val="188F8998"/>
    <w:rsid w:val="1897F7A2"/>
    <w:rsid w:val="189BCBC5"/>
    <w:rsid w:val="18A0842F"/>
    <w:rsid w:val="18A1DBF0"/>
    <w:rsid w:val="18A592D5"/>
    <w:rsid w:val="18A98D71"/>
    <w:rsid w:val="18AC4463"/>
    <w:rsid w:val="18AEBFC9"/>
    <w:rsid w:val="18B0C1FB"/>
    <w:rsid w:val="18B408A9"/>
    <w:rsid w:val="18B5A5D3"/>
    <w:rsid w:val="18B5FDE1"/>
    <w:rsid w:val="18B6D70C"/>
    <w:rsid w:val="18B732DA"/>
    <w:rsid w:val="18B818A1"/>
    <w:rsid w:val="18C0C022"/>
    <w:rsid w:val="18C103EB"/>
    <w:rsid w:val="18D00F82"/>
    <w:rsid w:val="18D05A09"/>
    <w:rsid w:val="18D0CCC1"/>
    <w:rsid w:val="18D752DF"/>
    <w:rsid w:val="18DB01AE"/>
    <w:rsid w:val="18E2DE08"/>
    <w:rsid w:val="18EB6108"/>
    <w:rsid w:val="18EEE31B"/>
    <w:rsid w:val="18EF8182"/>
    <w:rsid w:val="18F7948E"/>
    <w:rsid w:val="18F7D05D"/>
    <w:rsid w:val="18FD652B"/>
    <w:rsid w:val="19008EFF"/>
    <w:rsid w:val="19009ED8"/>
    <w:rsid w:val="19022466"/>
    <w:rsid w:val="19028040"/>
    <w:rsid w:val="1905B39E"/>
    <w:rsid w:val="1906552D"/>
    <w:rsid w:val="19078096"/>
    <w:rsid w:val="1910D598"/>
    <w:rsid w:val="19112A99"/>
    <w:rsid w:val="1914122B"/>
    <w:rsid w:val="1915B49F"/>
    <w:rsid w:val="19187A20"/>
    <w:rsid w:val="191A5551"/>
    <w:rsid w:val="1927E9C1"/>
    <w:rsid w:val="1928273F"/>
    <w:rsid w:val="192881F4"/>
    <w:rsid w:val="19379AE7"/>
    <w:rsid w:val="193D7647"/>
    <w:rsid w:val="194316D7"/>
    <w:rsid w:val="1946D147"/>
    <w:rsid w:val="194ABBF5"/>
    <w:rsid w:val="194BD424"/>
    <w:rsid w:val="1956477E"/>
    <w:rsid w:val="1957BED9"/>
    <w:rsid w:val="1957EC3E"/>
    <w:rsid w:val="19645B9F"/>
    <w:rsid w:val="1967F269"/>
    <w:rsid w:val="196996CD"/>
    <w:rsid w:val="196F3EC0"/>
    <w:rsid w:val="196FE675"/>
    <w:rsid w:val="19708241"/>
    <w:rsid w:val="19733F2D"/>
    <w:rsid w:val="1978CF31"/>
    <w:rsid w:val="197B843B"/>
    <w:rsid w:val="197EF087"/>
    <w:rsid w:val="197F48A3"/>
    <w:rsid w:val="197FE077"/>
    <w:rsid w:val="1987403E"/>
    <w:rsid w:val="198B7DE2"/>
    <w:rsid w:val="198EE3AB"/>
    <w:rsid w:val="198F50BE"/>
    <w:rsid w:val="1994AAF2"/>
    <w:rsid w:val="1995E7EA"/>
    <w:rsid w:val="1995E934"/>
    <w:rsid w:val="199954D7"/>
    <w:rsid w:val="199A0704"/>
    <w:rsid w:val="199BB9C5"/>
    <w:rsid w:val="199D38A4"/>
    <w:rsid w:val="199E7361"/>
    <w:rsid w:val="19A14CEF"/>
    <w:rsid w:val="19A191AB"/>
    <w:rsid w:val="19A1ECF8"/>
    <w:rsid w:val="19AE63B7"/>
    <w:rsid w:val="19B9D799"/>
    <w:rsid w:val="19B9E2DD"/>
    <w:rsid w:val="19BF6756"/>
    <w:rsid w:val="19C3D204"/>
    <w:rsid w:val="19C50B14"/>
    <w:rsid w:val="19C92D23"/>
    <w:rsid w:val="19D34050"/>
    <w:rsid w:val="19DD9F15"/>
    <w:rsid w:val="19DE5BB0"/>
    <w:rsid w:val="19E2AC9A"/>
    <w:rsid w:val="19E4E7C5"/>
    <w:rsid w:val="19E60C68"/>
    <w:rsid w:val="19E69CEE"/>
    <w:rsid w:val="19E6CCBE"/>
    <w:rsid w:val="19EFA444"/>
    <w:rsid w:val="19F119B0"/>
    <w:rsid w:val="19F4108C"/>
    <w:rsid w:val="19F45A92"/>
    <w:rsid w:val="19F4BCB1"/>
    <w:rsid w:val="19F8041F"/>
    <w:rsid w:val="19FE932C"/>
    <w:rsid w:val="1A07345D"/>
    <w:rsid w:val="1A095BB3"/>
    <w:rsid w:val="1A09AB86"/>
    <w:rsid w:val="1A0A8C6C"/>
    <w:rsid w:val="1A11733A"/>
    <w:rsid w:val="1A122061"/>
    <w:rsid w:val="1A1229E1"/>
    <w:rsid w:val="1A1606C8"/>
    <w:rsid w:val="1A186E1C"/>
    <w:rsid w:val="1A18B78C"/>
    <w:rsid w:val="1A228A11"/>
    <w:rsid w:val="1A25A9AC"/>
    <w:rsid w:val="1A292EBC"/>
    <w:rsid w:val="1A3696B0"/>
    <w:rsid w:val="1A372B7C"/>
    <w:rsid w:val="1A3A1882"/>
    <w:rsid w:val="1A40FDBB"/>
    <w:rsid w:val="1A486B4B"/>
    <w:rsid w:val="1A4C3B7E"/>
    <w:rsid w:val="1A4EC205"/>
    <w:rsid w:val="1A4ECA6E"/>
    <w:rsid w:val="1A507194"/>
    <w:rsid w:val="1A56BCDF"/>
    <w:rsid w:val="1A57EBC1"/>
    <w:rsid w:val="1A58DDEC"/>
    <w:rsid w:val="1A5FC2D4"/>
    <w:rsid w:val="1A6785BD"/>
    <w:rsid w:val="1A67A2A9"/>
    <w:rsid w:val="1A6BAF81"/>
    <w:rsid w:val="1A753AC7"/>
    <w:rsid w:val="1A7DCCAF"/>
    <w:rsid w:val="1A7E21FB"/>
    <w:rsid w:val="1A822F3F"/>
    <w:rsid w:val="1A8C8869"/>
    <w:rsid w:val="1A91DF81"/>
    <w:rsid w:val="1A9E7145"/>
    <w:rsid w:val="1AA39EA1"/>
    <w:rsid w:val="1AA69F63"/>
    <w:rsid w:val="1AA6F133"/>
    <w:rsid w:val="1AA82CAA"/>
    <w:rsid w:val="1AADAAC2"/>
    <w:rsid w:val="1AB1C489"/>
    <w:rsid w:val="1AB247B7"/>
    <w:rsid w:val="1AB482D0"/>
    <w:rsid w:val="1ABBDC31"/>
    <w:rsid w:val="1ABF1BA9"/>
    <w:rsid w:val="1ABFEDD8"/>
    <w:rsid w:val="1AC3A44A"/>
    <w:rsid w:val="1AC58440"/>
    <w:rsid w:val="1AC60432"/>
    <w:rsid w:val="1ACAE68D"/>
    <w:rsid w:val="1ACEBEE5"/>
    <w:rsid w:val="1AD1D7A4"/>
    <w:rsid w:val="1AD22EC3"/>
    <w:rsid w:val="1AD6C6D5"/>
    <w:rsid w:val="1AD8AD33"/>
    <w:rsid w:val="1AE1D4F1"/>
    <w:rsid w:val="1AE1E184"/>
    <w:rsid w:val="1AE31B95"/>
    <w:rsid w:val="1AE66F70"/>
    <w:rsid w:val="1AF39ECC"/>
    <w:rsid w:val="1AF7934B"/>
    <w:rsid w:val="1AF990EE"/>
    <w:rsid w:val="1B0016DC"/>
    <w:rsid w:val="1B0BFB60"/>
    <w:rsid w:val="1B0E5EE9"/>
    <w:rsid w:val="1B0F8269"/>
    <w:rsid w:val="1B1175D1"/>
    <w:rsid w:val="1B1407DF"/>
    <w:rsid w:val="1B14A171"/>
    <w:rsid w:val="1B14DCCB"/>
    <w:rsid w:val="1B1A632F"/>
    <w:rsid w:val="1B1FB4BB"/>
    <w:rsid w:val="1B206FB4"/>
    <w:rsid w:val="1B227C5F"/>
    <w:rsid w:val="1B27FC5E"/>
    <w:rsid w:val="1B32E63E"/>
    <w:rsid w:val="1B347DD2"/>
    <w:rsid w:val="1B3832D2"/>
    <w:rsid w:val="1B3B3E37"/>
    <w:rsid w:val="1B3EF224"/>
    <w:rsid w:val="1B4742FA"/>
    <w:rsid w:val="1B485E23"/>
    <w:rsid w:val="1B491E87"/>
    <w:rsid w:val="1B4BC64C"/>
    <w:rsid w:val="1B4FC39C"/>
    <w:rsid w:val="1B519FB2"/>
    <w:rsid w:val="1B52C6C8"/>
    <w:rsid w:val="1B531944"/>
    <w:rsid w:val="1B551AAF"/>
    <w:rsid w:val="1B56D33A"/>
    <w:rsid w:val="1B56F808"/>
    <w:rsid w:val="1B5F84D4"/>
    <w:rsid w:val="1B60B803"/>
    <w:rsid w:val="1B60D0C3"/>
    <w:rsid w:val="1B6487A8"/>
    <w:rsid w:val="1B64B592"/>
    <w:rsid w:val="1B64F959"/>
    <w:rsid w:val="1B6862E6"/>
    <w:rsid w:val="1B6B4E29"/>
    <w:rsid w:val="1B6B6B00"/>
    <w:rsid w:val="1B7111E1"/>
    <w:rsid w:val="1B71D1F6"/>
    <w:rsid w:val="1B782F60"/>
    <w:rsid w:val="1B7A11F2"/>
    <w:rsid w:val="1B7C2EE7"/>
    <w:rsid w:val="1B92CCFD"/>
    <w:rsid w:val="1B9820EB"/>
    <w:rsid w:val="1B98DE11"/>
    <w:rsid w:val="1BA20A27"/>
    <w:rsid w:val="1BA2B7C5"/>
    <w:rsid w:val="1BA5FF5E"/>
    <w:rsid w:val="1BAB9DE3"/>
    <w:rsid w:val="1BAC49B2"/>
    <w:rsid w:val="1BBAE965"/>
    <w:rsid w:val="1BBB857D"/>
    <w:rsid w:val="1BBEE4B2"/>
    <w:rsid w:val="1BC5C5E8"/>
    <w:rsid w:val="1BC62983"/>
    <w:rsid w:val="1BC66F07"/>
    <w:rsid w:val="1BC750A7"/>
    <w:rsid w:val="1BCD3FDB"/>
    <w:rsid w:val="1BD27468"/>
    <w:rsid w:val="1BD3D612"/>
    <w:rsid w:val="1BD51789"/>
    <w:rsid w:val="1BDE174F"/>
    <w:rsid w:val="1BDE97EB"/>
    <w:rsid w:val="1BDF628A"/>
    <w:rsid w:val="1BE0D0E4"/>
    <w:rsid w:val="1BE7A3EE"/>
    <w:rsid w:val="1BEEBB0B"/>
    <w:rsid w:val="1BF689B1"/>
    <w:rsid w:val="1BFC2AE7"/>
    <w:rsid w:val="1C06AB61"/>
    <w:rsid w:val="1C08DBD8"/>
    <w:rsid w:val="1C09733F"/>
    <w:rsid w:val="1C0A8AFB"/>
    <w:rsid w:val="1C0B0E7D"/>
    <w:rsid w:val="1C0D27DF"/>
    <w:rsid w:val="1C108BC9"/>
    <w:rsid w:val="1C1A6895"/>
    <w:rsid w:val="1C1B1D40"/>
    <w:rsid w:val="1C1C154F"/>
    <w:rsid w:val="1C1C1DF4"/>
    <w:rsid w:val="1C20C8D9"/>
    <w:rsid w:val="1C26602E"/>
    <w:rsid w:val="1C2675CC"/>
    <w:rsid w:val="1C2857C1"/>
    <w:rsid w:val="1C2C5DF9"/>
    <w:rsid w:val="1C35736D"/>
    <w:rsid w:val="1C38FACC"/>
    <w:rsid w:val="1C3F3AC7"/>
    <w:rsid w:val="1C4093BD"/>
    <w:rsid w:val="1C49D3ED"/>
    <w:rsid w:val="1C4D5793"/>
    <w:rsid w:val="1C4E2234"/>
    <w:rsid w:val="1C509BAF"/>
    <w:rsid w:val="1C57550B"/>
    <w:rsid w:val="1C5A5485"/>
    <w:rsid w:val="1C5F0518"/>
    <w:rsid w:val="1C5F65D7"/>
    <w:rsid w:val="1C614F42"/>
    <w:rsid w:val="1C650FAD"/>
    <w:rsid w:val="1C6F829B"/>
    <w:rsid w:val="1C759BE8"/>
    <w:rsid w:val="1C7D46B4"/>
    <w:rsid w:val="1C80F606"/>
    <w:rsid w:val="1C85B44E"/>
    <w:rsid w:val="1C8A48BA"/>
    <w:rsid w:val="1C8B5C18"/>
    <w:rsid w:val="1C8BE50F"/>
    <w:rsid w:val="1C8C6FD1"/>
    <w:rsid w:val="1C92C5D7"/>
    <w:rsid w:val="1C93A035"/>
    <w:rsid w:val="1C99A566"/>
    <w:rsid w:val="1C9A1BA1"/>
    <w:rsid w:val="1C9B16FF"/>
    <w:rsid w:val="1CA37161"/>
    <w:rsid w:val="1CA37790"/>
    <w:rsid w:val="1CA73C6A"/>
    <w:rsid w:val="1CA893F6"/>
    <w:rsid w:val="1CAF5C60"/>
    <w:rsid w:val="1CB85B9D"/>
    <w:rsid w:val="1CBF9939"/>
    <w:rsid w:val="1CC04ED7"/>
    <w:rsid w:val="1CC20056"/>
    <w:rsid w:val="1CC32A39"/>
    <w:rsid w:val="1CC483CA"/>
    <w:rsid w:val="1CC6E0F0"/>
    <w:rsid w:val="1CCB3C80"/>
    <w:rsid w:val="1CCEADC8"/>
    <w:rsid w:val="1CD03C14"/>
    <w:rsid w:val="1CD14308"/>
    <w:rsid w:val="1CD4A8D7"/>
    <w:rsid w:val="1CD65708"/>
    <w:rsid w:val="1CDBBD5A"/>
    <w:rsid w:val="1CE0A989"/>
    <w:rsid w:val="1CE52838"/>
    <w:rsid w:val="1CE55670"/>
    <w:rsid w:val="1CE5632D"/>
    <w:rsid w:val="1CEA4F6B"/>
    <w:rsid w:val="1CEB8408"/>
    <w:rsid w:val="1CEE5FA5"/>
    <w:rsid w:val="1CEFC4A0"/>
    <w:rsid w:val="1CF1A9C7"/>
    <w:rsid w:val="1CF28D93"/>
    <w:rsid w:val="1CF47703"/>
    <w:rsid w:val="1CF70755"/>
    <w:rsid w:val="1CF96A1F"/>
    <w:rsid w:val="1CF9F0CA"/>
    <w:rsid w:val="1D0328C2"/>
    <w:rsid w:val="1D032C83"/>
    <w:rsid w:val="1D056A2E"/>
    <w:rsid w:val="1D0D9224"/>
    <w:rsid w:val="1D0DED24"/>
    <w:rsid w:val="1D1267CD"/>
    <w:rsid w:val="1D163A80"/>
    <w:rsid w:val="1D16ED93"/>
    <w:rsid w:val="1D1AC8E7"/>
    <w:rsid w:val="1D1C0A5D"/>
    <w:rsid w:val="1D1E01A7"/>
    <w:rsid w:val="1D205580"/>
    <w:rsid w:val="1D21605C"/>
    <w:rsid w:val="1D23B322"/>
    <w:rsid w:val="1D26D2A2"/>
    <w:rsid w:val="1D293C8B"/>
    <w:rsid w:val="1D2B0714"/>
    <w:rsid w:val="1D2B8FA5"/>
    <w:rsid w:val="1D2F01FA"/>
    <w:rsid w:val="1D312559"/>
    <w:rsid w:val="1D32074C"/>
    <w:rsid w:val="1D36D9DB"/>
    <w:rsid w:val="1D3FEF52"/>
    <w:rsid w:val="1D495AF8"/>
    <w:rsid w:val="1D49B59B"/>
    <w:rsid w:val="1D4AF514"/>
    <w:rsid w:val="1D4B65C7"/>
    <w:rsid w:val="1D4C679D"/>
    <w:rsid w:val="1D4CB15A"/>
    <w:rsid w:val="1D4F896E"/>
    <w:rsid w:val="1D56B15E"/>
    <w:rsid w:val="1D570E80"/>
    <w:rsid w:val="1D5802CA"/>
    <w:rsid w:val="1D5BE5A7"/>
    <w:rsid w:val="1D5D7958"/>
    <w:rsid w:val="1D60CF7E"/>
    <w:rsid w:val="1D613B26"/>
    <w:rsid w:val="1D621519"/>
    <w:rsid w:val="1D62910F"/>
    <w:rsid w:val="1D67B3C0"/>
    <w:rsid w:val="1D67D9E5"/>
    <w:rsid w:val="1D6FB054"/>
    <w:rsid w:val="1D79A839"/>
    <w:rsid w:val="1D79F6E0"/>
    <w:rsid w:val="1D849B64"/>
    <w:rsid w:val="1D849D55"/>
    <w:rsid w:val="1D84BD97"/>
    <w:rsid w:val="1D86CBEA"/>
    <w:rsid w:val="1D8D5C6F"/>
    <w:rsid w:val="1D91493E"/>
    <w:rsid w:val="1D94F7D1"/>
    <w:rsid w:val="1D951056"/>
    <w:rsid w:val="1D961E27"/>
    <w:rsid w:val="1D99EAE6"/>
    <w:rsid w:val="1DA1BAC7"/>
    <w:rsid w:val="1DACD1EC"/>
    <w:rsid w:val="1DAD7A2B"/>
    <w:rsid w:val="1DB4296F"/>
    <w:rsid w:val="1DB66CD3"/>
    <w:rsid w:val="1DB7BB6A"/>
    <w:rsid w:val="1DB9F10C"/>
    <w:rsid w:val="1DBE6E03"/>
    <w:rsid w:val="1DC3E0F0"/>
    <w:rsid w:val="1DC70CBD"/>
    <w:rsid w:val="1DC84BF1"/>
    <w:rsid w:val="1DCB1385"/>
    <w:rsid w:val="1DD61717"/>
    <w:rsid w:val="1DD7EFDA"/>
    <w:rsid w:val="1DE34AB8"/>
    <w:rsid w:val="1DE49677"/>
    <w:rsid w:val="1DE56CFC"/>
    <w:rsid w:val="1DE6E2C2"/>
    <w:rsid w:val="1DE7EA7E"/>
    <w:rsid w:val="1DEB8BC8"/>
    <w:rsid w:val="1DEC022F"/>
    <w:rsid w:val="1DEC7A85"/>
    <w:rsid w:val="1DEE884E"/>
    <w:rsid w:val="1DEF375B"/>
    <w:rsid w:val="1DF6A8E1"/>
    <w:rsid w:val="1DFD3584"/>
    <w:rsid w:val="1DFFEA97"/>
    <w:rsid w:val="1E0049D5"/>
    <w:rsid w:val="1E01940B"/>
    <w:rsid w:val="1E08CBA6"/>
    <w:rsid w:val="1E1F1315"/>
    <w:rsid w:val="1E23EC27"/>
    <w:rsid w:val="1E2407BE"/>
    <w:rsid w:val="1E244FAB"/>
    <w:rsid w:val="1E248E59"/>
    <w:rsid w:val="1E254F8C"/>
    <w:rsid w:val="1E288669"/>
    <w:rsid w:val="1E2AB1F3"/>
    <w:rsid w:val="1E2E7A67"/>
    <w:rsid w:val="1E30E4E4"/>
    <w:rsid w:val="1E33897E"/>
    <w:rsid w:val="1E350F4B"/>
    <w:rsid w:val="1E36B71B"/>
    <w:rsid w:val="1E3EC665"/>
    <w:rsid w:val="1E3FEE55"/>
    <w:rsid w:val="1E4003E3"/>
    <w:rsid w:val="1E42A3A8"/>
    <w:rsid w:val="1E4684FC"/>
    <w:rsid w:val="1E4E0DA3"/>
    <w:rsid w:val="1E5424A9"/>
    <w:rsid w:val="1E550D64"/>
    <w:rsid w:val="1E5865FC"/>
    <w:rsid w:val="1E597E74"/>
    <w:rsid w:val="1E5EB397"/>
    <w:rsid w:val="1E655B56"/>
    <w:rsid w:val="1E6777A7"/>
    <w:rsid w:val="1E694561"/>
    <w:rsid w:val="1E699CB0"/>
    <w:rsid w:val="1E6DFC48"/>
    <w:rsid w:val="1E707260"/>
    <w:rsid w:val="1E753F88"/>
    <w:rsid w:val="1E7C81BF"/>
    <w:rsid w:val="1E8182A4"/>
    <w:rsid w:val="1E8219F8"/>
    <w:rsid w:val="1E848469"/>
    <w:rsid w:val="1E84ABF9"/>
    <w:rsid w:val="1E87C175"/>
    <w:rsid w:val="1E8A8275"/>
    <w:rsid w:val="1E8FCDEB"/>
    <w:rsid w:val="1E93DF06"/>
    <w:rsid w:val="1E99282B"/>
    <w:rsid w:val="1E9B14E4"/>
    <w:rsid w:val="1EA1D9A2"/>
    <w:rsid w:val="1EA9FA77"/>
    <w:rsid w:val="1EAB3FBC"/>
    <w:rsid w:val="1EAE69C5"/>
    <w:rsid w:val="1EAEB859"/>
    <w:rsid w:val="1EAEF78C"/>
    <w:rsid w:val="1EAF3024"/>
    <w:rsid w:val="1EAF61FC"/>
    <w:rsid w:val="1EAF8A96"/>
    <w:rsid w:val="1EB530E1"/>
    <w:rsid w:val="1EB8693D"/>
    <w:rsid w:val="1EBA7938"/>
    <w:rsid w:val="1EBF77E5"/>
    <w:rsid w:val="1EC355AC"/>
    <w:rsid w:val="1EC7E937"/>
    <w:rsid w:val="1EC90CF8"/>
    <w:rsid w:val="1ECD8F7E"/>
    <w:rsid w:val="1ED2995E"/>
    <w:rsid w:val="1ED9E655"/>
    <w:rsid w:val="1EDFDEB7"/>
    <w:rsid w:val="1EE717CD"/>
    <w:rsid w:val="1EECBDE5"/>
    <w:rsid w:val="1EEF7338"/>
    <w:rsid w:val="1EF2BE77"/>
    <w:rsid w:val="1EFF2613"/>
    <w:rsid w:val="1F0229B7"/>
    <w:rsid w:val="1F043FA3"/>
    <w:rsid w:val="1F05070C"/>
    <w:rsid w:val="1F0BD8E9"/>
    <w:rsid w:val="1F0FDFC5"/>
    <w:rsid w:val="1F11C00E"/>
    <w:rsid w:val="1F15C691"/>
    <w:rsid w:val="1F16951B"/>
    <w:rsid w:val="1F1CEE44"/>
    <w:rsid w:val="1F1E3BBA"/>
    <w:rsid w:val="1F254245"/>
    <w:rsid w:val="1F283A22"/>
    <w:rsid w:val="1F314F95"/>
    <w:rsid w:val="1F3397EF"/>
    <w:rsid w:val="1F391862"/>
    <w:rsid w:val="1F395945"/>
    <w:rsid w:val="1F3D5261"/>
    <w:rsid w:val="1F3E68A4"/>
    <w:rsid w:val="1F3EFC78"/>
    <w:rsid w:val="1F41D63C"/>
    <w:rsid w:val="1F43F849"/>
    <w:rsid w:val="1F4805CC"/>
    <w:rsid w:val="1F4F8F49"/>
    <w:rsid w:val="1F508E9A"/>
    <w:rsid w:val="1F519503"/>
    <w:rsid w:val="1F51E496"/>
    <w:rsid w:val="1F5515C7"/>
    <w:rsid w:val="1F59C5CC"/>
    <w:rsid w:val="1F5DC777"/>
    <w:rsid w:val="1F60E5D4"/>
    <w:rsid w:val="1F610B8F"/>
    <w:rsid w:val="1F62F613"/>
    <w:rsid w:val="1F6669AB"/>
    <w:rsid w:val="1F66B9A2"/>
    <w:rsid w:val="1F6DA033"/>
    <w:rsid w:val="1F6EA648"/>
    <w:rsid w:val="1F6F7052"/>
    <w:rsid w:val="1F6F7964"/>
    <w:rsid w:val="1F7B8FB8"/>
    <w:rsid w:val="1F84F4B2"/>
    <w:rsid w:val="1F8615DC"/>
    <w:rsid w:val="1F863831"/>
    <w:rsid w:val="1F8804D7"/>
    <w:rsid w:val="1F9043EE"/>
    <w:rsid w:val="1FA03BB0"/>
    <w:rsid w:val="1FA0A12B"/>
    <w:rsid w:val="1FA73C82"/>
    <w:rsid w:val="1FA79213"/>
    <w:rsid w:val="1FAC7951"/>
    <w:rsid w:val="1FAF9369"/>
    <w:rsid w:val="1FBA99D3"/>
    <w:rsid w:val="1FBAA600"/>
    <w:rsid w:val="1FC4BC28"/>
    <w:rsid w:val="1FCFD192"/>
    <w:rsid w:val="1FD6E954"/>
    <w:rsid w:val="1FF7E8E1"/>
    <w:rsid w:val="1FFA84A5"/>
    <w:rsid w:val="1FFD9A82"/>
    <w:rsid w:val="1FFDC64F"/>
    <w:rsid w:val="20001A42"/>
    <w:rsid w:val="200C32C6"/>
    <w:rsid w:val="200FF282"/>
    <w:rsid w:val="2011356F"/>
    <w:rsid w:val="20156940"/>
    <w:rsid w:val="201C5BE7"/>
    <w:rsid w:val="20226CC9"/>
    <w:rsid w:val="20308D89"/>
    <w:rsid w:val="2030E5DF"/>
    <w:rsid w:val="20330DC5"/>
    <w:rsid w:val="203446B5"/>
    <w:rsid w:val="20352130"/>
    <w:rsid w:val="20375CCD"/>
    <w:rsid w:val="203CA4EF"/>
    <w:rsid w:val="204060AF"/>
    <w:rsid w:val="20474DE1"/>
    <w:rsid w:val="2049F3C6"/>
    <w:rsid w:val="204AE613"/>
    <w:rsid w:val="204EFFAB"/>
    <w:rsid w:val="20507889"/>
    <w:rsid w:val="205195EB"/>
    <w:rsid w:val="20543407"/>
    <w:rsid w:val="20587F81"/>
    <w:rsid w:val="2058B473"/>
    <w:rsid w:val="205996B0"/>
    <w:rsid w:val="205F4C13"/>
    <w:rsid w:val="206102A3"/>
    <w:rsid w:val="2062CD3A"/>
    <w:rsid w:val="2063039D"/>
    <w:rsid w:val="20648136"/>
    <w:rsid w:val="2064A749"/>
    <w:rsid w:val="2067AE93"/>
    <w:rsid w:val="206D04BB"/>
    <w:rsid w:val="206D6425"/>
    <w:rsid w:val="20764498"/>
    <w:rsid w:val="207D5C1B"/>
    <w:rsid w:val="20810A33"/>
    <w:rsid w:val="20844CA2"/>
    <w:rsid w:val="2084E703"/>
    <w:rsid w:val="208E91C1"/>
    <w:rsid w:val="208E9A88"/>
    <w:rsid w:val="20907757"/>
    <w:rsid w:val="2090CA88"/>
    <w:rsid w:val="2092510A"/>
    <w:rsid w:val="20A5252C"/>
    <w:rsid w:val="20A7C9D9"/>
    <w:rsid w:val="20A9D922"/>
    <w:rsid w:val="20A9DA10"/>
    <w:rsid w:val="20AD570D"/>
    <w:rsid w:val="20B1EE42"/>
    <w:rsid w:val="20B2CFDE"/>
    <w:rsid w:val="20BE38F4"/>
    <w:rsid w:val="20CDB974"/>
    <w:rsid w:val="20CDCE43"/>
    <w:rsid w:val="20D4D9AC"/>
    <w:rsid w:val="20D54B17"/>
    <w:rsid w:val="20D9DE97"/>
    <w:rsid w:val="20DB9AFE"/>
    <w:rsid w:val="20DDE45C"/>
    <w:rsid w:val="20DE64FE"/>
    <w:rsid w:val="20E2F914"/>
    <w:rsid w:val="20E65993"/>
    <w:rsid w:val="20F1CB57"/>
    <w:rsid w:val="20F5ED0A"/>
    <w:rsid w:val="20FB0755"/>
    <w:rsid w:val="21008EB8"/>
    <w:rsid w:val="21085C5F"/>
    <w:rsid w:val="210A7907"/>
    <w:rsid w:val="210FDA5D"/>
    <w:rsid w:val="21124B9E"/>
    <w:rsid w:val="21127641"/>
    <w:rsid w:val="21133725"/>
    <w:rsid w:val="2125A78B"/>
    <w:rsid w:val="212859E6"/>
    <w:rsid w:val="212B37EF"/>
    <w:rsid w:val="212BD37A"/>
    <w:rsid w:val="212D0BF4"/>
    <w:rsid w:val="212F8695"/>
    <w:rsid w:val="2139BF26"/>
    <w:rsid w:val="213F3F27"/>
    <w:rsid w:val="21432955"/>
    <w:rsid w:val="2146481D"/>
    <w:rsid w:val="214967AB"/>
    <w:rsid w:val="2150F97E"/>
    <w:rsid w:val="2156A52A"/>
    <w:rsid w:val="2158AA7A"/>
    <w:rsid w:val="215A7484"/>
    <w:rsid w:val="215EC2C0"/>
    <w:rsid w:val="2160B7EF"/>
    <w:rsid w:val="2162FFFD"/>
    <w:rsid w:val="2166BD5D"/>
    <w:rsid w:val="216ADC9B"/>
    <w:rsid w:val="216D2155"/>
    <w:rsid w:val="21739003"/>
    <w:rsid w:val="21774E23"/>
    <w:rsid w:val="2178E84E"/>
    <w:rsid w:val="21798607"/>
    <w:rsid w:val="2180A5EC"/>
    <w:rsid w:val="2187061F"/>
    <w:rsid w:val="21871650"/>
    <w:rsid w:val="2188B2F7"/>
    <w:rsid w:val="218B5FD5"/>
    <w:rsid w:val="218D383C"/>
    <w:rsid w:val="21933CB5"/>
    <w:rsid w:val="2199CB97"/>
    <w:rsid w:val="219C92FD"/>
    <w:rsid w:val="21A12B05"/>
    <w:rsid w:val="21A16DCD"/>
    <w:rsid w:val="21A2D49C"/>
    <w:rsid w:val="21A40122"/>
    <w:rsid w:val="21A7598A"/>
    <w:rsid w:val="21A7CA98"/>
    <w:rsid w:val="21A839FB"/>
    <w:rsid w:val="21A9F1D8"/>
    <w:rsid w:val="21ACB306"/>
    <w:rsid w:val="21AF650E"/>
    <w:rsid w:val="21B7F96A"/>
    <w:rsid w:val="21BC93D8"/>
    <w:rsid w:val="21C1CBA4"/>
    <w:rsid w:val="21C39324"/>
    <w:rsid w:val="21C6ECDD"/>
    <w:rsid w:val="21D248B5"/>
    <w:rsid w:val="21D5162B"/>
    <w:rsid w:val="21D57D78"/>
    <w:rsid w:val="21D928BE"/>
    <w:rsid w:val="21DB8B7B"/>
    <w:rsid w:val="21DF0F08"/>
    <w:rsid w:val="21DF370D"/>
    <w:rsid w:val="21E16B2B"/>
    <w:rsid w:val="21E4FE82"/>
    <w:rsid w:val="21E84B46"/>
    <w:rsid w:val="21F0C931"/>
    <w:rsid w:val="21F67E1D"/>
    <w:rsid w:val="21F73A12"/>
    <w:rsid w:val="21FE0F09"/>
    <w:rsid w:val="21FE36F8"/>
    <w:rsid w:val="2203486E"/>
    <w:rsid w:val="22059B7B"/>
    <w:rsid w:val="220B8450"/>
    <w:rsid w:val="221372F8"/>
    <w:rsid w:val="221761E4"/>
    <w:rsid w:val="2218C7E7"/>
    <w:rsid w:val="221A5D92"/>
    <w:rsid w:val="221CEFDC"/>
    <w:rsid w:val="2221A2C7"/>
    <w:rsid w:val="2222D4D1"/>
    <w:rsid w:val="22234E15"/>
    <w:rsid w:val="222B6266"/>
    <w:rsid w:val="222F0A17"/>
    <w:rsid w:val="2234860B"/>
    <w:rsid w:val="223FA9F3"/>
    <w:rsid w:val="22464745"/>
    <w:rsid w:val="224A3F0F"/>
    <w:rsid w:val="225018EA"/>
    <w:rsid w:val="225162B6"/>
    <w:rsid w:val="22548DA9"/>
    <w:rsid w:val="2256688D"/>
    <w:rsid w:val="22576741"/>
    <w:rsid w:val="225975FE"/>
    <w:rsid w:val="225B40BE"/>
    <w:rsid w:val="225F7955"/>
    <w:rsid w:val="22610DD6"/>
    <w:rsid w:val="22614677"/>
    <w:rsid w:val="226167C1"/>
    <w:rsid w:val="2261A9E4"/>
    <w:rsid w:val="22668163"/>
    <w:rsid w:val="2271FFC3"/>
    <w:rsid w:val="2279C15E"/>
    <w:rsid w:val="227BDA60"/>
    <w:rsid w:val="227F5CE5"/>
    <w:rsid w:val="22807B5E"/>
    <w:rsid w:val="2282386A"/>
    <w:rsid w:val="22881FCA"/>
    <w:rsid w:val="228CB6FD"/>
    <w:rsid w:val="2290B497"/>
    <w:rsid w:val="229397FA"/>
    <w:rsid w:val="229C328B"/>
    <w:rsid w:val="22A07586"/>
    <w:rsid w:val="22A1FF26"/>
    <w:rsid w:val="22A6998D"/>
    <w:rsid w:val="22A7224F"/>
    <w:rsid w:val="22ABF04E"/>
    <w:rsid w:val="22AC1518"/>
    <w:rsid w:val="22AEA069"/>
    <w:rsid w:val="22AED19C"/>
    <w:rsid w:val="22B074F4"/>
    <w:rsid w:val="22B627F9"/>
    <w:rsid w:val="22BC9051"/>
    <w:rsid w:val="22BE8F6C"/>
    <w:rsid w:val="22C3B7A0"/>
    <w:rsid w:val="22C68D89"/>
    <w:rsid w:val="22CBE00B"/>
    <w:rsid w:val="22CD8D4A"/>
    <w:rsid w:val="22D8385A"/>
    <w:rsid w:val="22D8E067"/>
    <w:rsid w:val="22DD67A2"/>
    <w:rsid w:val="22DFF02C"/>
    <w:rsid w:val="22E3F668"/>
    <w:rsid w:val="22E470C2"/>
    <w:rsid w:val="22E6685E"/>
    <w:rsid w:val="22E9336C"/>
    <w:rsid w:val="22EB9FB8"/>
    <w:rsid w:val="22F07E09"/>
    <w:rsid w:val="22F7407F"/>
    <w:rsid w:val="22F77945"/>
    <w:rsid w:val="22FA3493"/>
    <w:rsid w:val="22FAF0C6"/>
    <w:rsid w:val="22FDCE55"/>
    <w:rsid w:val="23019F76"/>
    <w:rsid w:val="2304FF2B"/>
    <w:rsid w:val="2306C6FC"/>
    <w:rsid w:val="230790BC"/>
    <w:rsid w:val="23128537"/>
    <w:rsid w:val="2313D131"/>
    <w:rsid w:val="231CE2C9"/>
    <w:rsid w:val="231D73E5"/>
    <w:rsid w:val="2323E944"/>
    <w:rsid w:val="2325015A"/>
    <w:rsid w:val="23254E9D"/>
    <w:rsid w:val="2325845B"/>
    <w:rsid w:val="2325CAD2"/>
    <w:rsid w:val="232806D2"/>
    <w:rsid w:val="232B20D7"/>
    <w:rsid w:val="232D1E8D"/>
    <w:rsid w:val="23343ACB"/>
    <w:rsid w:val="23346543"/>
    <w:rsid w:val="233707C6"/>
    <w:rsid w:val="233D125E"/>
    <w:rsid w:val="233DDD13"/>
    <w:rsid w:val="2340730F"/>
    <w:rsid w:val="2341F060"/>
    <w:rsid w:val="2344F87E"/>
    <w:rsid w:val="234717D8"/>
    <w:rsid w:val="2347269A"/>
    <w:rsid w:val="234F4572"/>
    <w:rsid w:val="23532D62"/>
    <w:rsid w:val="235614A7"/>
    <w:rsid w:val="2357F5C2"/>
    <w:rsid w:val="235AF1C2"/>
    <w:rsid w:val="235F3F3E"/>
    <w:rsid w:val="23635198"/>
    <w:rsid w:val="23639D69"/>
    <w:rsid w:val="23695AE3"/>
    <w:rsid w:val="2372E34A"/>
    <w:rsid w:val="2373D680"/>
    <w:rsid w:val="237BEF4D"/>
    <w:rsid w:val="2381A27A"/>
    <w:rsid w:val="2385D3B8"/>
    <w:rsid w:val="238A78CA"/>
    <w:rsid w:val="238E9447"/>
    <w:rsid w:val="239042D2"/>
    <w:rsid w:val="23948BF1"/>
    <w:rsid w:val="2395753F"/>
    <w:rsid w:val="2399E7E6"/>
    <w:rsid w:val="239B274A"/>
    <w:rsid w:val="23A6182F"/>
    <w:rsid w:val="23AA5A49"/>
    <w:rsid w:val="23AFCCAB"/>
    <w:rsid w:val="23B025AF"/>
    <w:rsid w:val="23B0AAA0"/>
    <w:rsid w:val="23B5722C"/>
    <w:rsid w:val="23B6C1F0"/>
    <w:rsid w:val="23C16A78"/>
    <w:rsid w:val="23C2685E"/>
    <w:rsid w:val="23C59850"/>
    <w:rsid w:val="23C75C6D"/>
    <w:rsid w:val="23CD6475"/>
    <w:rsid w:val="23CE0A03"/>
    <w:rsid w:val="23CE1127"/>
    <w:rsid w:val="23D2F7CA"/>
    <w:rsid w:val="23D316E7"/>
    <w:rsid w:val="23D8D63B"/>
    <w:rsid w:val="23E8B3C5"/>
    <w:rsid w:val="23EB4669"/>
    <w:rsid w:val="23F2838C"/>
    <w:rsid w:val="23FD4529"/>
    <w:rsid w:val="24036CFF"/>
    <w:rsid w:val="2403ADE4"/>
    <w:rsid w:val="240511AE"/>
    <w:rsid w:val="240D0EF1"/>
    <w:rsid w:val="24161F67"/>
    <w:rsid w:val="2418B7F1"/>
    <w:rsid w:val="241B958E"/>
    <w:rsid w:val="241D54FB"/>
    <w:rsid w:val="24220FD5"/>
    <w:rsid w:val="24288356"/>
    <w:rsid w:val="242BC7B7"/>
    <w:rsid w:val="242BF8AB"/>
    <w:rsid w:val="242FD467"/>
    <w:rsid w:val="243481CC"/>
    <w:rsid w:val="24354B9F"/>
    <w:rsid w:val="243972FD"/>
    <w:rsid w:val="243A3CB2"/>
    <w:rsid w:val="243ADC21"/>
    <w:rsid w:val="243B8077"/>
    <w:rsid w:val="2443859C"/>
    <w:rsid w:val="2443F7C9"/>
    <w:rsid w:val="2448DA5D"/>
    <w:rsid w:val="244908E7"/>
    <w:rsid w:val="244B67B3"/>
    <w:rsid w:val="244BB8A8"/>
    <w:rsid w:val="244C0928"/>
    <w:rsid w:val="244FE5F2"/>
    <w:rsid w:val="2450FF6B"/>
    <w:rsid w:val="245DF312"/>
    <w:rsid w:val="245E0B52"/>
    <w:rsid w:val="24618051"/>
    <w:rsid w:val="2466A90A"/>
    <w:rsid w:val="2466BC8E"/>
    <w:rsid w:val="2467B656"/>
    <w:rsid w:val="246A9D40"/>
    <w:rsid w:val="246B5EF4"/>
    <w:rsid w:val="246BB23E"/>
    <w:rsid w:val="246EAB69"/>
    <w:rsid w:val="246EED32"/>
    <w:rsid w:val="24754320"/>
    <w:rsid w:val="2477A3A7"/>
    <w:rsid w:val="2482036C"/>
    <w:rsid w:val="2483511E"/>
    <w:rsid w:val="248418A5"/>
    <w:rsid w:val="248924B7"/>
    <w:rsid w:val="24926735"/>
    <w:rsid w:val="24935A2C"/>
    <w:rsid w:val="24935DBD"/>
    <w:rsid w:val="2493CC9A"/>
    <w:rsid w:val="24943A19"/>
    <w:rsid w:val="24986B28"/>
    <w:rsid w:val="249A99A9"/>
    <w:rsid w:val="249AF13A"/>
    <w:rsid w:val="24A396DD"/>
    <w:rsid w:val="24A6017F"/>
    <w:rsid w:val="24A80266"/>
    <w:rsid w:val="24A898A7"/>
    <w:rsid w:val="24AC6D85"/>
    <w:rsid w:val="24B2F703"/>
    <w:rsid w:val="24B44007"/>
    <w:rsid w:val="24B51159"/>
    <w:rsid w:val="24B60999"/>
    <w:rsid w:val="24B9CE4B"/>
    <w:rsid w:val="24BC1B16"/>
    <w:rsid w:val="24C155FD"/>
    <w:rsid w:val="24C17AE5"/>
    <w:rsid w:val="24C41CA9"/>
    <w:rsid w:val="24C69C4C"/>
    <w:rsid w:val="24CD0904"/>
    <w:rsid w:val="24D1CECC"/>
    <w:rsid w:val="24D7A712"/>
    <w:rsid w:val="24D94F73"/>
    <w:rsid w:val="24DBC4AE"/>
    <w:rsid w:val="24DC2177"/>
    <w:rsid w:val="24DD9F1F"/>
    <w:rsid w:val="24E1B1F3"/>
    <w:rsid w:val="24E4C45B"/>
    <w:rsid w:val="24E5F2CD"/>
    <w:rsid w:val="24E64714"/>
    <w:rsid w:val="24E795D5"/>
    <w:rsid w:val="24E89CED"/>
    <w:rsid w:val="24E9A1EA"/>
    <w:rsid w:val="24F0CA1A"/>
    <w:rsid w:val="24F269EC"/>
    <w:rsid w:val="24F5C544"/>
    <w:rsid w:val="24F9290D"/>
    <w:rsid w:val="24FB6465"/>
    <w:rsid w:val="2502B26B"/>
    <w:rsid w:val="2502D8EB"/>
    <w:rsid w:val="2502E9BF"/>
    <w:rsid w:val="25032B13"/>
    <w:rsid w:val="250480CA"/>
    <w:rsid w:val="250A00C8"/>
    <w:rsid w:val="250B7A7F"/>
    <w:rsid w:val="251212FD"/>
    <w:rsid w:val="25130A7E"/>
    <w:rsid w:val="25191106"/>
    <w:rsid w:val="251B7E27"/>
    <w:rsid w:val="252328D0"/>
    <w:rsid w:val="2525C7B8"/>
    <w:rsid w:val="2526C610"/>
    <w:rsid w:val="2528F9CA"/>
    <w:rsid w:val="252A8C48"/>
    <w:rsid w:val="252B1D15"/>
    <w:rsid w:val="252E01A6"/>
    <w:rsid w:val="25329418"/>
    <w:rsid w:val="2535850F"/>
    <w:rsid w:val="2535999E"/>
    <w:rsid w:val="253E8384"/>
    <w:rsid w:val="253E8C25"/>
    <w:rsid w:val="2541075F"/>
    <w:rsid w:val="25444792"/>
    <w:rsid w:val="2546BF59"/>
    <w:rsid w:val="254A1A1D"/>
    <w:rsid w:val="254B88AB"/>
    <w:rsid w:val="255B8430"/>
    <w:rsid w:val="255D8208"/>
    <w:rsid w:val="256603F4"/>
    <w:rsid w:val="25671E11"/>
    <w:rsid w:val="2567A94A"/>
    <w:rsid w:val="2568466A"/>
    <w:rsid w:val="257F9FF8"/>
    <w:rsid w:val="2581F553"/>
    <w:rsid w:val="258F809B"/>
    <w:rsid w:val="258FB2D2"/>
    <w:rsid w:val="258FBC28"/>
    <w:rsid w:val="259068F3"/>
    <w:rsid w:val="25931C3A"/>
    <w:rsid w:val="2595392A"/>
    <w:rsid w:val="2595C6E8"/>
    <w:rsid w:val="2595D80C"/>
    <w:rsid w:val="259763EC"/>
    <w:rsid w:val="25980831"/>
    <w:rsid w:val="2599AD30"/>
    <w:rsid w:val="259A4E7F"/>
    <w:rsid w:val="259D8473"/>
    <w:rsid w:val="259EF038"/>
    <w:rsid w:val="25A35455"/>
    <w:rsid w:val="25A3684D"/>
    <w:rsid w:val="25A6A4C5"/>
    <w:rsid w:val="25A7D522"/>
    <w:rsid w:val="25A9A736"/>
    <w:rsid w:val="25AEBC6D"/>
    <w:rsid w:val="25AF9234"/>
    <w:rsid w:val="25B2C38D"/>
    <w:rsid w:val="25B5E827"/>
    <w:rsid w:val="25C1615A"/>
    <w:rsid w:val="25C640D9"/>
    <w:rsid w:val="25C96664"/>
    <w:rsid w:val="25CB4826"/>
    <w:rsid w:val="25D0A257"/>
    <w:rsid w:val="25D1EF32"/>
    <w:rsid w:val="25D80777"/>
    <w:rsid w:val="25DABEA1"/>
    <w:rsid w:val="25DC8F4F"/>
    <w:rsid w:val="25DE4EE1"/>
    <w:rsid w:val="25E0DBF1"/>
    <w:rsid w:val="25E21C55"/>
    <w:rsid w:val="25E3D157"/>
    <w:rsid w:val="25E54C9C"/>
    <w:rsid w:val="25E66EDA"/>
    <w:rsid w:val="25E8B7E2"/>
    <w:rsid w:val="25EA1CA9"/>
    <w:rsid w:val="25EE2585"/>
    <w:rsid w:val="25F06E75"/>
    <w:rsid w:val="25F0A890"/>
    <w:rsid w:val="25F211C1"/>
    <w:rsid w:val="25F2BB32"/>
    <w:rsid w:val="25F44F6E"/>
    <w:rsid w:val="25F6AE3D"/>
    <w:rsid w:val="25F960D2"/>
    <w:rsid w:val="25F96F6C"/>
    <w:rsid w:val="25F9BDA2"/>
    <w:rsid w:val="25FB1DF8"/>
    <w:rsid w:val="25FCD1D2"/>
    <w:rsid w:val="26004889"/>
    <w:rsid w:val="26076011"/>
    <w:rsid w:val="26085A49"/>
    <w:rsid w:val="260C9904"/>
    <w:rsid w:val="2611528A"/>
    <w:rsid w:val="2612303D"/>
    <w:rsid w:val="26165749"/>
    <w:rsid w:val="261D9C4C"/>
    <w:rsid w:val="2625F863"/>
    <w:rsid w:val="262A9799"/>
    <w:rsid w:val="262B523A"/>
    <w:rsid w:val="262DB8FF"/>
    <w:rsid w:val="262E753B"/>
    <w:rsid w:val="2630484E"/>
    <w:rsid w:val="2634003A"/>
    <w:rsid w:val="2634B6AF"/>
    <w:rsid w:val="263987AA"/>
    <w:rsid w:val="26435EDF"/>
    <w:rsid w:val="26479A7E"/>
    <w:rsid w:val="26485CDE"/>
    <w:rsid w:val="264D5F3E"/>
    <w:rsid w:val="264E3886"/>
    <w:rsid w:val="264E65BE"/>
    <w:rsid w:val="2650DC73"/>
    <w:rsid w:val="2652DD44"/>
    <w:rsid w:val="2656B7A8"/>
    <w:rsid w:val="26598F02"/>
    <w:rsid w:val="265CD414"/>
    <w:rsid w:val="2663CDC2"/>
    <w:rsid w:val="2664AD7B"/>
    <w:rsid w:val="2666AEF2"/>
    <w:rsid w:val="266992D8"/>
    <w:rsid w:val="266AD4CD"/>
    <w:rsid w:val="2675BE3A"/>
    <w:rsid w:val="267A7839"/>
    <w:rsid w:val="267A7AF3"/>
    <w:rsid w:val="267C685A"/>
    <w:rsid w:val="2680D2A6"/>
    <w:rsid w:val="268296BC"/>
    <w:rsid w:val="2684D0AE"/>
    <w:rsid w:val="268793C1"/>
    <w:rsid w:val="268A0A77"/>
    <w:rsid w:val="268E4F05"/>
    <w:rsid w:val="268F3EE1"/>
    <w:rsid w:val="2693FB08"/>
    <w:rsid w:val="26955C3B"/>
    <w:rsid w:val="2695E2FF"/>
    <w:rsid w:val="269CD77A"/>
    <w:rsid w:val="26A0D636"/>
    <w:rsid w:val="26A47FD4"/>
    <w:rsid w:val="26A5B1D8"/>
    <w:rsid w:val="26B14AA6"/>
    <w:rsid w:val="26B30962"/>
    <w:rsid w:val="26B66F96"/>
    <w:rsid w:val="26BB4B41"/>
    <w:rsid w:val="26C5F584"/>
    <w:rsid w:val="26CA8CDA"/>
    <w:rsid w:val="26CE474B"/>
    <w:rsid w:val="26D09BAD"/>
    <w:rsid w:val="26D0FE0A"/>
    <w:rsid w:val="26D928F9"/>
    <w:rsid w:val="26DAB8E8"/>
    <w:rsid w:val="26DAC496"/>
    <w:rsid w:val="26DE14F8"/>
    <w:rsid w:val="26DF914B"/>
    <w:rsid w:val="26E047E2"/>
    <w:rsid w:val="26ED1004"/>
    <w:rsid w:val="26EEDE77"/>
    <w:rsid w:val="26F082A0"/>
    <w:rsid w:val="26F35A37"/>
    <w:rsid w:val="26F74731"/>
    <w:rsid w:val="26F76C59"/>
    <w:rsid w:val="27024E1E"/>
    <w:rsid w:val="27027762"/>
    <w:rsid w:val="2704AF32"/>
    <w:rsid w:val="27066E75"/>
    <w:rsid w:val="2709679A"/>
    <w:rsid w:val="270AAD3B"/>
    <w:rsid w:val="270C86D2"/>
    <w:rsid w:val="27107A34"/>
    <w:rsid w:val="27167559"/>
    <w:rsid w:val="271B4221"/>
    <w:rsid w:val="272266E2"/>
    <w:rsid w:val="27241616"/>
    <w:rsid w:val="27304B6A"/>
    <w:rsid w:val="2730CEAB"/>
    <w:rsid w:val="27355FB5"/>
    <w:rsid w:val="27365EB3"/>
    <w:rsid w:val="27383805"/>
    <w:rsid w:val="273B505C"/>
    <w:rsid w:val="274447BD"/>
    <w:rsid w:val="2746DAA4"/>
    <w:rsid w:val="274B262E"/>
    <w:rsid w:val="2751AB62"/>
    <w:rsid w:val="275921C4"/>
    <w:rsid w:val="27606432"/>
    <w:rsid w:val="27761657"/>
    <w:rsid w:val="2789658F"/>
    <w:rsid w:val="278BEC7F"/>
    <w:rsid w:val="278C87D3"/>
    <w:rsid w:val="278DC21D"/>
    <w:rsid w:val="279162E0"/>
    <w:rsid w:val="2791E0FC"/>
    <w:rsid w:val="27946F1C"/>
    <w:rsid w:val="2794C07D"/>
    <w:rsid w:val="279C3945"/>
    <w:rsid w:val="27A25CCE"/>
    <w:rsid w:val="27A625C3"/>
    <w:rsid w:val="27A760D6"/>
    <w:rsid w:val="27A8E8BC"/>
    <w:rsid w:val="27A9398D"/>
    <w:rsid w:val="27B17591"/>
    <w:rsid w:val="27B19C78"/>
    <w:rsid w:val="27B857F2"/>
    <w:rsid w:val="27B94535"/>
    <w:rsid w:val="27BAC983"/>
    <w:rsid w:val="27BBDD2C"/>
    <w:rsid w:val="27BDBEC4"/>
    <w:rsid w:val="27BDEA37"/>
    <w:rsid w:val="27BE90DA"/>
    <w:rsid w:val="27BF9B83"/>
    <w:rsid w:val="27C17842"/>
    <w:rsid w:val="27D1BA55"/>
    <w:rsid w:val="27D1D03D"/>
    <w:rsid w:val="27D30F76"/>
    <w:rsid w:val="27D5E8D0"/>
    <w:rsid w:val="27DC974C"/>
    <w:rsid w:val="27E9A5DB"/>
    <w:rsid w:val="27EB6678"/>
    <w:rsid w:val="27F463EF"/>
    <w:rsid w:val="27F5B4D2"/>
    <w:rsid w:val="27F7F2E4"/>
    <w:rsid w:val="27FCCC28"/>
    <w:rsid w:val="27FD7840"/>
    <w:rsid w:val="27FD8BA4"/>
    <w:rsid w:val="27FE180F"/>
    <w:rsid w:val="2800E73F"/>
    <w:rsid w:val="280270B2"/>
    <w:rsid w:val="28027F34"/>
    <w:rsid w:val="280462C9"/>
    <w:rsid w:val="281D5211"/>
    <w:rsid w:val="283557DE"/>
    <w:rsid w:val="28356588"/>
    <w:rsid w:val="2838DAFB"/>
    <w:rsid w:val="2839412A"/>
    <w:rsid w:val="283F38D5"/>
    <w:rsid w:val="2847E0E1"/>
    <w:rsid w:val="284A9243"/>
    <w:rsid w:val="284DE47D"/>
    <w:rsid w:val="284FD5C2"/>
    <w:rsid w:val="28532982"/>
    <w:rsid w:val="285614EE"/>
    <w:rsid w:val="285F4BE9"/>
    <w:rsid w:val="28632C46"/>
    <w:rsid w:val="2866B202"/>
    <w:rsid w:val="2866DC82"/>
    <w:rsid w:val="2867638F"/>
    <w:rsid w:val="286B71AA"/>
    <w:rsid w:val="286FD92F"/>
    <w:rsid w:val="2874AC2B"/>
    <w:rsid w:val="2875E7AA"/>
    <w:rsid w:val="287702DB"/>
    <w:rsid w:val="28772486"/>
    <w:rsid w:val="287FF252"/>
    <w:rsid w:val="2881DB51"/>
    <w:rsid w:val="28844364"/>
    <w:rsid w:val="28846593"/>
    <w:rsid w:val="28859A90"/>
    <w:rsid w:val="288A4755"/>
    <w:rsid w:val="28925418"/>
    <w:rsid w:val="28999ADB"/>
    <w:rsid w:val="28A11287"/>
    <w:rsid w:val="28A4CFAE"/>
    <w:rsid w:val="28A6B1B3"/>
    <w:rsid w:val="28AA050D"/>
    <w:rsid w:val="28AB3952"/>
    <w:rsid w:val="28AC7910"/>
    <w:rsid w:val="28AD29D5"/>
    <w:rsid w:val="28B38A59"/>
    <w:rsid w:val="28B7DFAC"/>
    <w:rsid w:val="28BC2F14"/>
    <w:rsid w:val="28BE45F6"/>
    <w:rsid w:val="28BE5591"/>
    <w:rsid w:val="28BE84FA"/>
    <w:rsid w:val="28C2B580"/>
    <w:rsid w:val="28C8C2EB"/>
    <w:rsid w:val="28CA9326"/>
    <w:rsid w:val="28CF7FB9"/>
    <w:rsid w:val="28D05C80"/>
    <w:rsid w:val="28D60E9B"/>
    <w:rsid w:val="28D92E7F"/>
    <w:rsid w:val="28DF3D30"/>
    <w:rsid w:val="28E1DBE7"/>
    <w:rsid w:val="28F07444"/>
    <w:rsid w:val="28F87CA2"/>
    <w:rsid w:val="28F91025"/>
    <w:rsid w:val="28FC1A09"/>
    <w:rsid w:val="28FF880B"/>
    <w:rsid w:val="2903381C"/>
    <w:rsid w:val="290F8969"/>
    <w:rsid w:val="2912C8E0"/>
    <w:rsid w:val="291656C2"/>
    <w:rsid w:val="291BE1E7"/>
    <w:rsid w:val="291C4579"/>
    <w:rsid w:val="291D1311"/>
    <w:rsid w:val="29211577"/>
    <w:rsid w:val="29250044"/>
    <w:rsid w:val="2925A5B7"/>
    <w:rsid w:val="29272F7A"/>
    <w:rsid w:val="2928D04B"/>
    <w:rsid w:val="2928D105"/>
    <w:rsid w:val="292DAFAB"/>
    <w:rsid w:val="2932ACC8"/>
    <w:rsid w:val="29335A85"/>
    <w:rsid w:val="29386840"/>
    <w:rsid w:val="2938F221"/>
    <w:rsid w:val="293F4661"/>
    <w:rsid w:val="2947CED5"/>
    <w:rsid w:val="294CA79B"/>
    <w:rsid w:val="294CE6AE"/>
    <w:rsid w:val="29507233"/>
    <w:rsid w:val="2950A5CF"/>
    <w:rsid w:val="29549901"/>
    <w:rsid w:val="29599406"/>
    <w:rsid w:val="295DEE15"/>
    <w:rsid w:val="29636771"/>
    <w:rsid w:val="296377EA"/>
    <w:rsid w:val="296C28D4"/>
    <w:rsid w:val="296D0679"/>
    <w:rsid w:val="296EE862"/>
    <w:rsid w:val="297654CF"/>
    <w:rsid w:val="2977465E"/>
    <w:rsid w:val="29857F25"/>
    <w:rsid w:val="2985F737"/>
    <w:rsid w:val="298B937C"/>
    <w:rsid w:val="29912BA7"/>
    <w:rsid w:val="29912E4B"/>
    <w:rsid w:val="299434B0"/>
    <w:rsid w:val="299E43CA"/>
    <w:rsid w:val="299FBE11"/>
    <w:rsid w:val="29A0A1A9"/>
    <w:rsid w:val="29A710CE"/>
    <w:rsid w:val="29AD2C42"/>
    <w:rsid w:val="29AF99B2"/>
    <w:rsid w:val="29B07394"/>
    <w:rsid w:val="29B0A58C"/>
    <w:rsid w:val="29B23E4A"/>
    <w:rsid w:val="29B5F404"/>
    <w:rsid w:val="29B9392D"/>
    <w:rsid w:val="29BEDD0F"/>
    <w:rsid w:val="29C17840"/>
    <w:rsid w:val="29C46E2B"/>
    <w:rsid w:val="29CC3843"/>
    <w:rsid w:val="29D9B87C"/>
    <w:rsid w:val="29D9C583"/>
    <w:rsid w:val="29DDFE8E"/>
    <w:rsid w:val="29E1F18F"/>
    <w:rsid w:val="29E4D6AE"/>
    <w:rsid w:val="29E622E5"/>
    <w:rsid w:val="29E6C131"/>
    <w:rsid w:val="29E8552B"/>
    <w:rsid w:val="29E982CE"/>
    <w:rsid w:val="29E98CB2"/>
    <w:rsid w:val="29EACAAE"/>
    <w:rsid w:val="29EF35E9"/>
    <w:rsid w:val="29F111B6"/>
    <w:rsid w:val="29F3F9C3"/>
    <w:rsid w:val="2A044FED"/>
    <w:rsid w:val="2A08111E"/>
    <w:rsid w:val="2A0B39AA"/>
    <w:rsid w:val="2A0C03A3"/>
    <w:rsid w:val="2A0FF3E1"/>
    <w:rsid w:val="2A163CAE"/>
    <w:rsid w:val="2A1A271E"/>
    <w:rsid w:val="2A1AB797"/>
    <w:rsid w:val="2A1E37D4"/>
    <w:rsid w:val="2A1FA027"/>
    <w:rsid w:val="2A2244C7"/>
    <w:rsid w:val="2A235779"/>
    <w:rsid w:val="2A287B65"/>
    <w:rsid w:val="2A292D71"/>
    <w:rsid w:val="2A2966A8"/>
    <w:rsid w:val="2A2C1249"/>
    <w:rsid w:val="2A32E6B7"/>
    <w:rsid w:val="2A3AD0B1"/>
    <w:rsid w:val="2A3F630F"/>
    <w:rsid w:val="2A3F7D2F"/>
    <w:rsid w:val="2A41BB24"/>
    <w:rsid w:val="2A4A4B15"/>
    <w:rsid w:val="2A524E86"/>
    <w:rsid w:val="2A556632"/>
    <w:rsid w:val="2A57AE32"/>
    <w:rsid w:val="2A58782F"/>
    <w:rsid w:val="2A61763B"/>
    <w:rsid w:val="2A65B67A"/>
    <w:rsid w:val="2A6868F2"/>
    <w:rsid w:val="2A6CEA58"/>
    <w:rsid w:val="2A6E1289"/>
    <w:rsid w:val="2A702E54"/>
    <w:rsid w:val="2A750AB9"/>
    <w:rsid w:val="2A80D9B1"/>
    <w:rsid w:val="2A825948"/>
    <w:rsid w:val="2A866FDE"/>
    <w:rsid w:val="2A893C01"/>
    <w:rsid w:val="2A8BD95E"/>
    <w:rsid w:val="2A964CAC"/>
    <w:rsid w:val="2AA07A01"/>
    <w:rsid w:val="2AA4CB6A"/>
    <w:rsid w:val="2AA7CDCF"/>
    <w:rsid w:val="2AB2A933"/>
    <w:rsid w:val="2AB3E994"/>
    <w:rsid w:val="2ABA34EF"/>
    <w:rsid w:val="2ABBC0D3"/>
    <w:rsid w:val="2ABDC9DA"/>
    <w:rsid w:val="2AC322DA"/>
    <w:rsid w:val="2AC6BAA8"/>
    <w:rsid w:val="2AC97BF8"/>
    <w:rsid w:val="2ACC0C5C"/>
    <w:rsid w:val="2ACE05A0"/>
    <w:rsid w:val="2ACE2530"/>
    <w:rsid w:val="2AD24178"/>
    <w:rsid w:val="2AD32E36"/>
    <w:rsid w:val="2AD3C721"/>
    <w:rsid w:val="2AD509C9"/>
    <w:rsid w:val="2AD53038"/>
    <w:rsid w:val="2ADEDF02"/>
    <w:rsid w:val="2ADF705F"/>
    <w:rsid w:val="2AE53BD2"/>
    <w:rsid w:val="2AE739BA"/>
    <w:rsid w:val="2AE7CBD0"/>
    <w:rsid w:val="2AED8214"/>
    <w:rsid w:val="2AF149B4"/>
    <w:rsid w:val="2AFB1E0A"/>
    <w:rsid w:val="2AFC7A08"/>
    <w:rsid w:val="2AFCA072"/>
    <w:rsid w:val="2B0509B3"/>
    <w:rsid w:val="2B0D5117"/>
    <w:rsid w:val="2B0FDCE2"/>
    <w:rsid w:val="2B170450"/>
    <w:rsid w:val="2B19F8FB"/>
    <w:rsid w:val="2B1D5DF9"/>
    <w:rsid w:val="2B1D651C"/>
    <w:rsid w:val="2B20D719"/>
    <w:rsid w:val="2B231F56"/>
    <w:rsid w:val="2B27FFE8"/>
    <w:rsid w:val="2B284B9A"/>
    <w:rsid w:val="2B29E500"/>
    <w:rsid w:val="2B2A82AA"/>
    <w:rsid w:val="2B346B35"/>
    <w:rsid w:val="2B361EB4"/>
    <w:rsid w:val="2B3D3660"/>
    <w:rsid w:val="2B3E5656"/>
    <w:rsid w:val="2B521930"/>
    <w:rsid w:val="2B55A111"/>
    <w:rsid w:val="2B5AE59A"/>
    <w:rsid w:val="2B5C7031"/>
    <w:rsid w:val="2B622217"/>
    <w:rsid w:val="2B647E89"/>
    <w:rsid w:val="2B66B55E"/>
    <w:rsid w:val="2B69D9D4"/>
    <w:rsid w:val="2B69EE34"/>
    <w:rsid w:val="2B732509"/>
    <w:rsid w:val="2B737995"/>
    <w:rsid w:val="2B74BD57"/>
    <w:rsid w:val="2B78F1BD"/>
    <w:rsid w:val="2B7F9AD9"/>
    <w:rsid w:val="2B856DF8"/>
    <w:rsid w:val="2B876FBD"/>
    <w:rsid w:val="2B8C9B99"/>
    <w:rsid w:val="2B8D58C2"/>
    <w:rsid w:val="2B8E0362"/>
    <w:rsid w:val="2B984543"/>
    <w:rsid w:val="2B9DB1B7"/>
    <w:rsid w:val="2B9DC8B7"/>
    <w:rsid w:val="2BA094E0"/>
    <w:rsid w:val="2BA18557"/>
    <w:rsid w:val="2BA32232"/>
    <w:rsid w:val="2BA39603"/>
    <w:rsid w:val="2BAA96C0"/>
    <w:rsid w:val="2BB542E3"/>
    <w:rsid w:val="2BB83366"/>
    <w:rsid w:val="2BB91D3E"/>
    <w:rsid w:val="2BC29D95"/>
    <w:rsid w:val="2BCD5A52"/>
    <w:rsid w:val="2BCF2438"/>
    <w:rsid w:val="2BD30208"/>
    <w:rsid w:val="2BD824B6"/>
    <w:rsid w:val="2BDAFE7C"/>
    <w:rsid w:val="2BDDC816"/>
    <w:rsid w:val="2BE5FF19"/>
    <w:rsid w:val="2BE6BF0A"/>
    <w:rsid w:val="2BE7B93A"/>
    <w:rsid w:val="2BE8B119"/>
    <w:rsid w:val="2BEF0610"/>
    <w:rsid w:val="2BF5E22D"/>
    <w:rsid w:val="2BF62F8E"/>
    <w:rsid w:val="2BF71829"/>
    <w:rsid w:val="2BFA6585"/>
    <w:rsid w:val="2C07C3AE"/>
    <w:rsid w:val="2C0C6D6C"/>
    <w:rsid w:val="2C0CFDD0"/>
    <w:rsid w:val="2C0E6FD8"/>
    <w:rsid w:val="2C1451A3"/>
    <w:rsid w:val="2C18BBB9"/>
    <w:rsid w:val="2C19B4DC"/>
    <w:rsid w:val="2C1B072E"/>
    <w:rsid w:val="2C1DF40E"/>
    <w:rsid w:val="2C229BF7"/>
    <w:rsid w:val="2C23BAE6"/>
    <w:rsid w:val="2C25575A"/>
    <w:rsid w:val="2C2932CD"/>
    <w:rsid w:val="2C2DEF30"/>
    <w:rsid w:val="2C30E240"/>
    <w:rsid w:val="2C37E366"/>
    <w:rsid w:val="2C3EF418"/>
    <w:rsid w:val="2C42C255"/>
    <w:rsid w:val="2C42F3E3"/>
    <w:rsid w:val="2C47E262"/>
    <w:rsid w:val="2C495985"/>
    <w:rsid w:val="2C4AE9D8"/>
    <w:rsid w:val="2C4C76D5"/>
    <w:rsid w:val="2C53FB94"/>
    <w:rsid w:val="2C5731DB"/>
    <w:rsid w:val="2C57F13B"/>
    <w:rsid w:val="2C58E618"/>
    <w:rsid w:val="2C59FF01"/>
    <w:rsid w:val="2C5CC203"/>
    <w:rsid w:val="2C5D82F6"/>
    <w:rsid w:val="2C5D8520"/>
    <w:rsid w:val="2C5D91A4"/>
    <w:rsid w:val="2C5DB83A"/>
    <w:rsid w:val="2C5E8DE8"/>
    <w:rsid w:val="2C65314B"/>
    <w:rsid w:val="2C664150"/>
    <w:rsid w:val="2C6CB878"/>
    <w:rsid w:val="2C725DE2"/>
    <w:rsid w:val="2C8094E7"/>
    <w:rsid w:val="2C84AB9F"/>
    <w:rsid w:val="2C869FEA"/>
    <w:rsid w:val="2C8A2854"/>
    <w:rsid w:val="2C8A3E51"/>
    <w:rsid w:val="2C8C5C17"/>
    <w:rsid w:val="2C90B7FD"/>
    <w:rsid w:val="2C948145"/>
    <w:rsid w:val="2C963138"/>
    <w:rsid w:val="2C970583"/>
    <w:rsid w:val="2C9B21B0"/>
    <w:rsid w:val="2C9E62A2"/>
    <w:rsid w:val="2C9FCAFC"/>
    <w:rsid w:val="2C9FD0F4"/>
    <w:rsid w:val="2CA2FA4D"/>
    <w:rsid w:val="2CA48D9F"/>
    <w:rsid w:val="2CA57D48"/>
    <w:rsid w:val="2CA7E8BC"/>
    <w:rsid w:val="2CB05CC9"/>
    <w:rsid w:val="2CB1FD17"/>
    <w:rsid w:val="2CB32FB7"/>
    <w:rsid w:val="2CBAB61F"/>
    <w:rsid w:val="2CBB6A5C"/>
    <w:rsid w:val="2CCFD2F0"/>
    <w:rsid w:val="2CD06A1B"/>
    <w:rsid w:val="2CD140FD"/>
    <w:rsid w:val="2CD4022A"/>
    <w:rsid w:val="2CDB2C7E"/>
    <w:rsid w:val="2CDCF7FE"/>
    <w:rsid w:val="2CE238EF"/>
    <w:rsid w:val="2CE35644"/>
    <w:rsid w:val="2CE5A58B"/>
    <w:rsid w:val="2CE64019"/>
    <w:rsid w:val="2CE7B5E9"/>
    <w:rsid w:val="2CE9C481"/>
    <w:rsid w:val="2CEDC17C"/>
    <w:rsid w:val="2CF0AD1B"/>
    <w:rsid w:val="2CF15226"/>
    <w:rsid w:val="2CF3576A"/>
    <w:rsid w:val="2CF8F41B"/>
    <w:rsid w:val="2D047331"/>
    <w:rsid w:val="2D07ED73"/>
    <w:rsid w:val="2D1773F7"/>
    <w:rsid w:val="2D180BFE"/>
    <w:rsid w:val="2D19673D"/>
    <w:rsid w:val="2D19C9F0"/>
    <w:rsid w:val="2D20CC7D"/>
    <w:rsid w:val="2D23DB13"/>
    <w:rsid w:val="2D24089D"/>
    <w:rsid w:val="2D285774"/>
    <w:rsid w:val="2D2BD159"/>
    <w:rsid w:val="2D2CEED5"/>
    <w:rsid w:val="2D36717D"/>
    <w:rsid w:val="2D373DEB"/>
    <w:rsid w:val="2D3B50AA"/>
    <w:rsid w:val="2D3BFD49"/>
    <w:rsid w:val="2D3DF425"/>
    <w:rsid w:val="2D422696"/>
    <w:rsid w:val="2D453C7E"/>
    <w:rsid w:val="2D472F3A"/>
    <w:rsid w:val="2D47D248"/>
    <w:rsid w:val="2D4E9BA8"/>
    <w:rsid w:val="2D50AAD5"/>
    <w:rsid w:val="2D51CD60"/>
    <w:rsid w:val="2D53BE37"/>
    <w:rsid w:val="2D57E985"/>
    <w:rsid w:val="2D59FD0D"/>
    <w:rsid w:val="2D5A945B"/>
    <w:rsid w:val="2D5C366F"/>
    <w:rsid w:val="2D5E48BD"/>
    <w:rsid w:val="2D5EABE9"/>
    <w:rsid w:val="2D60ACC7"/>
    <w:rsid w:val="2D65B730"/>
    <w:rsid w:val="2D66522B"/>
    <w:rsid w:val="2D706739"/>
    <w:rsid w:val="2D70B4C4"/>
    <w:rsid w:val="2D731C75"/>
    <w:rsid w:val="2D74943A"/>
    <w:rsid w:val="2D75564B"/>
    <w:rsid w:val="2D789C9E"/>
    <w:rsid w:val="2D8517E0"/>
    <w:rsid w:val="2D89B0D2"/>
    <w:rsid w:val="2D8A553D"/>
    <w:rsid w:val="2D8C3CE0"/>
    <w:rsid w:val="2D8EDF00"/>
    <w:rsid w:val="2D951369"/>
    <w:rsid w:val="2D99C076"/>
    <w:rsid w:val="2D9A679B"/>
    <w:rsid w:val="2D9D1A4C"/>
    <w:rsid w:val="2DA5ABF6"/>
    <w:rsid w:val="2DA79353"/>
    <w:rsid w:val="2DA84D26"/>
    <w:rsid w:val="2DAB7AE0"/>
    <w:rsid w:val="2DADD6CC"/>
    <w:rsid w:val="2DAFE81D"/>
    <w:rsid w:val="2DB8136D"/>
    <w:rsid w:val="2DB9D910"/>
    <w:rsid w:val="2DBB715F"/>
    <w:rsid w:val="2DBC6834"/>
    <w:rsid w:val="2DBCF5A9"/>
    <w:rsid w:val="2DBE3488"/>
    <w:rsid w:val="2DC1C6DA"/>
    <w:rsid w:val="2DC4B5AD"/>
    <w:rsid w:val="2DD41446"/>
    <w:rsid w:val="2DD5AD67"/>
    <w:rsid w:val="2DD6A39D"/>
    <w:rsid w:val="2DD92814"/>
    <w:rsid w:val="2DEE99A2"/>
    <w:rsid w:val="2DF05677"/>
    <w:rsid w:val="2DF14610"/>
    <w:rsid w:val="2DF36863"/>
    <w:rsid w:val="2DF9BC5D"/>
    <w:rsid w:val="2E011395"/>
    <w:rsid w:val="2E04D4CD"/>
    <w:rsid w:val="2E069169"/>
    <w:rsid w:val="2E0B9D2C"/>
    <w:rsid w:val="2E0DCF0A"/>
    <w:rsid w:val="2E0F6D54"/>
    <w:rsid w:val="2E15C4F6"/>
    <w:rsid w:val="2E17C3D3"/>
    <w:rsid w:val="2E18DD61"/>
    <w:rsid w:val="2E19C8A9"/>
    <w:rsid w:val="2E19F787"/>
    <w:rsid w:val="2E1DEC46"/>
    <w:rsid w:val="2E20144C"/>
    <w:rsid w:val="2E223952"/>
    <w:rsid w:val="2E2E17F3"/>
    <w:rsid w:val="2E2EF211"/>
    <w:rsid w:val="2E31A148"/>
    <w:rsid w:val="2E339B36"/>
    <w:rsid w:val="2E3BD394"/>
    <w:rsid w:val="2E3BF9ED"/>
    <w:rsid w:val="2E4037FF"/>
    <w:rsid w:val="2E41AF61"/>
    <w:rsid w:val="2E455AF5"/>
    <w:rsid w:val="2E45FA20"/>
    <w:rsid w:val="2E4B979E"/>
    <w:rsid w:val="2E5384B2"/>
    <w:rsid w:val="2E57C2C4"/>
    <w:rsid w:val="2E5A932D"/>
    <w:rsid w:val="2E5BF3A3"/>
    <w:rsid w:val="2E5CEC98"/>
    <w:rsid w:val="2E5F1BF8"/>
    <w:rsid w:val="2E607F48"/>
    <w:rsid w:val="2E67EA5A"/>
    <w:rsid w:val="2E6DD68B"/>
    <w:rsid w:val="2E6E62D3"/>
    <w:rsid w:val="2E70089B"/>
    <w:rsid w:val="2E711D76"/>
    <w:rsid w:val="2E7C18D9"/>
    <w:rsid w:val="2E82CB98"/>
    <w:rsid w:val="2E84E4DA"/>
    <w:rsid w:val="2E84F006"/>
    <w:rsid w:val="2E851629"/>
    <w:rsid w:val="2E88E306"/>
    <w:rsid w:val="2E8DBA04"/>
    <w:rsid w:val="2E912BCC"/>
    <w:rsid w:val="2E92EAA9"/>
    <w:rsid w:val="2E9406BD"/>
    <w:rsid w:val="2EA3EF75"/>
    <w:rsid w:val="2EA5C6B1"/>
    <w:rsid w:val="2EAD9E45"/>
    <w:rsid w:val="2EAFBF06"/>
    <w:rsid w:val="2EB0D893"/>
    <w:rsid w:val="2EB2549E"/>
    <w:rsid w:val="2EB596D6"/>
    <w:rsid w:val="2EB9B51F"/>
    <w:rsid w:val="2EBBA97E"/>
    <w:rsid w:val="2EC333DA"/>
    <w:rsid w:val="2ECB0889"/>
    <w:rsid w:val="2ECF9A15"/>
    <w:rsid w:val="2ED44C46"/>
    <w:rsid w:val="2ED60446"/>
    <w:rsid w:val="2EDBBA9A"/>
    <w:rsid w:val="2EDC4AF7"/>
    <w:rsid w:val="2EDDD00E"/>
    <w:rsid w:val="2EDE53BC"/>
    <w:rsid w:val="2EDEA027"/>
    <w:rsid w:val="2EE0E625"/>
    <w:rsid w:val="2EE26B1A"/>
    <w:rsid w:val="2EE2F76C"/>
    <w:rsid w:val="2EE4B4D8"/>
    <w:rsid w:val="2EE963D4"/>
    <w:rsid w:val="2EEF4260"/>
    <w:rsid w:val="2EF1D84E"/>
    <w:rsid w:val="2EF4A26E"/>
    <w:rsid w:val="2EF53184"/>
    <w:rsid w:val="2EF69963"/>
    <w:rsid w:val="2EFAA514"/>
    <w:rsid w:val="2EFD2C24"/>
    <w:rsid w:val="2EFE2545"/>
    <w:rsid w:val="2F051AE6"/>
    <w:rsid w:val="2F1469CF"/>
    <w:rsid w:val="2F1B028C"/>
    <w:rsid w:val="2F1B05CD"/>
    <w:rsid w:val="2F1D4744"/>
    <w:rsid w:val="2F1E9178"/>
    <w:rsid w:val="2F20AFCF"/>
    <w:rsid w:val="2F21A854"/>
    <w:rsid w:val="2F230D41"/>
    <w:rsid w:val="2F254900"/>
    <w:rsid w:val="2F25ABA6"/>
    <w:rsid w:val="2F26CF0F"/>
    <w:rsid w:val="2F29556A"/>
    <w:rsid w:val="2F350AEF"/>
    <w:rsid w:val="2F35431C"/>
    <w:rsid w:val="2F39DCFE"/>
    <w:rsid w:val="2F43DD60"/>
    <w:rsid w:val="2F46860C"/>
    <w:rsid w:val="2F482B8B"/>
    <w:rsid w:val="2F4A5B35"/>
    <w:rsid w:val="2F4AAFC8"/>
    <w:rsid w:val="2F4D6540"/>
    <w:rsid w:val="2F4E0A67"/>
    <w:rsid w:val="2F5AED98"/>
    <w:rsid w:val="2F5C5F2B"/>
    <w:rsid w:val="2F5D4F1F"/>
    <w:rsid w:val="2F5F9611"/>
    <w:rsid w:val="2F60F0E3"/>
    <w:rsid w:val="2F62F66E"/>
    <w:rsid w:val="2F64EAEA"/>
    <w:rsid w:val="2F671B0F"/>
    <w:rsid w:val="2F6C2394"/>
    <w:rsid w:val="2F6EC37E"/>
    <w:rsid w:val="2F7315CC"/>
    <w:rsid w:val="2F7F564F"/>
    <w:rsid w:val="2F814978"/>
    <w:rsid w:val="2F8153DE"/>
    <w:rsid w:val="2F8862F8"/>
    <w:rsid w:val="2F90763D"/>
    <w:rsid w:val="2F9C41D6"/>
    <w:rsid w:val="2FA07EB4"/>
    <w:rsid w:val="2FA3FB2D"/>
    <w:rsid w:val="2FA6F7CB"/>
    <w:rsid w:val="2FA79C00"/>
    <w:rsid w:val="2FAC5364"/>
    <w:rsid w:val="2FAD070A"/>
    <w:rsid w:val="2FAE5222"/>
    <w:rsid w:val="2FAEC5D5"/>
    <w:rsid w:val="2FAF8744"/>
    <w:rsid w:val="2FB24ED7"/>
    <w:rsid w:val="2FB83E00"/>
    <w:rsid w:val="2FC52A83"/>
    <w:rsid w:val="2FCA44FE"/>
    <w:rsid w:val="2FCBA0C2"/>
    <w:rsid w:val="2FCC7883"/>
    <w:rsid w:val="2FCD82DF"/>
    <w:rsid w:val="2FD26169"/>
    <w:rsid w:val="2FD2D8EE"/>
    <w:rsid w:val="2FD5770C"/>
    <w:rsid w:val="2FD61766"/>
    <w:rsid w:val="2FE01225"/>
    <w:rsid w:val="2FE4B63F"/>
    <w:rsid w:val="2FE5C7D6"/>
    <w:rsid w:val="2FEBA7AE"/>
    <w:rsid w:val="2FEE95F2"/>
    <w:rsid w:val="2FEF6CA8"/>
    <w:rsid w:val="2FF9391C"/>
    <w:rsid w:val="2FFAB23E"/>
    <w:rsid w:val="2FFAC47E"/>
    <w:rsid w:val="2FFEC191"/>
    <w:rsid w:val="2FFF479A"/>
    <w:rsid w:val="3002D580"/>
    <w:rsid w:val="3003BDCF"/>
    <w:rsid w:val="3006D52F"/>
    <w:rsid w:val="30082E40"/>
    <w:rsid w:val="300CA03B"/>
    <w:rsid w:val="300D5890"/>
    <w:rsid w:val="3014CCBB"/>
    <w:rsid w:val="3019A36B"/>
    <w:rsid w:val="301B925C"/>
    <w:rsid w:val="30209F75"/>
    <w:rsid w:val="30258FCF"/>
    <w:rsid w:val="302A1122"/>
    <w:rsid w:val="302DB22B"/>
    <w:rsid w:val="302DCFAF"/>
    <w:rsid w:val="30335D2B"/>
    <w:rsid w:val="303F19C2"/>
    <w:rsid w:val="30405A37"/>
    <w:rsid w:val="305600E6"/>
    <w:rsid w:val="3062FE32"/>
    <w:rsid w:val="3067CA19"/>
    <w:rsid w:val="306E71CC"/>
    <w:rsid w:val="30725667"/>
    <w:rsid w:val="30729E5B"/>
    <w:rsid w:val="3074085C"/>
    <w:rsid w:val="30799B19"/>
    <w:rsid w:val="3085542E"/>
    <w:rsid w:val="3092A6A8"/>
    <w:rsid w:val="309546A7"/>
    <w:rsid w:val="3096E656"/>
    <w:rsid w:val="309708C1"/>
    <w:rsid w:val="3099CF11"/>
    <w:rsid w:val="3099EAFF"/>
    <w:rsid w:val="309C735A"/>
    <w:rsid w:val="309DE648"/>
    <w:rsid w:val="309FA21F"/>
    <w:rsid w:val="30A053EF"/>
    <w:rsid w:val="30AA22FA"/>
    <w:rsid w:val="30B237A3"/>
    <w:rsid w:val="30B4DBEB"/>
    <w:rsid w:val="30B9C5D7"/>
    <w:rsid w:val="30BD2BD8"/>
    <w:rsid w:val="30C150C4"/>
    <w:rsid w:val="30C18E68"/>
    <w:rsid w:val="30C2C6DB"/>
    <w:rsid w:val="30CA1AF9"/>
    <w:rsid w:val="30CF449E"/>
    <w:rsid w:val="30DC9267"/>
    <w:rsid w:val="30DEC3F1"/>
    <w:rsid w:val="30E5FEBF"/>
    <w:rsid w:val="30E9A4B5"/>
    <w:rsid w:val="30F22DA9"/>
    <w:rsid w:val="30F5FD95"/>
    <w:rsid w:val="30F8E9CB"/>
    <w:rsid w:val="30FA1896"/>
    <w:rsid w:val="30FBA003"/>
    <w:rsid w:val="3105D53A"/>
    <w:rsid w:val="3108B940"/>
    <w:rsid w:val="310A03AA"/>
    <w:rsid w:val="312537AD"/>
    <w:rsid w:val="3126396B"/>
    <w:rsid w:val="312B8307"/>
    <w:rsid w:val="312DB1C9"/>
    <w:rsid w:val="312E7868"/>
    <w:rsid w:val="3132E2AB"/>
    <w:rsid w:val="3135A28A"/>
    <w:rsid w:val="313B325D"/>
    <w:rsid w:val="313CB928"/>
    <w:rsid w:val="313FF7B3"/>
    <w:rsid w:val="3141EEBE"/>
    <w:rsid w:val="3143DAB9"/>
    <w:rsid w:val="3146939C"/>
    <w:rsid w:val="31480A54"/>
    <w:rsid w:val="3149CA47"/>
    <w:rsid w:val="314C88FF"/>
    <w:rsid w:val="314F9E14"/>
    <w:rsid w:val="314FBE67"/>
    <w:rsid w:val="315225BB"/>
    <w:rsid w:val="315602DC"/>
    <w:rsid w:val="315A4FFE"/>
    <w:rsid w:val="315BC0D2"/>
    <w:rsid w:val="315C5E7B"/>
    <w:rsid w:val="31629628"/>
    <w:rsid w:val="3163BC76"/>
    <w:rsid w:val="3164420F"/>
    <w:rsid w:val="3168F616"/>
    <w:rsid w:val="316CE09A"/>
    <w:rsid w:val="316EF022"/>
    <w:rsid w:val="31754A97"/>
    <w:rsid w:val="317831F1"/>
    <w:rsid w:val="317F4B0C"/>
    <w:rsid w:val="3184E754"/>
    <w:rsid w:val="3186D25A"/>
    <w:rsid w:val="318732CC"/>
    <w:rsid w:val="318A925E"/>
    <w:rsid w:val="318AEB78"/>
    <w:rsid w:val="3194B22C"/>
    <w:rsid w:val="31975CED"/>
    <w:rsid w:val="3198423A"/>
    <w:rsid w:val="31A23CF4"/>
    <w:rsid w:val="31A37E17"/>
    <w:rsid w:val="31A384F3"/>
    <w:rsid w:val="31A43ED3"/>
    <w:rsid w:val="31A5A89A"/>
    <w:rsid w:val="31AE7C50"/>
    <w:rsid w:val="31B3F2D1"/>
    <w:rsid w:val="31B41510"/>
    <w:rsid w:val="31BC1E3C"/>
    <w:rsid w:val="31C1FD33"/>
    <w:rsid w:val="31C4E6EF"/>
    <w:rsid w:val="31C67F57"/>
    <w:rsid w:val="31C9EE24"/>
    <w:rsid w:val="31CD092C"/>
    <w:rsid w:val="31CD1CAD"/>
    <w:rsid w:val="31CD8C42"/>
    <w:rsid w:val="31CE68D9"/>
    <w:rsid w:val="31D434B9"/>
    <w:rsid w:val="31D5B79E"/>
    <w:rsid w:val="31D6034F"/>
    <w:rsid w:val="31D9607E"/>
    <w:rsid w:val="31D9A927"/>
    <w:rsid w:val="31DD89DF"/>
    <w:rsid w:val="31E2D95E"/>
    <w:rsid w:val="31E30199"/>
    <w:rsid w:val="31E5DBC1"/>
    <w:rsid w:val="31E97CFB"/>
    <w:rsid w:val="31F2C13D"/>
    <w:rsid w:val="31F4E5CA"/>
    <w:rsid w:val="31F83B70"/>
    <w:rsid w:val="31FC9758"/>
    <w:rsid w:val="31FFD3C7"/>
    <w:rsid w:val="3204FB15"/>
    <w:rsid w:val="320BC62D"/>
    <w:rsid w:val="321093DE"/>
    <w:rsid w:val="3211E6B7"/>
    <w:rsid w:val="321785F4"/>
    <w:rsid w:val="32187630"/>
    <w:rsid w:val="321B356C"/>
    <w:rsid w:val="321C919D"/>
    <w:rsid w:val="32263B47"/>
    <w:rsid w:val="3229A0DD"/>
    <w:rsid w:val="32354973"/>
    <w:rsid w:val="323AC76F"/>
    <w:rsid w:val="323C70B5"/>
    <w:rsid w:val="32422696"/>
    <w:rsid w:val="3242D618"/>
    <w:rsid w:val="32441D98"/>
    <w:rsid w:val="32455EA8"/>
    <w:rsid w:val="324563B9"/>
    <w:rsid w:val="32466CD6"/>
    <w:rsid w:val="324C282D"/>
    <w:rsid w:val="324CA155"/>
    <w:rsid w:val="324CC88F"/>
    <w:rsid w:val="324E6701"/>
    <w:rsid w:val="3250A237"/>
    <w:rsid w:val="3255A996"/>
    <w:rsid w:val="3257E5BD"/>
    <w:rsid w:val="325BC702"/>
    <w:rsid w:val="325DDE36"/>
    <w:rsid w:val="32625D38"/>
    <w:rsid w:val="326462A3"/>
    <w:rsid w:val="3266A5A9"/>
    <w:rsid w:val="326C6E0F"/>
    <w:rsid w:val="3271E716"/>
    <w:rsid w:val="3272186E"/>
    <w:rsid w:val="32724FD6"/>
    <w:rsid w:val="3274D15D"/>
    <w:rsid w:val="327514C1"/>
    <w:rsid w:val="32753E61"/>
    <w:rsid w:val="3275463D"/>
    <w:rsid w:val="327898DE"/>
    <w:rsid w:val="327B9B41"/>
    <w:rsid w:val="327E6D33"/>
    <w:rsid w:val="327F6556"/>
    <w:rsid w:val="328466AF"/>
    <w:rsid w:val="328CDDB9"/>
    <w:rsid w:val="328CFFBC"/>
    <w:rsid w:val="32936C1E"/>
    <w:rsid w:val="3296CAE0"/>
    <w:rsid w:val="329774BA"/>
    <w:rsid w:val="32988F85"/>
    <w:rsid w:val="329B3019"/>
    <w:rsid w:val="32A005BA"/>
    <w:rsid w:val="32A1386A"/>
    <w:rsid w:val="32A4669F"/>
    <w:rsid w:val="32A5B09A"/>
    <w:rsid w:val="32A90363"/>
    <w:rsid w:val="32AA32A6"/>
    <w:rsid w:val="32AAD018"/>
    <w:rsid w:val="32ADC64B"/>
    <w:rsid w:val="32B1C6C4"/>
    <w:rsid w:val="32BCFAA0"/>
    <w:rsid w:val="32BEC3ED"/>
    <w:rsid w:val="32C3960B"/>
    <w:rsid w:val="32C5A31C"/>
    <w:rsid w:val="32C622AD"/>
    <w:rsid w:val="32C62B3E"/>
    <w:rsid w:val="32C64F7E"/>
    <w:rsid w:val="32D2D991"/>
    <w:rsid w:val="32D31A7F"/>
    <w:rsid w:val="32EB15DA"/>
    <w:rsid w:val="32EBA900"/>
    <w:rsid w:val="32F0F2FB"/>
    <w:rsid w:val="32F54183"/>
    <w:rsid w:val="32F67EBE"/>
    <w:rsid w:val="32F6E506"/>
    <w:rsid w:val="32FE7C0C"/>
    <w:rsid w:val="33078E1E"/>
    <w:rsid w:val="33154153"/>
    <w:rsid w:val="3315BDEC"/>
    <w:rsid w:val="331758A1"/>
    <w:rsid w:val="331A85BA"/>
    <w:rsid w:val="331E53CF"/>
    <w:rsid w:val="331FC0D3"/>
    <w:rsid w:val="3320460B"/>
    <w:rsid w:val="3323D52B"/>
    <w:rsid w:val="332AC62F"/>
    <w:rsid w:val="332FCB6D"/>
    <w:rsid w:val="332FE09F"/>
    <w:rsid w:val="332FFCC9"/>
    <w:rsid w:val="33315810"/>
    <w:rsid w:val="333B6F21"/>
    <w:rsid w:val="333E8135"/>
    <w:rsid w:val="33406C92"/>
    <w:rsid w:val="3340F6A4"/>
    <w:rsid w:val="3343ED78"/>
    <w:rsid w:val="33463653"/>
    <w:rsid w:val="334775B3"/>
    <w:rsid w:val="334A024C"/>
    <w:rsid w:val="334FDE83"/>
    <w:rsid w:val="33502C7F"/>
    <w:rsid w:val="3350B364"/>
    <w:rsid w:val="33517155"/>
    <w:rsid w:val="3354B81E"/>
    <w:rsid w:val="3356C720"/>
    <w:rsid w:val="3358E14D"/>
    <w:rsid w:val="335AE715"/>
    <w:rsid w:val="335C3E53"/>
    <w:rsid w:val="335F8040"/>
    <w:rsid w:val="335FC1B0"/>
    <w:rsid w:val="33602AD0"/>
    <w:rsid w:val="3366111A"/>
    <w:rsid w:val="3367B1DA"/>
    <w:rsid w:val="336D58D5"/>
    <w:rsid w:val="3376A842"/>
    <w:rsid w:val="337E3025"/>
    <w:rsid w:val="337F2E8D"/>
    <w:rsid w:val="3380BB06"/>
    <w:rsid w:val="3380CB05"/>
    <w:rsid w:val="3386CD16"/>
    <w:rsid w:val="3391AB5D"/>
    <w:rsid w:val="33937746"/>
    <w:rsid w:val="3393B63F"/>
    <w:rsid w:val="3393B943"/>
    <w:rsid w:val="3398DCC6"/>
    <w:rsid w:val="339A47C1"/>
    <w:rsid w:val="339A64CD"/>
    <w:rsid w:val="339D8260"/>
    <w:rsid w:val="33A15CB5"/>
    <w:rsid w:val="33A368B1"/>
    <w:rsid w:val="33AD38AB"/>
    <w:rsid w:val="33AD8486"/>
    <w:rsid w:val="33AE73D6"/>
    <w:rsid w:val="33AFF79C"/>
    <w:rsid w:val="33B1FB67"/>
    <w:rsid w:val="33B7A43B"/>
    <w:rsid w:val="33B863BE"/>
    <w:rsid w:val="33B8DD53"/>
    <w:rsid w:val="33BC8F96"/>
    <w:rsid w:val="33BF0A80"/>
    <w:rsid w:val="33C0B07D"/>
    <w:rsid w:val="33C2C42B"/>
    <w:rsid w:val="33C4F976"/>
    <w:rsid w:val="33CDE445"/>
    <w:rsid w:val="33D02406"/>
    <w:rsid w:val="33D34E31"/>
    <w:rsid w:val="33D6AAA3"/>
    <w:rsid w:val="33DE2FA2"/>
    <w:rsid w:val="33E3A0D6"/>
    <w:rsid w:val="33E85AF7"/>
    <w:rsid w:val="33E93A56"/>
    <w:rsid w:val="33EB3A12"/>
    <w:rsid w:val="33F014DB"/>
    <w:rsid w:val="33F579E0"/>
    <w:rsid w:val="33F70211"/>
    <w:rsid w:val="33FAAD9D"/>
    <w:rsid w:val="33FB7614"/>
    <w:rsid w:val="34008537"/>
    <w:rsid w:val="3400A1FC"/>
    <w:rsid w:val="340253B3"/>
    <w:rsid w:val="3404321A"/>
    <w:rsid w:val="3409CC5D"/>
    <w:rsid w:val="340B14FF"/>
    <w:rsid w:val="340EE9AE"/>
    <w:rsid w:val="34118013"/>
    <w:rsid w:val="3411E844"/>
    <w:rsid w:val="3413787A"/>
    <w:rsid w:val="3414AB2F"/>
    <w:rsid w:val="34157001"/>
    <w:rsid w:val="341CADDE"/>
    <w:rsid w:val="342384EC"/>
    <w:rsid w:val="34247715"/>
    <w:rsid w:val="3425194D"/>
    <w:rsid w:val="34258646"/>
    <w:rsid w:val="3425A34B"/>
    <w:rsid w:val="3426873F"/>
    <w:rsid w:val="34285B34"/>
    <w:rsid w:val="34291B92"/>
    <w:rsid w:val="342CDD85"/>
    <w:rsid w:val="34314EAC"/>
    <w:rsid w:val="343974F1"/>
    <w:rsid w:val="343E4CB2"/>
    <w:rsid w:val="343F2B47"/>
    <w:rsid w:val="344335A8"/>
    <w:rsid w:val="344436FF"/>
    <w:rsid w:val="3452B6C8"/>
    <w:rsid w:val="3454602A"/>
    <w:rsid w:val="34549AF5"/>
    <w:rsid w:val="345815F9"/>
    <w:rsid w:val="345A0A55"/>
    <w:rsid w:val="345C9234"/>
    <w:rsid w:val="345D5586"/>
    <w:rsid w:val="345E2B51"/>
    <w:rsid w:val="345F8F45"/>
    <w:rsid w:val="34635A6B"/>
    <w:rsid w:val="346BF610"/>
    <w:rsid w:val="346C0BA4"/>
    <w:rsid w:val="346E4382"/>
    <w:rsid w:val="346E940A"/>
    <w:rsid w:val="346EE34A"/>
    <w:rsid w:val="3474A3F8"/>
    <w:rsid w:val="347D3564"/>
    <w:rsid w:val="3485956D"/>
    <w:rsid w:val="348712FD"/>
    <w:rsid w:val="348B9466"/>
    <w:rsid w:val="3496B8F1"/>
    <w:rsid w:val="349C7E80"/>
    <w:rsid w:val="349E17AA"/>
    <w:rsid w:val="34A32B66"/>
    <w:rsid w:val="34A60925"/>
    <w:rsid w:val="34A871A8"/>
    <w:rsid w:val="34A986E1"/>
    <w:rsid w:val="34A9D6F6"/>
    <w:rsid w:val="34B6F08B"/>
    <w:rsid w:val="34BEA27E"/>
    <w:rsid w:val="34C41D66"/>
    <w:rsid w:val="34C5AF63"/>
    <w:rsid w:val="34CBC8F6"/>
    <w:rsid w:val="34CCE3CC"/>
    <w:rsid w:val="34CD15FF"/>
    <w:rsid w:val="34CDBA46"/>
    <w:rsid w:val="34CED359"/>
    <w:rsid w:val="34CF867A"/>
    <w:rsid w:val="34D0BAF4"/>
    <w:rsid w:val="34D703DA"/>
    <w:rsid w:val="34DC8B82"/>
    <w:rsid w:val="34DE70E3"/>
    <w:rsid w:val="34E82291"/>
    <w:rsid w:val="34F078B0"/>
    <w:rsid w:val="34F6D51A"/>
    <w:rsid w:val="34F7FCD7"/>
    <w:rsid w:val="34FA059D"/>
    <w:rsid w:val="34FD83CA"/>
    <w:rsid w:val="350314DD"/>
    <w:rsid w:val="3503A8A4"/>
    <w:rsid w:val="35044A61"/>
    <w:rsid w:val="3505F24B"/>
    <w:rsid w:val="35067B60"/>
    <w:rsid w:val="35077147"/>
    <w:rsid w:val="3509A3A9"/>
    <w:rsid w:val="350D3DFF"/>
    <w:rsid w:val="350F06A2"/>
    <w:rsid w:val="35122152"/>
    <w:rsid w:val="351468BD"/>
    <w:rsid w:val="351939A4"/>
    <w:rsid w:val="351AC096"/>
    <w:rsid w:val="351ECFCE"/>
    <w:rsid w:val="35241FA9"/>
    <w:rsid w:val="3525C479"/>
    <w:rsid w:val="35295C8C"/>
    <w:rsid w:val="352B8C98"/>
    <w:rsid w:val="352B9F98"/>
    <w:rsid w:val="352C5545"/>
    <w:rsid w:val="352EE16F"/>
    <w:rsid w:val="353482F2"/>
    <w:rsid w:val="3535560B"/>
    <w:rsid w:val="3535F2BE"/>
    <w:rsid w:val="3537EDFE"/>
    <w:rsid w:val="35417E4D"/>
    <w:rsid w:val="3541BA61"/>
    <w:rsid w:val="35459BFF"/>
    <w:rsid w:val="35495954"/>
    <w:rsid w:val="354A8D4A"/>
    <w:rsid w:val="354DE1FA"/>
    <w:rsid w:val="354E8F7D"/>
    <w:rsid w:val="35571D5B"/>
    <w:rsid w:val="355FCDF0"/>
    <w:rsid w:val="35606C49"/>
    <w:rsid w:val="35622542"/>
    <w:rsid w:val="3562A22E"/>
    <w:rsid w:val="35636A0F"/>
    <w:rsid w:val="356C9227"/>
    <w:rsid w:val="356EB9E7"/>
    <w:rsid w:val="356EC4D9"/>
    <w:rsid w:val="357912EB"/>
    <w:rsid w:val="357A3625"/>
    <w:rsid w:val="357D885A"/>
    <w:rsid w:val="357FC50B"/>
    <w:rsid w:val="357FDF7D"/>
    <w:rsid w:val="35825CFC"/>
    <w:rsid w:val="3584EA72"/>
    <w:rsid w:val="3586BFE0"/>
    <w:rsid w:val="35882CB2"/>
    <w:rsid w:val="3588AC3D"/>
    <w:rsid w:val="3588DAF1"/>
    <w:rsid w:val="35904E78"/>
    <w:rsid w:val="3590CD10"/>
    <w:rsid w:val="359107CB"/>
    <w:rsid w:val="3592E676"/>
    <w:rsid w:val="3595CDF4"/>
    <w:rsid w:val="35979855"/>
    <w:rsid w:val="359FD5B6"/>
    <w:rsid w:val="35A36BB8"/>
    <w:rsid w:val="35A4D822"/>
    <w:rsid w:val="35A50AF8"/>
    <w:rsid w:val="35A5F921"/>
    <w:rsid w:val="35A8BA36"/>
    <w:rsid w:val="35A91241"/>
    <w:rsid w:val="35AD4FCB"/>
    <w:rsid w:val="35B06E1A"/>
    <w:rsid w:val="35B590B5"/>
    <w:rsid w:val="35B5F007"/>
    <w:rsid w:val="35BEA6D3"/>
    <w:rsid w:val="35BF9A9F"/>
    <w:rsid w:val="35C1172E"/>
    <w:rsid w:val="35C11FFF"/>
    <w:rsid w:val="35C33147"/>
    <w:rsid w:val="35C6A58B"/>
    <w:rsid w:val="35CB3A5C"/>
    <w:rsid w:val="35CD12B5"/>
    <w:rsid w:val="35CDFEB4"/>
    <w:rsid w:val="35CF6017"/>
    <w:rsid w:val="35D87587"/>
    <w:rsid w:val="35D9A8C1"/>
    <w:rsid w:val="35D9F3E9"/>
    <w:rsid w:val="35E05673"/>
    <w:rsid w:val="35E36739"/>
    <w:rsid w:val="35E7DF3E"/>
    <w:rsid w:val="35E89F72"/>
    <w:rsid w:val="35E8E315"/>
    <w:rsid w:val="35EA433E"/>
    <w:rsid w:val="35EE53BC"/>
    <w:rsid w:val="35F8FC0A"/>
    <w:rsid w:val="35F9A182"/>
    <w:rsid w:val="35FE7F9D"/>
    <w:rsid w:val="35FF0E42"/>
    <w:rsid w:val="3600B3DE"/>
    <w:rsid w:val="360344D1"/>
    <w:rsid w:val="3605BEAE"/>
    <w:rsid w:val="3607B3EE"/>
    <w:rsid w:val="360B5B93"/>
    <w:rsid w:val="360E92BF"/>
    <w:rsid w:val="360EF955"/>
    <w:rsid w:val="36123387"/>
    <w:rsid w:val="361376A0"/>
    <w:rsid w:val="36181D28"/>
    <w:rsid w:val="361B600C"/>
    <w:rsid w:val="361B9E1F"/>
    <w:rsid w:val="3625B664"/>
    <w:rsid w:val="3628A733"/>
    <w:rsid w:val="3629D30B"/>
    <w:rsid w:val="3629E4F8"/>
    <w:rsid w:val="362E7EC0"/>
    <w:rsid w:val="3630F65D"/>
    <w:rsid w:val="3631248A"/>
    <w:rsid w:val="363400DB"/>
    <w:rsid w:val="3635277F"/>
    <w:rsid w:val="36359FA9"/>
    <w:rsid w:val="3635AC5D"/>
    <w:rsid w:val="3637A9CE"/>
    <w:rsid w:val="363B0E19"/>
    <w:rsid w:val="363BFAA1"/>
    <w:rsid w:val="363E09BE"/>
    <w:rsid w:val="3644DBE9"/>
    <w:rsid w:val="3649C792"/>
    <w:rsid w:val="364A9B12"/>
    <w:rsid w:val="364C657B"/>
    <w:rsid w:val="364CE675"/>
    <w:rsid w:val="364E27D9"/>
    <w:rsid w:val="36585646"/>
    <w:rsid w:val="365E6FCF"/>
    <w:rsid w:val="365E73C7"/>
    <w:rsid w:val="36644134"/>
    <w:rsid w:val="3665D507"/>
    <w:rsid w:val="366B62E1"/>
    <w:rsid w:val="366B7286"/>
    <w:rsid w:val="366D1D47"/>
    <w:rsid w:val="366EDBE8"/>
    <w:rsid w:val="3675AA8A"/>
    <w:rsid w:val="368ABDD0"/>
    <w:rsid w:val="368CF325"/>
    <w:rsid w:val="369269D6"/>
    <w:rsid w:val="36936E17"/>
    <w:rsid w:val="3698D0A5"/>
    <w:rsid w:val="36994B44"/>
    <w:rsid w:val="369D9D3D"/>
    <w:rsid w:val="36A1CDC7"/>
    <w:rsid w:val="36A55FAD"/>
    <w:rsid w:val="36AC7924"/>
    <w:rsid w:val="36ACDB7F"/>
    <w:rsid w:val="36AD2CA5"/>
    <w:rsid w:val="36ADFC23"/>
    <w:rsid w:val="36B50F95"/>
    <w:rsid w:val="36BB9394"/>
    <w:rsid w:val="36BEE436"/>
    <w:rsid w:val="36C6A9BD"/>
    <w:rsid w:val="36C70731"/>
    <w:rsid w:val="36C7FD0A"/>
    <w:rsid w:val="36D2CBD7"/>
    <w:rsid w:val="36D77DD2"/>
    <w:rsid w:val="36DBC0D3"/>
    <w:rsid w:val="36E2B45A"/>
    <w:rsid w:val="36EA6969"/>
    <w:rsid w:val="36F57356"/>
    <w:rsid w:val="36F8D3AB"/>
    <w:rsid w:val="36FB954D"/>
    <w:rsid w:val="37011267"/>
    <w:rsid w:val="37028C1B"/>
    <w:rsid w:val="370477E9"/>
    <w:rsid w:val="370BC2B6"/>
    <w:rsid w:val="370E01F4"/>
    <w:rsid w:val="37133067"/>
    <w:rsid w:val="37189A48"/>
    <w:rsid w:val="371926A7"/>
    <w:rsid w:val="37237A64"/>
    <w:rsid w:val="372530AC"/>
    <w:rsid w:val="3727E60E"/>
    <w:rsid w:val="3729BC89"/>
    <w:rsid w:val="372D302F"/>
    <w:rsid w:val="372D7F45"/>
    <w:rsid w:val="3733648F"/>
    <w:rsid w:val="37350091"/>
    <w:rsid w:val="3735C667"/>
    <w:rsid w:val="3739A4D6"/>
    <w:rsid w:val="373A3DA7"/>
    <w:rsid w:val="373AAEDA"/>
    <w:rsid w:val="373F0249"/>
    <w:rsid w:val="3740F6B0"/>
    <w:rsid w:val="374350FB"/>
    <w:rsid w:val="374427A4"/>
    <w:rsid w:val="3745754A"/>
    <w:rsid w:val="3749E9A8"/>
    <w:rsid w:val="374FDDF4"/>
    <w:rsid w:val="375001DF"/>
    <w:rsid w:val="37502A64"/>
    <w:rsid w:val="37525654"/>
    <w:rsid w:val="3754B507"/>
    <w:rsid w:val="37550A2E"/>
    <w:rsid w:val="3755A8F1"/>
    <w:rsid w:val="3758D452"/>
    <w:rsid w:val="375A3294"/>
    <w:rsid w:val="375A93A5"/>
    <w:rsid w:val="3763D174"/>
    <w:rsid w:val="37675804"/>
    <w:rsid w:val="376D22A1"/>
    <w:rsid w:val="37729DD2"/>
    <w:rsid w:val="377347C8"/>
    <w:rsid w:val="377623CA"/>
    <w:rsid w:val="3776B5D1"/>
    <w:rsid w:val="377AEA2B"/>
    <w:rsid w:val="37811AEF"/>
    <w:rsid w:val="37893533"/>
    <w:rsid w:val="378A811F"/>
    <w:rsid w:val="378D3A58"/>
    <w:rsid w:val="378E1E89"/>
    <w:rsid w:val="378EE06E"/>
    <w:rsid w:val="378F4965"/>
    <w:rsid w:val="37917C2A"/>
    <w:rsid w:val="379E7E81"/>
    <w:rsid w:val="37A3654C"/>
    <w:rsid w:val="37A6965A"/>
    <w:rsid w:val="37AAB9C1"/>
    <w:rsid w:val="37ADB5E4"/>
    <w:rsid w:val="37B0E375"/>
    <w:rsid w:val="37B18750"/>
    <w:rsid w:val="37B60CC4"/>
    <w:rsid w:val="37B64485"/>
    <w:rsid w:val="37B71C0E"/>
    <w:rsid w:val="37BB71EE"/>
    <w:rsid w:val="37C35504"/>
    <w:rsid w:val="37C3ADDE"/>
    <w:rsid w:val="37C8D3D2"/>
    <w:rsid w:val="37C95F3A"/>
    <w:rsid w:val="37CD7EA4"/>
    <w:rsid w:val="37CF0DFB"/>
    <w:rsid w:val="37D29F09"/>
    <w:rsid w:val="37D42991"/>
    <w:rsid w:val="37D4E433"/>
    <w:rsid w:val="37D6B26A"/>
    <w:rsid w:val="37D6DB6B"/>
    <w:rsid w:val="37D8A199"/>
    <w:rsid w:val="37DAF4A9"/>
    <w:rsid w:val="37DC9CC6"/>
    <w:rsid w:val="37DFB9BB"/>
    <w:rsid w:val="37E35730"/>
    <w:rsid w:val="37E3C5E5"/>
    <w:rsid w:val="37E554E3"/>
    <w:rsid w:val="37E88F64"/>
    <w:rsid w:val="37E9839F"/>
    <w:rsid w:val="37EB45FF"/>
    <w:rsid w:val="37EBCA81"/>
    <w:rsid w:val="37EC2700"/>
    <w:rsid w:val="37ECB384"/>
    <w:rsid w:val="37F05FFD"/>
    <w:rsid w:val="37F08299"/>
    <w:rsid w:val="37F1B319"/>
    <w:rsid w:val="37F634EF"/>
    <w:rsid w:val="37F6E326"/>
    <w:rsid w:val="37F87024"/>
    <w:rsid w:val="37FF1E35"/>
    <w:rsid w:val="37FF5A1F"/>
    <w:rsid w:val="380204E3"/>
    <w:rsid w:val="380B5D95"/>
    <w:rsid w:val="380E746A"/>
    <w:rsid w:val="38123C3F"/>
    <w:rsid w:val="38128732"/>
    <w:rsid w:val="3812FBD6"/>
    <w:rsid w:val="3813C3C1"/>
    <w:rsid w:val="38162FB3"/>
    <w:rsid w:val="3818207D"/>
    <w:rsid w:val="38186830"/>
    <w:rsid w:val="381FF6FA"/>
    <w:rsid w:val="38227CE4"/>
    <w:rsid w:val="3823ADF1"/>
    <w:rsid w:val="382575CA"/>
    <w:rsid w:val="382AEE4D"/>
    <w:rsid w:val="382C3ADD"/>
    <w:rsid w:val="383A21B1"/>
    <w:rsid w:val="383F690F"/>
    <w:rsid w:val="38419FDA"/>
    <w:rsid w:val="3841FC66"/>
    <w:rsid w:val="3843634B"/>
    <w:rsid w:val="38445214"/>
    <w:rsid w:val="384504AE"/>
    <w:rsid w:val="384CF97E"/>
    <w:rsid w:val="384D4179"/>
    <w:rsid w:val="384E2548"/>
    <w:rsid w:val="3856F6AF"/>
    <w:rsid w:val="386122B5"/>
    <w:rsid w:val="3861D448"/>
    <w:rsid w:val="38664563"/>
    <w:rsid w:val="3869B463"/>
    <w:rsid w:val="387264FB"/>
    <w:rsid w:val="38739A75"/>
    <w:rsid w:val="3873F4E5"/>
    <w:rsid w:val="38781D49"/>
    <w:rsid w:val="3881283B"/>
    <w:rsid w:val="38863386"/>
    <w:rsid w:val="3886D4A4"/>
    <w:rsid w:val="38872E80"/>
    <w:rsid w:val="3887A81E"/>
    <w:rsid w:val="3888508A"/>
    <w:rsid w:val="38898EE6"/>
    <w:rsid w:val="388DC779"/>
    <w:rsid w:val="38915124"/>
    <w:rsid w:val="38931FCA"/>
    <w:rsid w:val="38954E61"/>
    <w:rsid w:val="389CCEDF"/>
    <w:rsid w:val="389E0120"/>
    <w:rsid w:val="38A151C3"/>
    <w:rsid w:val="38A2C671"/>
    <w:rsid w:val="38A45333"/>
    <w:rsid w:val="38A60207"/>
    <w:rsid w:val="38A62B26"/>
    <w:rsid w:val="38A86B2A"/>
    <w:rsid w:val="38A8FD93"/>
    <w:rsid w:val="38A9EA4A"/>
    <w:rsid w:val="38AB4718"/>
    <w:rsid w:val="38AE42A5"/>
    <w:rsid w:val="38B05691"/>
    <w:rsid w:val="38B06912"/>
    <w:rsid w:val="38BA61F7"/>
    <w:rsid w:val="38C13E3E"/>
    <w:rsid w:val="38C56D16"/>
    <w:rsid w:val="38C8B2A5"/>
    <w:rsid w:val="38CAE946"/>
    <w:rsid w:val="38CCC09F"/>
    <w:rsid w:val="38CEF1B2"/>
    <w:rsid w:val="38D079CA"/>
    <w:rsid w:val="38D0C54E"/>
    <w:rsid w:val="38D2D2C0"/>
    <w:rsid w:val="38D8E905"/>
    <w:rsid w:val="38DE77A0"/>
    <w:rsid w:val="38E09F0E"/>
    <w:rsid w:val="38E3CEC7"/>
    <w:rsid w:val="38EA3904"/>
    <w:rsid w:val="38EAF160"/>
    <w:rsid w:val="38EE247C"/>
    <w:rsid w:val="38F425CE"/>
    <w:rsid w:val="38F7BFCD"/>
    <w:rsid w:val="38FCCF39"/>
    <w:rsid w:val="38FCEC45"/>
    <w:rsid w:val="39063DBA"/>
    <w:rsid w:val="390D9D29"/>
    <w:rsid w:val="390FB003"/>
    <w:rsid w:val="39105C5F"/>
    <w:rsid w:val="39110363"/>
    <w:rsid w:val="3911FF41"/>
    <w:rsid w:val="3918E77C"/>
    <w:rsid w:val="391DBCEA"/>
    <w:rsid w:val="391EAA83"/>
    <w:rsid w:val="391F6A1C"/>
    <w:rsid w:val="3922C31A"/>
    <w:rsid w:val="3927D797"/>
    <w:rsid w:val="392AB54F"/>
    <w:rsid w:val="392B3860"/>
    <w:rsid w:val="392D8DED"/>
    <w:rsid w:val="392DBBE5"/>
    <w:rsid w:val="392F0C06"/>
    <w:rsid w:val="392FC0DA"/>
    <w:rsid w:val="3930945B"/>
    <w:rsid w:val="3930C35B"/>
    <w:rsid w:val="39324515"/>
    <w:rsid w:val="393823D9"/>
    <w:rsid w:val="393ACD62"/>
    <w:rsid w:val="393C0382"/>
    <w:rsid w:val="393FD1A7"/>
    <w:rsid w:val="39472672"/>
    <w:rsid w:val="394816C2"/>
    <w:rsid w:val="394A7421"/>
    <w:rsid w:val="394D4B6B"/>
    <w:rsid w:val="394DE1E0"/>
    <w:rsid w:val="394FF63F"/>
    <w:rsid w:val="395F7BB0"/>
    <w:rsid w:val="395FCDC8"/>
    <w:rsid w:val="3961EA8B"/>
    <w:rsid w:val="3969BC5C"/>
    <w:rsid w:val="396C5AF6"/>
    <w:rsid w:val="396E0342"/>
    <w:rsid w:val="396F935B"/>
    <w:rsid w:val="39723D13"/>
    <w:rsid w:val="3977EA37"/>
    <w:rsid w:val="397AFE82"/>
    <w:rsid w:val="397C8AAF"/>
    <w:rsid w:val="397EE4F7"/>
    <w:rsid w:val="3988D5FA"/>
    <w:rsid w:val="3989FDC2"/>
    <w:rsid w:val="398C2BA2"/>
    <w:rsid w:val="398F4F21"/>
    <w:rsid w:val="399312BE"/>
    <w:rsid w:val="39947E44"/>
    <w:rsid w:val="399A8D44"/>
    <w:rsid w:val="399AEFC0"/>
    <w:rsid w:val="399FA7D2"/>
    <w:rsid w:val="39A02E47"/>
    <w:rsid w:val="39A2674A"/>
    <w:rsid w:val="39A2C4B4"/>
    <w:rsid w:val="39A39CD7"/>
    <w:rsid w:val="39A4660F"/>
    <w:rsid w:val="39A6350B"/>
    <w:rsid w:val="39A73B36"/>
    <w:rsid w:val="39AB8978"/>
    <w:rsid w:val="39B31D81"/>
    <w:rsid w:val="39B33EF6"/>
    <w:rsid w:val="39B53A08"/>
    <w:rsid w:val="39B9720D"/>
    <w:rsid w:val="39B99BF4"/>
    <w:rsid w:val="39BA9E30"/>
    <w:rsid w:val="39BB80F7"/>
    <w:rsid w:val="39BC541E"/>
    <w:rsid w:val="39BF7771"/>
    <w:rsid w:val="39CF3606"/>
    <w:rsid w:val="39D1404C"/>
    <w:rsid w:val="39D28B75"/>
    <w:rsid w:val="39DB05E4"/>
    <w:rsid w:val="39DC9FE2"/>
    <w:rsid w:val="39E41380"/>
    <w:rsid w:val="39E788C9"/>
    <w:rsid w:val="39E8F555"/>
    <w:rsid w:val="39EA3BB0"/>
    <w:rsid w:val="39EB1DF0"/>
    <w:rsid w:val="39EB7ED8"/>
    <w:rsid w:val="39EED0AE"/>
    <w:rsid w:val="39EEE0B8"/>
    <w:rsid w:val="39F3639C"/>
    <w:rsid w:val="39F70A8D"/>
    <w:rsid w:val="3A01A855"/>
    <w:rsid w:val="3A04DBED"/>
    <w:rsid w:val="3A090604"/>
    <w:rsid w:val="3A0A616E"/>
    <w:rsid w:val="3A12168F"/>
    <w:rsid w:val="3A13CADD"/>
    <w:rsid w:val="3A14D174"/>
    <w:rsid w:val="3A164894"/>
    <w:rsid w:val="3A1A03CC"/>
    <w:rsid w:val="3A1C8AC2"/>
    <w:rsid w:val="3A1D3D15"/>
    <w:rsid w:val="3A1DB753"/>
    <w:rsid w:val="3A1F9195"/>
    <w:rsid w:val="3A20D68E"/>
    <w:rsid w:val="3A295153"/>
    <w:rsid w:val="3A337324"/>
    <w:rsid w:val="3A36BD5C"/>
    <w:rsid w:val="3A375F10"/>
    <w:rsid w:val="3A37A2CA"/>
    <w:rsid w:val="3A3C28E0"/>
    <w:rsid w:val="3A42BFCF"/>
    <w:rsid w:val="3A46227C"/>
    <w:rsid w:val="3A48B45F"/>
    <w:rsid w:val="3A4A0DC2"/>
    <w:rsid w:val="3A4B64BB"/>
    <w:rsid w:val="3A528F6B"/>
    <w:rsid w:val="3A52A26D"/>
    <w:rsid w:val="3A588C0F"/>
    <w:rsid w:val="3A5FA301"/>
    <w:rsid w:val="3A602506"/>
    <w:rsid w:val="3A63414E"/>
    <w:rsid w:val="3A66A245"/>
    <w:rsid w:val="3A679317"/>
    <w:rsid w:val="3A67E9FF"/>
    <w:rsid w:val="3A6B5C06"/>
    <w:rsid w:val="3A6B5F50"/>
    <w:rsid w:val="3A6C6CB9"/>
    <w:rsid w:val="3A80DC03"/>
    <w:rsid w:val="3A81FC05"/>
    <w:rsid w:val="3A83B9D8"/>
    <w:rsid w:val="3A841E47"/>
    <w:rsid w:val="3A8678D1"/>
    <w:rsid w:val="3A8D0012"/>
    <w:rsid w:val="3A8D246D"/>
    <w:rsid w:val="3A8DCB09"/>
    <w:rsid w:val="3A8FF3E5"/>
    <w:rsid w:val="3A901B72"/>
    <w:rsid w:val="3A937B32"/>
    <w:rsid w:val="3A97D202"/>
    <w:rsid w:val="3A9CC7E7"/>
    <w:rsid w:val="3A9E383A"/>
    <w:rsid w:val="3A9FD3C9"/>
    <w:rsid w:val="3A9FFAAB"/>
    <w:rsid w:val="3AA23D7D"/>
    <w:rsid w:val="3AA3CC71"/>
    <w:rsid w:val="3AAFD365"/>
    <w:rsid w:val="3AB2B6D0"/>
    <w:rsid w:val="3AB2C499"/>
    <w:rsid w:val="3AB39614"/>
    <w:rsid w:val="3AB7E223"/>
    <w:rsid w:val="3AB97E24"/>
    <w:rsid w:val="3ABA2ACB"/>
    <w:rsid w:val="3ACA5535"/>
    <w:rsid w:val="3ACABDFA"/>
    <w:rsid w:val="3ACB86D3"/>
    <w:rsid w:val="3ACDEB4A"/>
    <w:rsid w:val="3AD184C6"/>
    <w:rsid w:val="3AD490B2"/>
    <w:rsid w:val="3ADAD23E"/>
    <w:rsid w:val="3ADD1C98"/>
    <w:rsid w:val="3AE24564"/>
    <w:rsid w:val="3AE3CE66"/>
    <w:rsid w:val="3AEA12EB"/>
    <w:rsid w:val="3AEC9E77"/>
    <w:rsid w:val="3AEE4D6D"/>
    <w:rsid w:val="3AEF8A5F"/>
    <w:rsid w:val="3AF50DB6"/>
    <w:rsid w:val="3AFD4863"/>
    <w:rsid w:val="3B025DF9"/>
    <w:rsid w:val="3B0D464E"/>
    <w:rsid w:val="3B0DBA15"/>
    <w:rsid w:val="3B0FDBE0"/>
    <w:rsid w:val="3B15064D"/>
    <w:rsid w:val="3B173001"/>
    <w:rsid w:val="3B240CA7"/>
    <w:rsid w:val="3B2448BE"/>
    <w:rsid w:val="3B26765B"/>
    <w:rsid w:val="3B27CB37"/>
    <w:rsid w:val="3B282C46"/>
    <w:rsid w:val="3B29BDCE"/>
    <w:rsid w:val="3B2B2501"/>
    <w:rsid w:val="3B2DE10C"/>
    <w:rsid w:val="3B3184C0"/>
    <w:rsid w:val="3B36B0C2"/>
    <w:rsid w:val="3B37F4BA"/>
    <w:rsid w:val="3B394D96"/>
    <w:rsid w:val="3B3B18EB"/>
    <w:rsid w:val="3B3D0901"/>
    <w:rsid w:val="3B48CA96"/>
    <w:rsid w:val="3B4E32A6"/>
    <w:rsid w:val="3B501997"/>
    <w:rsid w:val="3B5040ED"/>
    <w:rsid w:val="3B537361"/>
    <w:rsid w:val="3B56E775"/>
    <w:rsid w:val="3B57037B"/>
    <w:rsid w:val="3B579220"/>
    <w:rsid w:val="3B58C2D0"/>
    <w:rsid w:val="3B597FB1"/>
    <w:rsid w:val="3B5D22F6"/>
    <w:rsid w:val="3B5D4F84"/>
    <w:rsid w:val="3B5EDC08"/>
    <w:rsid w:val="3B66129C"/>
    <w:rsid w:val="3B693F4B"/>
    <w:rsid w:val="3B69DF13"/>
    <w:rsid w:val="3B6EC069"/>
    <w:rsid w:val="3B708FFC"/>
    <w:rsid w:val="3B76B367"/>
    <w:rsid w:val="3B78797B"/>
    <w:rsid w:val="3B78AB62"/>
    <w:rsid w:val="3B78D10D"/>
    <w:rsid w:val="3B7B6197"/>
    <w:rsid w:val="3B7CE055"/>
    <w:rsid w:val="3B82F8FC"/>
    <w:rsid w:val="3B8FA9B7"/>
    <w:rsid w:val="3B993495"/>
    <w:rsid w:val="3B9A41A1"/>
    <w:rsid w:val="3BA70B1D"/>
    <w:rsid w:val="3BA822C1"/>
    <w:rsid w:val="3BAFE2C2"/>
    <w:rsid w:val="3BB3EF24"/>
    <w:rsid w:val="3BB55F49"/>
    <w:rsid w:val="3BBCE61A"/>
    <w:rsid w:val="3BBE44C6"/>
    <w:rsid w:val="3BBE4683"/>
    <w:rsid w:val="3BC7DDF0"/>
    <w:rsid w:val="3BC87AD8"/>
    <w:rsid w:val="3BCB08B0"/>
    <w:rsid w:val="3BCCC3B3"/>
    <w:rsid w:val="3BD2B671"/>
    <w:rsid w:val="3BD57EF9"/>
    <w:rsid w:val="3BD6541E"/>
    <w:rsid w:val="3BE13597"/>
    <w:rsid w:val="3BE58056"/>
    <w:rsid w:val="3BE68D66"/>
    <w:rsid w:val="3BEA3942"/>
    <w:rsid w:val="3BECFEBF"/>
    <w:rsid w:val="3BF334A5"/>
    <w:rsid w:val="3BFC2D6B"/>
    <w:rsid w:val="3C055F31"/>
    <w:rsid w:val="3C07E8AA"/>
    <w:rsid w:val="3C08C842"/>
    <w:rsid w:val="3C134C05"/>
    <w:rsid w:val="3C154806"/>
    <w:rsid w:val="3C1557CE"/>
    <w:rsid w:val="3C195536"/>
    <w:rsid w:val="3C1D52A0"/>
    <w:rsid w:val="3C1D794B"/>
    <w:rsid w:val="3C1DACBB"/>
    <w:rsid w:val="3C209F0D"/>
    <w:rsid w:val="3C21C2D4"/>
    <w:rsid w:val="3C246D7B"/>
    <w:rsid w:val="3C2C6B79"/>
    <w:rsid w:val="3C2D00F0"/>
    <w:rsid w:val="3C2F6546"/>
    <w:rsid w:val="3C2FCE6C"/>
    <w:rsid w:val="3C385B9A"/>
    <w:rsid w:val="3C3BCCE9"/>
    <w:rsid w:val="3C3D3F8C"/>
    <w:rsid w:val="3C438650"/>
    <w:rsid w:val="3C4886AE"/>
    <w:rsid w:val="3C4ACEAE"/>
    <w:rsid w:val="3C4BE52A"/>
    <w:rsid w:val="3C5054D8"/>
    <w:rsid w:val="3C51516A"/>
    <w:rsid w:val="3C521395"/>
    <w:rsid w:val="3C5404F6"/>
    <w:rsid w:val="3C54EFAC"/>
    <w:rsid w:val="3C5B371C"/>
    <w:rsid w:val="3C622CCC"/>
    <w:rsid w:val="3C696B5C"/>
    <w:rsid w:val="3C722A57"/>
    <w:rsid w:val="3C73900C"/>
    <w:rsid w:val="3C7BEE46"/>
    <w:rsid w:val="3C8B2206"/>
    <w:rsid w:val="3C9127A7"/>
    <w:rsid w:val="3C937F39"/>
    <w:rsid w:val="3C947737"/>
    <w:rsid w:val="3C98A23D"/>
    <w:rsid w:val="3C997F14"/>
    <w:rsid w:val="3CA19EF5"/>
    <w:rsid w:val="3CA38D4A"/>
    <w:rsid w:val="3CA82B86"/>
    <w:rsid w:val="3CB0310B"/>
    <w:rsid w:val="3CB42B2B"/>
    <w:rsid w:val="3CB53DED"/>
    <w:rsid w:val="3CB992BE"/>
    <w:rsid w:val="3CBC8340"/>
    <w:rsid w:val="3CBC9501"/>
    <w:rsid w:val="3CBF2AB5"/>
    <w:rsid w:val="3CC223BC"/>
    <w:rsid w:val="3CCEE7A8"/>
    <w:rsid w:val="3CD192B6"/>
    <w:rsid w:val="3CD5294A"/>
    <w:rsid w:val="3CD55433"/>
    <w:rsid w:val="3CDAC2C3"/>
    <w:rsid w:val="3CDAE29D"/>
    <w:rsid w:val="3CE0C3A1"/>
    <w:rsid w:val="3CE1B9AB"/>
    <w:rsid w:val="3CE2AFB6"/>
    <w:rsid w:val="3CE7D745"/>
    <w:rsid w:val="3CE93774"/>
    <w:rsid w:val="3CEC06A0"/>
    <w:rsid w:val="3CEFCDE6"/>
    <w:rsid w:val="3CF0BEA6"/>
    <w:rsid w:val="3CF9B9AA"/>
    <w:rsid w:val="3CFC2144"/>
    <w:rsid w:val="3CFC6C89"/>
    <w:rsid w:val="3CFE051B"/>
    <w:rsid w:val="3D0A357B"/>
    <w:rsid w:val="3D0C579A"/>
    <w:rsid w:val="3D0DEFC1"/>
    <w:rsid w:val="3D0E592D"/>
    <w:rsid w:val="3D1E965F"/>
    <w:rsid w:val="3D2D853F"/>
    <w:rsid w:val="3D317F53"/>
    <w:rsid w:val="3D332AF7"/>
    <w:rsid w:val="3D37FEDA"/>
    <w:rsid w:val="3D3F28CA"/>
    <w:rsid w:val="3D4127FD"/>
    <w:rsid w:val="3D49EE90"/>
    <w:rsid w:val="3D573F07"/>
    <w:rsid w:val="3D593E38"/>
    <w:rsid w:val="3D5991DF"/>
    <w:rsid w:val="3D59B2F0"/>
    <w:rsid w:val="3D5AC63F"/>
    <w:rsid w:val="3D5C893E"/>
    <w:rsid w:val="3D6112AE"/>
    <w:rsid w:val="3D616211"/>
    <w:rsid w:val="3D65CE02"/>
    <w:rsid w:val="3D6BF248"/>
    <w:rsid w:val="3D6DE73E"/>
    <w:rsid w:val="3D6EE1C6"/>
    <w:rsid w:val="3D6FEF9C"/>
    <w:rsid w:val="3D733204"/>
    <w:rsid w:val="3D74ADAE"/>
    <w:rsid w:val="3D76204A"/>
    <w:rsid w:val="3D785863"/>
    <w:rsid w:val="3D7BCBE0"/>
    <w:rsid w:val="3D817852"/>
    <w:rsid w:val="3D81F278"/>
    <w:rsid w:val="3D82FB5B"/>
    <w:rsid w:val="3D84CAC8"/>
    <w:rsid w:val="3D861C43"/>
    <w:rsid w:val="3D878400"/>
    <w:rsid w:val="3D8AC0C1"/>
    <w:rsid w:val="3D8E7149"/>
    <w:rsid w:val="3D92CA58"/>
    <w:rsid w:val="3D965B4C"/>
    <w:rsid w:val="3D96C808"/>
    <w:rsid w:val="3D98B3D1"/>
    <w:rsid w:val="3D9C4812"/>
    <w:rsid w:val="3DA84B51"/>
    <w:rsid w:val="3DA875F4"/>
    <w:rsid w:val="3DAA1E1B"/>
    <w:rsid w:val="3DAC045E"/>
    <w:rsid w:val="3DB1DDC1"/>
    <w:rsid w:val="3DB745C1"/>
    <w:rsid w:val="3DB77308"/>
    <w:rsid w:val="3DC2521A"/>
    <w:rsid w:val="3DC33537"/>
    <w:rsid w:val="3DC59809"/>
    <w:rsid w:val="3DC6010B"/>
    <w:rsid w:val="3DCDC84D"/>
    <w:rsid w:val="3DD060AF"/>
    <w:rsid w:val="3DD55E57"/>
    <w:rsid w:val="3DD5A164"/>
    <w:rsid w:val="3DD69088"/>
    <w:rsid w:val="3DDAEFFB"/>
    <w:rsid w:val="3DDCD238"/>
    <w:rsid w:val="3DEA4DC4"/>
    <w:rsid w:val="3DED8BF9"/>
    <w:rsid w:val="3DF065F4"/>
    <w:rsid w:val="3DF6987C"/>
    <w:rsid w:val="3DF8E3B5"/>
    <w:rsid w:val="3DFC1BE9"/>
    <w:rsid w:val="3E0466E5"/>
    <w:rsid w:val="3E056A87"/>
    <w:rsid w:val="3E06BBF0"/>
    <w:rsid w:val="3E0AD44E"/>
    <w:rsid w:val="3E0ADD8B"/>
    <w:rsid w:val="3E0BE4EF"/>
    <w:rsid w:val="3E100B06"/>
    <w:rsid w:val="3E130C34"/>
    <w:rsid w:val="3E1A2380"/>
    <w:rsid w:val="3E1DA7EF"/>
    <w:rsid w:val="3E1DA936"/>
    <w:rsid w:val="3E203164"/>
    <w:rsid w:val="3E24B902"/>
    <w:rsid w:val="3E2B39C9"/>
    <w:rsid w:val="3E31C3A6"/>
    <w:rsid w:val="3E394C91"/>
    <w:rsid w:val="3E3967B1"/>
    <w:rsid w:val="3E3A01C5"/>
    <w:rsid w:val="3E3B3FBA"/>
    <w:rsid w:val="3E3E4F6B"/>
    <w:rsid w:val="3E3EB133"/>
    <w:rsid w:val="3E3F7152"/>
    <w:rsid w:val="3E49B2DB"/>
    <w:rsid w:val="3E4A2F13"/>
    <w:rsid w:val="3E5236BF"/>
    <w:rsid w:val="3E58296C"/>
    <w:rsid w:val="3E58E3D4"/>
    <w:rsid w:val="3E5F5F44"/>
    <w:rsid w:val="3E6463EF"/>
    <w:rsid w:val="3E67A231"/>
    <w:rsid w:val="3E6C0584"/>
    <w:rsid w:val="3E6EED1A"/>
    <w:rsid w:val="3E73242C"/>
    <w:rsid w:val="3E742FE5"/>
    <w:rsid w:val="3E768D71"/>
    <w:rsid w:val="3E77BACD"/>
    <w:rsid w:val="3E7CD0D0"/>
    <w:rsid w:val="3E7DC465"/>
    <w:rsid w:val="3E7F049B"/>
    <w:rsid w:val="3E824628"/>
    <w:rsid w:val="3E82E4B9"/>
    <w:rsid w:val="3E82E77C"/>
    <w:rsid w:val="3E844822"/>
    <w:rsid w:val="3E859DCC"/>
    <w:rsid w:val="3E878826"/>
    <w:rsid w:val="3E882E62"/>
    <w:rsid w:val="3E8910F1"/>
    <w:rsid w:val="3E8AFD74"/>
    <w:rsid w:val="3E8B5AEE"/>
    <w:rsid w:val="3E8B9E47"/>
    <w:rsid w:val="3E8BBF2C"/>
    <w:rsid w:val="3E8F3356"/>
    <w:rsid w:val="3E9301ED"/>
    <w:rsid w:val="3E936F5E"/>
    <w:rsid w:val="3E964FE0"/>
    <w:rsid w:val="3E9B91EE"/>
    <w:rsid w:val="3E9D613C"/>
    <w:rsid w:val="3E9D73AE"/>
    <w:rsid w:val="3EA26712"/>
    <w:rsid w:val="3EAC19D5"/>
    <w:rsid w:val="3EAF3311"/>
    <w:rsid w:val="3EB0BCD6"/>
    <w:rsid w:val="3EB2D389"/>
    <w:rsid w:val="3EB5530F"/>
    <w:rsid w:val="3EBA718A"/>
    <w:rsid w:val="3EBE15E3"/>
    <w:rsid w:val="3EC2D92F"/>
    <w:rsid w:val="3EC4B008"/>
    <w:rsid w:val="3EC52E72"/>
    <w:rsid w:val="3ECA0B4C"/>
    <w:rsid w:val="3ECCE1CE"/>
    <w:rsid w:val="3ED90B1F"/>
    <w:rsid w:val="3ED9BC4A"/>
    <w:rsid w:val="3EDEE6F0"/>
    <w:rsid w:val="3EDFD45F"/>
    <w:rsid w:val="3EEA9F67"/>
    <w:rsid w:val="3EF50F54"/>
    <w:rsid w:val="3EF91520"/>
    <w:rsid w:val="3EFA91EC"/>
    <w:rsid w:val="3F028DE6"/>
    <w:rsid w:val="3F04BF41"/>
    <w:rsid w:val="3F06F8AB"/>
    <w:rsid w:val="3F09626F"/>
    <w:rsid w:val="3F09F58E"/>
    <w:rsid w:val="3F0A7C7E"/>
    <w:rsid w:val="3F0CFE67"/>
    <w:rsid w:val="3F0F1CB0"/>
    <w:rsid w:val="3F1BB4B9"/>
    <w:rsid w:val="3F29DA6C"/>
    <w:rsid w:val="3F2FB2BF"/>
    <w:rsid w:val="3F3A5D83"/>
    <w:rsid w:val="3F3CE221"/>
    <w:rsid w:val="3F3DC1C1"/>
    <w:rsid w:val="3F400A97"/>
    <w:rsid w:val="3F41BA0C"/>
    <w:rsid w:val="3F4296B6"/>
    <w:rsid w:val="3F4592AA"/>
    <w:rsid w:val="3F46D0F4"/>
    <w:rsid w:val="3F47DD01"/>
    <w:rsid w:val="3F4A5CFE"/>
    <w:rsid w:val="3F4D4AF7"/>
    <w:rsid w:val="3F4F5235"/>
    <w:rsid w:val="3F500F3B"/>
    <w:rsid w:val="3F533F0A"/>
    <w:rsid w:val="3F562BF3"/>
    <w:rsid w:val="3F56A47C"/>
    <w:rsid w:val="3F5B5579"/>
    <w:rsid w:val="3F5F40A6"/>
    <w:rsid w:val="3F64AE0F"/>
    <w:rsid w:val="3F665A28"/>
    <w:rsid w:val="3F69DBE0"/>
    <w:rsid w:val="3F69FB26"/>
    <w:rsid w:val="3F6C4477"/>
    <w:rsid w:val="3F7036D4"/>
    <w:rsid w:val="3F71F549"/>
    <w:rsid w:val="3F72C05D"/>
    <w:rsid w:val="3F74B352"/>
    <w:rsid w:val="3F776F67"/>
    <w:rsid w:val="3F7BE6DD"/>
    <w:rsid w:val="3F7D4845"/>
    <w:rsid w:val="3F81B6BB"/>
    <w:rsid w:val="3F871CA2"/>
    <w:rsid w:val="3F8B767B"/>
    <w:rsid w:val="3F8C0DF8"/>
    <w:rsid w:val="3F8DF93D"/>
    <w:rsid w:val="3F904576"/>
    <w:rsid w:val="3F918A8E"/>
    <w:rsid w:val="3F92EBA8"/>
    <w:rsid w:val="3F93380D"/>
    <w:rsid w:val="3F9B1076"/>
    <w:rsid w:val="3F9F653E"/>
    <w:rsid w:val="3FA2E2D3"/>
    <w:rsid w:val="3FAAEEE5"/>
    <w:rsid w:val="3FAF02FC"/>
    <w:rsid w:val="3FB8BD3A"/>
    <w:rsid w:val="3FC073E3"/>
    <w:rsid w:val="3FC20DF2"/>
    <w:rsid w:val="3FC80CC9"/>
    <w:rsid w:val="3FC831DA"/>
    <w:rsid w:val="3FCDAF67"/>
    <w:rsid w:val="3FCEC28F"/>
    <w:rsid w:val="3FD28D58"/>
    <w:rsid w:val="3FDBD356"/>
    <w:rsid w:val="3FDE00A6"/>
    <w:rsid w:val="3FE222C4"/>
    <w:rsid w:val="3FE3330B"/>
    <w:rsid w:val="3FE5FB9A"/>
    <w:rsid w:val="3FE67075"/>
    <w:rsid w:val="3FE6E607"/>
    <w:rsid w:val="3FEB8492"/>
    <w:rsid w:val="3FEF2752"/>
    <w:rsid w:val="3FEF3BBC"/>
    <w:rsid w:val="3FF5526D"/>
    <w:rsid w:val="3FFBB230"/>
    <w:rsid w:val="4001926F"/>
    <w:rsid w:val="400316F9"/>
    <w:rsid w:val="40049E30"/>
    <w:rsid w:val="400625D2"/>
    <w:rsid w:val="400F9A23"/>
    <w:rsid w:val="4017A5EC"/>
    <w:rsid w:val="40181FFB"/>
    <w:rsid w:val="401CD0F9"/>
    <w:rsid w:val="402593F4"/>
    <w:rsid w:val="4026A0EF"/>
    <w:rsid w:val="4028A054"/>
    <w:rsid w:val="402AFF7C"/>
    <w:rsid w:val="403B9D5C"/>
    <w:rsid w:val="4042FEB0"/>
    <w:rsid w:val="4045C634"/>
    <w:rsid w:val="404659D8"/>
    <w:rsid w:val="404FAF18"/>
    <w:rsid w:val="4050EB21"/>
    <w:rsid w:val="4058D117"/>
    <w:rsid w:val="4059C3EA"/>
    <w:rsid w:val="405E39E0"/>
    <w:rsid w:val="4063AFE6"/>
    <w:rsid w:val="406752E6"/>
    <w:rsid w:val="406A3A8D"/>
    <w:rsid w:val="406B076D"/>
    <w:rsid w:val="406B892C"/>
    <w:rsid w:val="406CF44F"/>
    <w:rsid w:val="40747DFA"/>
    <w:rsid w:val="407A01E5"/>
    <w:rsid w:val="407BDB3B"/>
    <w:rsid w:val="407CB95D"/>
    <w:rsid w:val="407F4574"/>
    <w:rsid w:val="407FBC97"/>
    <w:rsid w:val="4086CD7B"/>
    <w:rsid w:val="408AEEF0"/>
    <w:rsid w:val="408FD7E4"/>
    <w:rsid w:val="40946A38"/>
    <w:rsid w:val="409AD72F"/>
    <w:rsid w:val="409EF434"/>
    <w:rsid w:val="40A14F71"/>
    <w:rsid w:val="40A1E173"/>
    <w:rsid w:val="40A4874C"/>
    <w:rsid w:val="40A96620"/>
    <w:rsid w:val="40AA6307"/>
    <w:rsid w:val="40AC562B"/>
    <w:rsid w:val="40AC7382"/>
    <w:rsid w:val="40AC75C7"/>
    <w:rsid w:val="40B26E49"/>
    <w:rsid w:val="40B385A2"/>
    <w:rsid w:val="40B98BAC"/>
    <w:rsid w:val="40BCBFD5"/>
    <w:rsid w:val="40BE2946"/>
    <w:rsid w:val="40C2E654"/>
    <w:rsid w:val="40C38451"/>
    <w:rsid w:val="40C74269"/>
    <w:rsid w:val="40C9D433"/>
    <w:rsid w:val="40CE3CF3"/>
    <w:rsid w:val="40CE8C0C"/>
    <w:rsid w:val="40CF5B91"/>
    <w:rsid w:val="40D09810"/>
    <w:rsid w:val="40D19345"/>
    <w:rsid w:val="40D3C225"/>
    <w:rsid w:val="40D76897"/>
    <w:rsid w:val="40D93F94"/>
    <w:rsid w:val="40DD9FCB"/>
    <w:rsid w:val="40E1220F"/>
    <w:rsid w:val="40E4B4AA"/>
    <w:rsid w:val="40E82EAF"/>
    <w:rsid w:val="40EC02FA"/>
    <w:rsid w:val="40ED624E"/>
    <w:rsid w:val="40F313EF"/>
    <w:rsid w:val="40F46AFB"/>
    <w:rsid w:val="40F88DF6"/>
    <w:rsid w:val="40FE2946"/>
    <w:rsid w:val="4100E17D"/>
    <w:rsid w:val="4106758E"/>
    <w:rsid w:val="41091074"/>
    <w:rsid w:val="410AB6B0"/>
    <w:rsid w:val="410CF225"/>
    <w:rsid w:val="410EE7EC"/>
    <w:rsid w:val="41136014"/>
    <w:rsid w:val="4115B3E1"/>
    <w:rsid w:val="411FBC6D"/>
    <w:rsid w:val="412118E9"/>
    <w:rsid w:val="41212336"/>
    <w:rsid w:val="4135C4E7"/>
    <w:rsid w:val="41360AC0"/>
    <w:rsid w:val="4138423E"/>
    <w:rsid w:val="41384D01"/>
    <w:rsid w:val="413DCDC6"/>
    <w:rsid w:val="41413184"/>
    <w:rsid w:val="41415FBF"/>
    <w:rsid w:val="4141FE33"/>
    <w:rsid w:val="41430DB4"/>
    <w:rsid w:val="4143815D"/>
    <w:rsid w:val="4147345C"/>
    <w:rsid w:val="414A0333"/>
    <w:rsid w:val="414B218C"/>
    <w:rsid w:val="414C0185"/>
    <w:rsid w:val="414F7ECB"/>
    <w:rsid w:val="415352E2"/>
    <w:rsid w:val="41536005"/>
    <w:rsid w:val="4153E694"/>
    <w:rsid w:val="4156F452"/>
    <w:rsid w:val="41583304"/>
    <w:rsid w:val="4158C9BC"/>
    <w:rsid w:val="4159C667"/>
    <w:rsid w:val="415C337F"/>
    <w:rsid w:val="415C496D"/>
    <w:rsid w:val="415E5C00"/>
    <w:rsid w:val="41608307"/>
    <w:rsid w:val="4165DECB"/>
    <w:rsid w:val="4167F5BD"/>
    <w:rsid w:val="416DA55A"/>
    <w:rsid w:val="416DEEAD"/>
    <w:rsid w:val="416FD010"/>
    <w:rsid w:val="4170A1DA"/>
    <w:rsid w:val="41727364"/>
    <w:rsid w:val="4172ABB6"/>
    <w:rsid w:val="41736937"/>
    <w:rsid w:val="4178B7F5"/>
    <w:rsid w:val="417A50C7"/>
    <w:rsid w:val="417C9431"/>
    <w:rsid w:val="418120E8"/>
    <w:rsid w:val="4181B79D"/>
    <w:rsid w:val="4183C75A"/>
    <w:rsid w:val="4189E142"/>
    <w:rsid w:val="418AA072"/>
    <w:rsid w:val="418C5B7A"/>
    <w:rsid w:val="418F23E6"/>
    <w:rsid w:val="418F302D"/>
    <w:rsid w:val="4190B833"/>
    <w:rsid w:val="41953AF7"/>
    <w:rsid w:val="4199CB01"/>
    <w:rsid w:val="419D0C03"/>
    <w:rsid w:val="419DF08E"/>
    <w:rsid w:val="419F8DE8"/>
    <w:rsid w:val="41AC1587"/>
    <w:rsid w:val="41B717AB"/>
    <w:rsid w:val="41B7B90D"/>
    <w:rsid w:val="41B987BE"/>
    <w:rsid w:val="41BC2934"/>
    <w:rsid w:val="41BCCE4F"/>
    <w:rsid w:val="41BD6948"/>
    <w:rsid w:val="41BF6A44"/>
    <w:rsid w:val="41BFEEE4"/>
    <w:rsid w:val="41C119B2"/>
    <w:rsid w:val="41C34AD0"/>
    <w:rsid w:val="41C9F366"/>
    <w:rsid w:val="41CE2849"/>
    <w:rsid w:val="41CE7A1B"/>
    <w:rsid w:val="41D3557F"/>
    <w:rsid w:val="41D3A881"/>
    <w:rsid w:val="41D927F7"/>
    <w:rsid w:val="41DB1713"/>
    <w:rsid w:val="41DB6014"/>
    <w:rsid w:val="41DC914D"/>
    <w:rsid w:val="41DD12CE"/>
    <w:rsid w:val="41E3386D"/>
    <w:rsid w:val="41E5CA0C"/>
    <w:rsid w:val="41E90592"/>
    <w:rsid w:val="41E9F107"/>
    <w:rsid w:val="41EB6C9C"/>
    <w:rsid w:val="41EDA4DE"/>
    <w:rsid w:val="41F4AA50"/>
    <w:rsid w:val="41FCC37B"/>
    <w:rsid w:val="42003DD9"/>
    <w:rsid w:val="42007671"/>
    <w:rsid w:val="4202BE82"/>
    <w:rsid w:val="4204BC67"/>
    <w:rsid w:val="42096FC6"/>
    <w:rsid w:val="420B6602"/>
    <w:rsid w:val="42106874"/>
    <w:rsid w:val="421188AD"/>
    <w:rsid w:val="4211FA43"/>
    <w:rsid w:val="4214E480"/>
    <w:rsid w:val="4215CC0B"/>
    <w:rsid w:val="421D6A40"/>
    <w:rsid w:val="421FB0A2"/>
    <w:rsid w:val="4223CACF"/>
    <w:rsid w:val="4224CE75"/>
    <w:rsid w:val="4225D348"/>
    <w:rsid w:val="4227C919"/>
    <w:rsid w:val="423791B3"/>
    <w:rsid w:val="42436088"/>
    <w:rsid w:val="4244F446"/>
    <w:rsid w:val="424B5D74"/>
    <w:rsid w:val="424B9AB1"/>
    <w:rsid w:val="424CC329"/>
    <w:rsid w:val="4256DAA7"/>
    <w:rsid w:val="42578079"/>
    <w:rsid w:val="425908C0"/>
    <w:rsid w:val="425C3AF4"/>
    <w:rsid w:val="425DC786"/>
    <w:rsid w:val="425E224D"/>
    <w:rsid w:val="425F3699"/>
    <w:rsid w:val="42605E5F"/>
    <w:rsid w:val="4266B5F1"/>
    <w:rsid w:val="4267321E"/>
    <w:rsid w:val="42692B80"/>
    <w:rsid w:val="426A085B"/>
    <w:rsid w:val="426CCDAB"/>
    <w:rsid w:val="42766D71"/>
    <w:rsid w:val="42780FC3"/>
    <w:rsid w:val="427834C4"/>
    <w:rsid w:val="4278AD9C"/>
    <w:rsid w:val="4279C79B"/>
    <w:rsid w:val="427B797A"/>
    <w:rsid w:val="427C2F66"/>
    <w:rsid w:val="427FCBF8"/>
    <w:rsid w:val="428F0393"/>
    <w:rsid w:val="4292F9AD"/>
    <w:rsid w:val="429539F1"/>
    <w:rsid w:val="42991FA0"/>
    <w:rsid w:val="429A349A"/>
    <w:rsid w:val="429ED97A"/>
    <w:rsid w:val="429F9C66"/>
    <w:rsid w:val="42A6BEC1"/>
    <w:rsid w:val="42A99F56"/>
    <w:rsid w:val="42AA77FF"/>
    <w:rsid w:val="42B09ABC"/>
    <w:rsid w:val="42BA0A37"/>
    <w:rsid w:val="42BDD46C"/>
    <w:rsid w:val="42C3DCAB"/>
    <w:rsid w:val="42CACC0F"/>
    <w:rsid w:val="42CDB955"/>
    <w:rsid w:val="42DA2EF5"/>
    <w:rsid w:val="42DC9CF0"/>
    <w:rsid w:val="42E011DB"/>
    <w:rsid w:val="42E10D26"/>
    <w:rsid w:val="42E1F20B"/>
    <w:rsid w:val="42ECB152"/>
    <w:rsid w:val="42EE509C"/>
    <w:rsid w:val="42EE5D22"/>
    <w:rsid w:val="42F1ADDD"/>
    <w:rsid w:val="42F925BB"/>
    <w:rsid w:val="42FB0FAB"/>
    <w:rsid w:val="42FB890B"/>
    <w:rsid w:val="42FBF1E4"/>
    <w:rsid w:val="4305B70B"/>
    <w:rsid w:val="4305F2F5"/>
    <w:rsid w:val="430A4D49"/>
    <w:rsid w:val="430A716A"/>
    <w:rsid w:val="430B5D1E"/>
    <w:rsid w:val="4314D03D"/>
    <w:rsid w:val="43179F8F"/>
    <w:rsid w:val="43181BEE"/>
    <w:rsid w:val="431CC529"/>
    <w:rsid w:val="431E0D85"/>
    <w:rsid w:val="431EC5C5"/>
    <w:rsid w:val="431FC1F1"/>
    <w:rsid w:val="432002F9"/>
    <w:rsid w:val="4324750C"/>
    <w:rsid w:val="432704A2"/>
    <w:rsid w:val="4327391B"/>
    <w:rsid w:val="432D6931"/>
    <w:rsid w:val="433BE123"/>
    <w:rsid w:val="4346359E"/>
    <w:rsid w:val="434B41B1"/>
    <w:rsid w:val="434B5EB4"/>
    <w:rsid w:val="434D7EFD"/>
    <w:rsid w:val="434DD9E9"/>
    <w:rsid w:val="4351E79B"/>
    <w:rsid w:val="435204AE"/>
    <w:rsid w:val="43537E50"/>
    <w:rsid w:val="4354AEF0"/>
    <w:rsid w:val="4354E6BE"/>
    <w:rsid w:val="435665A5"/>
    <w:rsid w:val="4356FFF2"/>
    <w:rsid w:val="4357F685"/>
    <w:rsid w:val="435C011C"/>
    <w:rsid w:val="435C78AD"/>
    <w:rsid w:val="43619EF1"/>
    <w:rsid w:val="4364388C"/>
    <w:rsid w:val="4367ED14"/>
    <w:rsid w:val="436D1807"/>
    <w:rsid w:val="437E3067"/>
    <w:rsid w:val="438427E4"/>
    <w:rsid w:val="43845458"/>
    <w:rsid w:val="439FA87E"/>
    <w:rsid w:val="43A06920"/>
    <w:rsid w:val="43A071D6"/>
    <w:rsid w:val="43A24D8D"/>
    <w:rsid w:val="43A49672"/>
    <w:rsid w:val="43A91105"/>
    <w:rsid w:val="43ACADEF"/>
    <w:rsid w:val="43B21AE4"/>
    <w:rsid w:val="43B493C8"/>
    <w:rsid w:val="43B569F2"/>
    <w:rsid w:val="43C66D91"/>
    <w:rsid w:val="43C7B6C6"/>
    <w:rsid w:val="43CB1819"/>
    <w:rsid w:val="43D08FCC"/>
    <w:rsid w:val="43D41138"/>
    <w:rsid w:val="43D446E2"/>
    <w:rsid w:val="43D9FCBE"/>
    <w:rsid w:val="43DA22A1"/>
    <w:rsid w:val="43DCB0E0"/>
    <w:rsid w:val="43DE2956"/>
    <w:rsid w:val="43DF6090"/>
    <w:rsid w:val="43E0B56D"/>
    <w:rsid w:val="43E31745"/>
    <w:rsid w:val="43E41DB4"/>
    <w:rsid w:val="43E4278E"/>
    <w:rsid w:val="43E80C1F"/>
    <w:rsid w:val="43EA2B9B"/>
    <w:rsid w:val="43EBFA24"/>
    <w:rsid w:val="43EC9B86"/>
    <w:rsid w:val="43F0A6D5"/>
    <w:rsid w:val="43F302C4"/>
    <w:rsid w:val="43F4AD37"/>
    <w:rsid w:val="43F89BF8"/>
    <w:rsid w:val="43F9F906"/>
    <w:rsid w:val="43FBF301"/>
    <w:rsid w:val="44021FB3"/>
    <w:rsid w:val="4404F1D8"/>
    <w:rsid w:val="4407B858"/>
    <w:rsid w:val="440BD1E7"/>
    <w:rsid w:val="440D8811"/>
    <w:rsid w:val="44110DA1"/>
    <w:rsid w:val="4412E9C7"/>
    <w:rsid w:val="441DC317"/>
    <w:rsid w:val="4420A377"/>
    <w:rsid w:val="4424C71A"/>
    <w:rsid w:val="442615B5"/>
    <w:rsid w:val="44263982"/>
    <w:rsid w:val="4426CD51"/>
    <w:rsid w:val="4427E3C6"/>
    <w:rsid w:val="4429D1C9"/>
    <w:rsid w:val="442E5C66"/>
    <w:rsid w:val="442F540E"/>
    <w:rsid w:val="443635C1"/>
    <w:rsid w:val="4437E228"/>
    <w:rsid w:val="4439CCE1"/>
    <w:rsid w:val="443A91D3"/>
    <w:rsid w:val="4440FB7E"/>
    <w:rsid w:val="44420796"/>
    <w:rsid w:val="4443F8E4"/>
    <w:rsid w:val="444E75BE"/>
    <w:rsid w:val="4450F6BF"/>
    <w:rsid w:val="44551814"/>
    <w:rsid w:val="4458DDA0"/>
    <w:rsid w:val="4460BC5E"/>
    <w:rsid w:val="446357A1"/>
    <w:rsid w:val="4467D972"/>
    <w:rsid w:val="44682218"/>
    <w:rsid w:val="446F3F5B"/>
    <w:rsid w:val="44701B50"/>
    <w:rsid w:val="4472F1F6"/>
    <w:rsid w:val="44731A71"/>
    <w:rsid w:val="447499CD"/>
    <w:rsid w:val="44778F52"/>
    <w:rsid w:val="447A5282"/>
    <w:rsid w:val="447BF674"/>
    <w:rsid w:val="447EFC96"/>
    <w:rsid w:val="44839B6D"/>
    <w:rsid w:val="4483A482"/>
    <w:rsid w:val="4483BEE6"/>
    <w:rsid w:val="44861B98"/>
    <w:rsid w:val="4486C5B1"/>
    <w:rsid w:val="448F366C"/>
    <w:rsid w:val="449534B3"/>
    <w:rsid w:val="449593A5"/>
    <w:rsid w:val="4496A7F4"/>
    <w:rsid w:val="4497DB5C"/>
    <w:rsid w:val="449F51DC"/>
    <w:rsid w:val="44A070F7"/>
    <w:rsid w:val="44A2E93C"/>
    <w:rsid w:val="44A5933A"/>
    <w:rsid w:val="44A7E282"/>
    <w:rsid w:val="44ACFB15"/>
    <w:rsid w:val="44AE5771"/>
    <w:rsid w:val="44AEB8C0"/>
    <w:rsid w:val="44B266DE"/>
    <w:rsid w:val="44B3D348"/>
    <w:rsid w:val="44B62449"/>
    <w:rsid w:val="44BC9865"/>
    <w:rsid w:val="44BFC3E4"/>
    <w:rsid w:val="44BFCD56"/>
    <w:rsid w:val="44C22280"/>
    <w:rsid w:val="44C9FC44"/>
    <w:rsid w:val="44CA3801"/>
    <w:rsid w:val="44CB1F4C"/>
    <w:rsid w:val="44D26946"/>
    <w:rsid w:val="44DA3468"/>
    <w:rsid w:val="44DD9E68"/>
    <w:rsid w:val="44DE3DA7"/>
    <w:rsid w:val="44E45B1E"/>
    <w:rsid w:val="44E65392"/>
    <w:rsid w:val="44E9C929"/>
    <w:rsid w:val="44EF9AEF"/>
    <w:rsid w:val="44F271F2"/>
    <w:rsid w:val="44F368D3"/>
    <w:rsid w:val="44FA0BC9"/>
    <w:rsid w:val="44FA957C"/>
    <w:rsid w:val="44FBE16E"/>
    <w:rsid w:val="44FC8111"/>
    <w:rsid w:val="44FD0D87"/>
    <w:rsid w:val="44FE3075"/>
    <w:rsid w:val="450399D9"/>
    <w:rsid w:val="4505FAE9"/>
    <w:rsid w:val="450D4E4E"/>
    <w:rsid w:val="4511D4F0"/>
    <w:rsid w:val="45184658"/>
    <w:rsid w:val="451D2DA3"/>
    <w:rsid w:val="452F9740"/>
    <w:rsid w:val="453C0594"/>
    <w:rsid w:val="45406572"/>
    <w:rsid w:val="45411E64"/>
    <w:rsid w:val="4546B9C1"/>
    <w:rsid w:val="454A40FC"/>
    <w:rsid w:val="454B7753"/>
    <w:rsid w:val="454D8357"/>
    <w:rsid w:val="45565977"/>
    <w:rsid w:val="4556D770"/>
    <w:rsid w:val="455DCD60"/>
    <w:rsid w:val="455FBCF0"/>
    <w:rsid w:val="4560B13E"/>
    <w:rsid w:val="456B5B2A"/>
    <w:rsid w:val="456D3BD1"/>
    <w:rsid w:val="456FE42D"/>
    <w:rsid w:val="457034FD"/>
    <w:rsid w:val="45747C5D"/>
    <w:rsid w:val="45779DA8"/>
    <w:rsid w:val="4579EA9D"/>
    <w:rsid w:val="457D610A"/>
    <w:rsid w:val="457EEAF6"/>
    <w:rsid w:val="4580E445"/>
    <w:rsid w:val="4581BAD8"/>
    <w:rsid w:val="4583C225"/>
    <w:rsid w:val="458C8CC0"/>
    <w:rsid w:val="4595E69C"/>
    <w:rsid w:val="4599A24D"/>
    <w:rsid w:val="459D5FEC"/>
    <w:rsid w:val="459DE0B8"/>
    <w:rsid w:val="45A0511A"/>
    <w:rsid w:val="45AAD949"/>
    <w:rsid w:val="45AC9B39"/>
    <w:rsid w:val="45B6BBBE"/>
    <w:rsid w:val="45B82C51"/>
    <w:rsid w:val="45BCBAA6"/>
    <w:rsid w:val="45C33178"/>
    <w:rsid w:val="45C50CFD"/>
    <w:rsid w:val="45C6FA2C"/>
    <w:rsid w:val="45CB14D5"/>
    <w:rsid w:val="45CE63B4"/>
    <w:rsid w:val="45CED16C"/>
    <w:rsid w:val="45D1F364"/>
    <w:rsid w:val="45D26DD2"/>
    <w:rsid w:val="45D3B5F1"/>
    <w:rsid w:val="45D42155"/>
    <w:rsid w:val="45D58042"/>
    <w:rsid w:val="45D6AE97"/>
    <w:rsid w:val="45D6C501"/>
    <w:rsid w:val="45D8CB23"/>
    <w:rsid w:val="45DA00B2"/>
    <w:rsid w:val="45E4D22F"/>
    <w:rsid w:val="45E9EC46"/>
    <w:rsid w:val="45EA855A"/>
    <w:rsid w:val="45EBD2CE"/>
    <w:rsid w:val="45EF0B8D"/>
    <w:rsid w:val="45F080AA"/>
    <w:rsid w:val="45FB705D"/>
    <w:rsid w:val="46075780"/>
    <w:rsid w:val="460763A4"/>
    <w:rsid w:val="460C35B4"/>
    <w:rsid w:val="46126E13"/>
    <w:rsid w:val="461387A5"/>
    <w:rsid w:val="46181D1D"/>
    <w:rsid w:val="4622824F"/>
    <w:rsid w:val="4622C82A"/>
    <w:rsid w:val="46242D3C"/>
    <w:rsid w:val="4624A9AA"/>
    <w:rsid w:val="46257690"/>
    <w:rsid w:val="46265AF8"/>
    <w:rsid w:val="462A14AD"/>
    <w:rsid w:val="462A8588"/>
    <w:rsid w:val="462A94BA"/>
    <w:rsid w:val="462C32BB"/>
    <w:rsid w:val="4632EBA0"/>
    <w:rsid w:val="4634BDAA"/>
    <w:rsid w:val="4634D64E"/>
    <w:rsid w:val="463958E9"/>
    <w:rsid w:val="463A73E4"/>
    <w:rsid w:val="463A8AF7"/>
    <w:rsid w:val="463CA410"/>
    <w:rsid w:val="463CD061"/>
    <w:rsid w:val="463D30CE"/>
    <w:rsid w:val="464194A5"/>
    <w:rsid w:val="4642E764"/>
    <w:rsid w:val="46443AD3"/>
    <w:rsid w:val="4644C689"/>
    <w:rsid w:val="46458662"/>
    <w:rsid w:val="46491790"/>
    <w:rsid w:val="4649672B"/>
    <w:rsid w:val="464A62AB"/>
    <w:rsid w:val="4658BB4F"/>
    <w:rsid w:val="4658F5AF"/>
    <w:rsid w:val="4660D1D8"/>
    <w:rsid w:val="466260EE"/>
    <w:rsid w:val="46666C3D"/>
    <w:rsid w:val="4667427C"/>
    <w:rsid w:val="466E6018"/>
    <w:rsid w:val="4673C8B9"/>
    <w:rsid w:val="4679ED43"/>
    <w:rsid w:val="467AEE78"/>
    <w:rsid w:val="467E5F4D"/>
    <w:rsid w:val="467ED07B"/>
    <w:rsid w:val="467F2A48"/>
    <w:rsid w:val="467FBC0A"/>
    <w:rsid w:val="4685DBAE"/>
    <w:rsid w:val="468A5F91"/>
    <w:rsid w:val="468A7087"/>
    <w:rsid w:val="468D1A1B"/>
    <w:rsid w:val="468FFDC8"/>
    <w:rsid w:val="4690DF08"/>
    <w:rsid w:val="46912C28"/>
    <w:rsid w:val="469B022C"/>
    <w:rsid w:val="469BCD92"/>
    <w:rsid w:val="469CD250"/>
    <w:rsid w:val="469D492C"/>
    <w:rsid w:val="469E73BF"/>
    <w:rsid w:val="46A3B773"/>
    <w:rsid w:val="46A92F66"/>
    <w:rsid w:val="46ABA7F7"/>
    <w:rsid w:val="46AC9126"/>
    <w:rsid w:val="46B0DFDC"/>
    <w:rsid w:val="46B4A06F"/>
    <w:rsid w:val="46B4FF0F"/>
    <w:rsid w:val="46B933B9"/>
    <w:rsid w:val="46BA6191"/>
    <w:rsid w:val="46BB54B6"/>
    <w:rsid w:val="46BC2FA1"/>
    <w:rsid w:val="46BCCB6E"/>
    <w:rsid w:val="46BDE0DF"/>
    <w:rsid w:val="46BE37B0"/>
    <w:rsid w:val="46C2ABC2"/>
    <w:rsid w:val="46C49AA1"/>
    <w:rsid w:val="46D4728C"/>
    <w:rsid w:val="46DA12B3"/>
    <w:rsid w:val="46DA5C80"/>
    <w:rsid w:val="46DBBAB7"/>
    <w:rsid w:val="46E2080C"/>
    <w:rsid w:val="46E23FEF"/>
    <w:rsid w:val="46E65C61"/>
    <w:rsid w:val="46E87F9D"/>
    <w:rsid w:val="46E9124E"/>
    <w:rsid w:val="46F06C6E"/>
    <w:rsid w:val="46F0C604"/>
    <w:rsid w:val="4703EE11"/>
    <w:rsid w:val="470BDB5A"/>
    <w:rsid w:val="470E089E"/>
    <w:rsid w:val="470F5FEE"/>
    <w:rsid w:val="47160C93"/>
    <w:rsid w:val="471B612D"/>
    <w:rsid w:val="471E33C7"/>
    <w:rsid w:val="471F1AB2"/>
    <w:rsid w:val="4722D975"/>
    <w:rsid w:val="4723C3B7"/>
    <w:rsid w:val="4729DBC9"/>
    <w:rsid w:val="472B0C58"/>
    <w:rsid w:val="472B3CAC"/>
    <w:rsid w:val="472CB975"/>
    <w:rsid w:val="473901AC"/>
    <w:rsid w:val="473C9137"/>
    <w:rsid w:val="473FFF9E"/>
    <w:rsid w:val="4750C886"/>
    <w:rsid w:val="4750FC47"/>
    <w:rsid w:val="4753A298"/>
    <w:rsid w:val="4760367D"/>
    <w:rsid w:val="47677EAE"/>
    <w:rsid w:val="4767C07F"/>
    <w:rsid w:val="47693A4F"/>
    <w:rsid w:val="476DF3C3"/>
    <w:rsid w:val="476F9763"/>
    <w:rsid w:val="4770BBBA"/>
    <w:rsid w:val="47718063"/>
    <w:rsid w:val="47776F1B"/>
    <w:rsid w:val="47787257"/>
    <w:rsid w:val="477C4539"/>
    <w:rsid w:val="477CC09D"/>
    <w:rsid w:val="477DF2B6"/>
    <w:rsid w:val="477E45F7"/>
    <w:rsid w:val="4783A180"/>
    <w:rsid w:val="479B7CB5"/>
    <w:rsid w:val="479E8609"/>
    <w:rsid w:val="479E9E3B"/>
    <w:rsid w:val="47A09B96"/>
    <w:rsid w:val="47A42484"/>
    <w:rsid w:val="47AD8E2F"/>
    <w:rsid w:val="47AF9125"/>
    <w:rsid w:val="47B0A59E"/>
    <w:rsid w:val="47B2E000"/>
    <w:rsid w:val="47B50A9D"/>
    <w:rsid w:val="47B53538"/>
    <w:rsid w:val="47B7CD24"/>
    <w:rsid w:val="47BA9DB3"/>
    <w:rsid w:val="47BE52B7"/>
    <w:rsid w:val="47C0A94B"/>
    <w:rsid w:val="47C180B9"/>
    <w:rsid w:val="47C3DEC9"/>
    <w:rsid w:val="47C7E3C5"/>
    <w:rsid w:val="47C899A9"/>
    <w:rsid w:val="47D38FBB"/>
    <w:rsid w:val="47D3A0E0"/>
    <w:rsid w:val="47DB7BAD"/>
    <w:rsid w:val="47DBADFE"/>
    <w:rsid w:val="47DE1814"/>
    <w:rsid w:val="47E18788"/>
    <w:rsid w:val="47E302C5"/>
    <w:rsid w:val="47E64E4A"/>
    <w:rsid w:val="47E8BC34"/>
    <w:rsid w:val="47E90E98"/>
    <w:rsid w:val="47ED7645"/>
    <w:rsid w:val="47EDF9A9"/>
    <w:rsid w:val="47EED035"/>
    <w:rsid w:val="47F1D4D2"/>
    <w:rsid w:val="47F2A4DB"/>
    <w:rsid w:val="47F3A4EF"/>
    <w:rsid w:val="47F4BCE7"/>
    <w:rsid w:val="47F58E88"/>
    <w:rsid w:val="47F5E26F"/>
    <w:rsid w:val="47F643FB"/>
    <w:rsid w:val="47F6A614"/>
    <w:rsid w:val="47FA80BC"/>
    <w:rsid w:val="47FC6CC7"/>
    <w:rsid w:val="47FD3490"/>
    <w:rsid w:val="48048039"/>
    <w:rsid w:val="48083206"/>
    <w:rsid w:val="4808C201"/>
    <w:rsid w:val="48116365"/>
    <w:rsid w:val="481DA368"/>
    <w:rsid w:val="48230B13"/>
    <w:rsid w:val="4826D76C"/>
    <w:rsid w:val="48286FD1"/>
    <w:rsid w:val="482BA533"/>
    <w:rsid w:val="482D0F70"/>
    <w:rsid w:val="482E3332"/>
    <w:rsid w:val="482F2622"/>
    <w:rsid w:val="4837456B"/>
    <w:rsid w:val="4838A5DA"/>
    <w:rsid w:val="483E8CB4"/>
    <w:rsid w:val="483F3DA8"/>
    <w:rsid w:val="484276E3"/>
    <w:rsid w:val="48436250"/>
    <w:rsid w:val="484C8AFA"/>
    <w:rsid w:val="485455A7"/>
    <w:rsid w:val="48551983"/>
    <w:rsid w:val="4859F326"/>
    <w:rsid w:val="485F9CDB"/>
    <w:rsid w:val="4867AAAC"/>
    <w:rsid w:val="486EEDA1"/>
    <w:rsid w:val="48742A8C"/>
    <w:rsid w:val="48787605"/>
    <w:rsid w:val="487A0E36"/>
    <w:rsid w:val="487F9D1C"/>
    <w:rsid w:val="487FB98C"/>
    <w:rsid w:val="48846EAD"/>
    <w:rsid w:val="4888998F"/>
    <w:rsid w:val="488BC5E3"/>
    <w:rsid w:val="488D719D"/>
    <w:rsid w:val="488E3940"/>
    <w:rsid w:val="4895368C"/>
    <w:rsid w:val="48995297"/>
    <w:rsid w:val="489A4739"/>
    <w:rsid w:val="489D6415"/>
    <w:rsid w:val="489DCD49"/>
    <w:rsid w:val="48A27E2C"/>
    <w:rsid w:val="48A464C4"/>
    <w:rsid w:val="48ACD9E7"/>
    <w:rsid w:val="48B3BE5F"/>
    <w:rsid w:val="48B60ADB"/>
    <w:rsid w:val="48B6E5C9"/>
    <w:rsid w:val="48BE5654"/>
    <w:rsid w:val="48C133AB"/>
    <w:rsid w:val="48C24C60"/>
    <w:rsid w:val="48C8DEA0"/>
    <w:rsid w:val="48CD3B09"/>
    <w:rsid w:val="48CE3AD8"/>
    <w:rsid w:val="48D1B8BE"/>
    <w:rsid w:val="48EC8958"/>
    <w:rsid w:val="48F60C0D"/>
    <w:rsid w:val="48F6DA57"/>
    <w:rsid w:val="48FAE9B4"/>
    <w:rsid w:val="490789CB"/>
    <w:rsid w:val="49099C5D"/>
    <w:rsid w:val="490A0698"/>
    <w:rsid w:val="49103022"/>
    <w:rsid w:val="49144BF8"/>
    <w:rsid w:val="491A994E"/>
    <w:rsid w:val="491B59C7"/>
    <w:rsid w:val="491E246D"/>
    <w:rsid w:val="4923499E"/>
    <w:rsid w:val="49235128"/>
    <w:rsid w:val="4927A439"/>
    <w:rsid w:val="492942F7"/>
    <w:rsid w:val="4939659D"/>
    <w:rsid w:val="493B2E5C"/>
    <w:rsid w:val="4951982C"/>
    <w:rsid w:val="4951C665"/>
    <w:rsid w:val="4951FE13"/>
    <w:rsid w:val="49549539"/>
    <w:rsid w:val="4957B190"/>
    <w:rsid w:val="4958851B"/>
    <w:rsid w:val="495AC1F1"/>
    <w:rsid w:val="495CE80A"/>
    <w:rsid w:val="496894CA"/>
    <w:rsid w:val="496B4208"/>
    <w:rsid w:val="496BA9F2"/>
    <w:rsid w:val="49713B97"/>
    <w:rsid w:val="497297A1"/>
    <w:rsid w:val="4973A11F"/>
    <w:rsid w:val="4973FE52"/>
    <w:rsid w:val="4975E5E4"/>
    <w:rsid w:val="4978C6D9"/>
    <w:rsid w:val="497D9366"/>
    <w:rsid w:val="4980DD69"/>
    <w:rsid w:val="4981B715"/>
    <w:rsid w:val="49840E99"/>
    <w:rsid w:val="49881CF6"/>
    <w:rsid w:val="498A6837"/>
    <w:rsid w:val="498DCBBE"/>
    <w:rsid w:val="49905429"/>
    <w:rsid w:val="49961249"/>
    <w:rsid w:val="499C544C"/>
    <w:rsid w:val="499F9F6F"/>
    <w:rsid w:val="49A25990"/>
    <w:rsid w:val="49A37871"/>
    <w:rsid w:val="49A886F6"/>
    <w:rsid w:val="49BC775B"/>
    <w:rsid w:val="49C418D4"/>
    <w:rsid w:val="49C79138"/>
    <w:rsid w:val="49CE7ED5"/>
    <w:rsid w:val="49CE830F"/>
    <w:rsid w:val="49CFADF4"/>
    <w:rsid w:val="49D1D027"/>
    <w:rsid w:val="49D2E93F"/>
    <w:rsid w:val="49D46E17"/>
    <w:rsid w:val="49D5101D"/>
    <w:rsid w:val="49D99658"/>
    <w:rsid w:val="49DC90AB"/>
    <w:rsid w:val="49DD9864"/>
    <w:rsid w:val="49DD9B14"/>
    <w:rsid w:val="49EA5C88"/>
    <w:rsid w:val="49ED361F"/>
    <w:rsid w:val="49EDB2C7"/>
    <w:rsid w:val="49F38FB6"/>
    <w:rsid w:val="49F50D88"/>
    <w:rsid w:val="49F6228E"/>
    <w:rsid w:val="49F8DD52"/>
    <w:rsid w:val="49F8F214"/>
    <w:rsid w:val="49FB8082"/>
    <w:rsid w:val="49FD70EF"/>
    <w:rsid w:val="4A023498"/>
    <w:rsid w:val="4A10E864"/>
    <w:rsid w:val="4A133862"/>
    <w:rsid w:val="4A1467AA"/>
    <w:rsid w:val="4A184BAA"/>
    <w:rsid w:val="4A1945D7"/>
    <w:rsid w:val="4A25D761"/>
    <w:rsid w:val="4A2732FD"/>
    <w:rsid w:val="4A2820BC"/>
    <w:rsid w:val="4A2CF187"/>
    <w:rsid w:val="4A31FE32"/>
    <w:rsid w:val="4A3354DE"/>
    <w:rsid w:val="4A33EBBD"/>
    <w:rsid w:val="4A343EFA"/>
    <w:rsid w:val="4A355426"/>
    <w:rsid w:val="4A38FE36"/>
    <w:rsid w:val="4A3FEA71"/>
    <w:rsid w:val="4A466D59"/>
    <w:rsid w:val="4A4E86D7"/>
    <w:rsid w:val="4A53A973"/>
    <w:rsid w:val="4A595F48"/>
    <w:rsid w:val="4A5CF494"/>
    <w:rsid w:val="4A5FA92A"/>
    <w:rsid w:val="4A65F0E6"/>
    <w:rsid w:val="4A70046C"/>
    <w:rsid w:val="4A70952E"/>
    <w:rsid w:val="4A71716A"/>
    <w:rsid w:val="4A728DEC"/>
    <w:rsid w:val="4A731ED0"/>
    <w:rsid w:val="4A75B175"/>
    <w:rsid w:val="4A85D6EE"/>
    <w:rsid w:val="4A87A4C6"/>
    <w:rsid w:val="4A9A26CF"/>
    <w:rsid w:val="4AA08391"/>
    <w:rsid w:val="4AA18D1F"/>
    <w:rsid w:val="4AA2BC00"/>
    <w:rsid w:val="4AA5059D"/>
    <w:rsid w:val="4AA5DAE7"/>
    <w:rsid w:val="4AA78E3E"/>
    <w:rsid w:val="4AAA7105"/>
    <w:rsid w:val="4AB18CDE"/>
    <w:rsid w:val="4AB32DCE"/>
    <w:rsid w:val="4AB5E979"/>
    <w:rsid w:val="4AB64653"/>
    <w:rsid w:val="4AB7E6E7"/>
    <w:rsid w:val="4ABDCC10"/>
    <w:rsid w:val="4ABE5E7D"/>
    <w:rsid w:val="4ABE9232"/>
    <w:rsid w:val="4ABF034A"/>
    <w:rsid w:val="4AC0268C"/>
    <w:rsid w:val="4AC20E7C"/>
    <w:rsid w:val="4AC52727"/>
    <w:rsid w:val="4AD73414"/>
    <w:rsid w:val="4AD8A4A8"/>
    <w:rsid w:val="4ADD61C6"/>
    <w:rsid w:val="4ADF0171"/>
    <w:rsid w:val="4AE68012"/>
    <w:rsid w:val="4AEA509C"/>
    <w:rsid w:val="4AEEC52F"/>
    <w:rsid w:val="4AEFEF02"/>
    <w:rsid w:val="4AF6F83D"/>
    <w:rsid w:val="4B0E7B84"/>
    <w:rsid w:val="4B0EBE9D"/>
    <w:rsid w:val="4B119D92"/>
    <w:rsid w:val="4B128525"/>
    <w:rsid w:val="4B155048"/>
    <w:rsid w:val="4B16C936"/>
    <w:rsid w:val="4B1B9345"/>
    <w:rsid w:val="4B2911C0"/>
    <w:rsid w:val="4B2F15A1"/>
    <w:rsid w:val="4B2FB5D6"/>
    <w:rsid w:val="4B318E85"/>
    <w:rsid w:val="4B325D59"/>
    <w:rsid w:val="4B3920F8"/>
    <w:rsid w:val="4B3928F8"/>
    <w:rsid w:val="4B395658"/>
    <w:rsid w:val="4B3A6CD9"/>
    <w:rsid w:val="4B41D59F"/>
    <w:rsid w:val="4B4C01FB"/>
    <w:rsid w:val="4B50501B"/>
    <w:rsid w:val="4B55B6D8"/>
    <w:rsid w:val="4B56E1CD"/>
    <w:rsid w:val="4B5AA81C"/>
    <w:rsid w:val="4B5C6F67"/>
    <w:rsid w:val="4B625B17"/>
    <w:rsid w:val="4B627C3B"/>
    <w:rsid w:val="4B64F533"/>
    <w:rsid w:val="4B6BC733"/>
    <w:rsid w:val="4B6BE423"/>
    <w:rsid w:val="4B6C2F2A"/>
    <w:rsid w:val="4B6FF21E"/>
    <w:rsid w:val="4B710219"/>
    <w:rsid w:val="4B724567"/>
    <w:rsid w:val="4B74BDC6"/>
    <w:rsid w:val="4B762247"/>
    <w:rsid w:val="4B77E881"/>
    <w:rsid w:val="4B791C19"/>
    <w:rsid w:val="4B7C018E"/>
    <w:rsid w:val="4B7E32C0"/>
    <w:rsid w:val="4B7ED3B8"/>
    <w:rsid w:val="4B821C76"/>
    <w:rsid w:val="4B8409EC"/>
    <w:rsid w:val="4B84BC5E"/>
    <w:rsid w:val="4B85360C"/>
    <w:rsid w:val="4B8664DF"/>
    <w:rsid w:val="4B8ADEAF"/>
    <w:rsid w:val="4B8D19CE"/>
    <w:rsid w:val="4B907206"/>
    <w:rsid w:val="4B92881E"/>
    <w:rsid w:val="4B936A35"/>
    <w:rsid w:val="4B94CB4F"/>
    <w:rsid w:val="4B95D51D"/>
    <w:rsid w:val="4B95F4E6"/>
    <w:rsid w:val="4B992874"/>
    <w:rsid w:val="4B9C13E5"/>
    <w:rsid w:val="4B9ED670"/>
    <w:rsid w:val="4B9FB0D0"/>
    <w:rsid w:val="4BA12DB9"/>
    <w:rsid w:val="4BA165BE"/>
    <w:rsid w:val="4BA6010E"/>
    <w:rsid w:val="4BAA1B3D"/>
    <w:rsid w:val="4BAB3284"/>
    <w:rsid w:val="4BB642E7"/>
    <w:rsid w:val="4BB8F66B"/>
    <w:rsid w:val="4BBE59B2"/>
    <w:rsid w:val="4BBF3C7E"/>
    <w:rsid w:val="4BC1D990"/>
    <w:rsid w:val="4BC30FA0"/>
    <w:rsid w:val="4BC38B4C"/>
    <w:rsid w:val="4BC61A1A"/>
    <w:rsid w:val="4BC8DBE4"/>
    <w:rsid w:val="4BCDAB4B"/>
    <w:rsid w:val="4BD2B27E"/>
    <w:rsid w:val="4BD563AA"/>
    <w:rsid w:val="4BD5B5C2"/>
    <w:rsid w:val="4BD68DFA"/>
    <w:rsid w:val="4BD9502A"/>
    <w:rsid w:val="4BDE53D6"/>
    <w:rsid w:val="4BE86AB8"/>
    <w:rsid w:val="4BE94F30"/>
    <w:rsid w:val="4BEAC533"/>
    <w:rsid w:val="4BEBBA71"/>
    <w:rsid w:val="4BEDF5EB"/>
    <w:rsid w:val="4BF52CAE"/>
    <w:rsid w:val="4BF7BD7A"/>
    <w:rsid w:val="4BFDE695"/>
    <w:rsid w:val="4BFE402B"/>
    <w:rsid w:val="4BFEED2A"/>
    <w:rsid w:val="4C00CF1F"/>
    <w:rsid w:val="4C037F39"/>
    <w:rsid w:val="4C03C068"/>
    <w:rsid w:val="4C060675"/>
    <w:rsid w:val="4C0762C0"/>
    <w:rsid w:val="4C07CAC9"/>
    <w:rsid w:val="4C07F61C"/>
    <w:rsid w:val="4C0AA09F"/>
    <w:rsid w:val="4C0B4F95"/>
    <w:rsid w:val="4C0DA293"/>
    <w:rsid w:val="4C0F7FD9"/>
    <w:rsid w:val="4C12AB9D"/>
    <w:rsid w:val="4C1F0A3A"/>
    <w:rsid w:val="4C21B36D"/>
    <w:rsid w:val="4C23D971"/>
    <w:rsid w:val="4C2C93A2"/>
    <w:rsid w:val="4C2EAE28"/>
    <w:rsid w:val="4C3446EE"/>
    <w:rsid w:val="4C364877"/>
    <w:rsid w:val="4C38E99F"/>
    <w:rsid w:val="4C3957E5"/>
    <w:rsid w:val="4C3B82B3"/>
    <w:rsid w:val="4C3F2ACC"/>
    <w:rsid w:val="4C4F50C8"/>
    <w:rsid w:val="4C51F812"/>
    <w:rsid w:val="4C536A06"/>
    <w:rsid w:val="4C54C90E"/>
    <w:rsid w:val="4C55C7A0"/>
    <w:rsid w:val="4C567C3B"/>
    <w:rsid w:val="4C5D0C8E"/>
    <w:rsid w:val="4C5EC2B7"/>
    <w:rsid w:val="4C636D0C"/>
    <w:rsid w:val="4C64B682"/>
    <w:rsid w:val="4C68B013"/>
    <w:rsid w:val="4C6A1DD0"/>
    <w:rsid w:val="4C6C6D54"/>
    <w:rsid w:val="4C6E4CA8"/>
    <w:rsid w:val="4C71A3AC"/>
    <w:rsid w:val="4C71EB8A"/>
    <w:rsid w:val="4C723682"/>
    <w:rsid w:val="4C73C1CA"/>
    <w:rsid w:val="4C770EA4"/>
    <w:rsid w:val="4C79C918"/>
    <w:rsid w:val="4C7A3A53"/>
    <w:rsid w:val="4C7A77E6"/>
    <w:rsid w:val="4C7D005F"/>
    <w:rsid w:val="4C7D273A"/>
    <w:rsid w:val="4C7E1FBE"/>
    <w:rsid w:val="4C85FE5E"/>
    <w:rsid w:val="4C8CBCDC"/>
    <w:rsid w:val="4C8DC378"/>
    <w:rsid w:val="4C8F7B6A"/>
    <w:rsid w:val="4C8F8900"/>
    <w:rsid w:val="4C922091"/>
    <w:rsid w:val="4C94F66E"/>
    <w:rsid w:val="4C9A4553"/>
    <w:rsid w:val="4C9A6403"/>
    <w:rsid w:val="4C9AB104"/>
    <w:rsid w:val="4C9B590F"/>
    <w:rsid w:val="4CA23C7E"/>
    <w:rsid w:val="4CA8DA27"/>
    <w:rsid w:val="4CAFFB88"/>
    <w:rsid w:val="4CB00F05"/>
    <w:rsid w:val="4CB47AE0"/>
    <w:rsid w:val="4CB5A640"/>
    <w:rsid w:val="4CBF5E6A"/>
    <w:rsid w:val="4CBFAE6F"/>
    <w:rsid w:val="4CC11205"/>
    <w:rsid w:val="4CC7893A"/>
    <w:rsid w:val="4CC885AF"/>
    <w:rsid w:val="4CC95AEC"/>
    <w:rsid w:val="4CCD1454"/>
    <w:rsid w:val="4CCECF25"/>
    <w:rsid w:val="4CD05BFD"/>
    <w:rsid w:val="4CD679BF"/>
    <w:rsid w:val="4CD743F1"/>
    <w:rsid w:val="4CDA280B"/>
    <w:rsid w:val="4CDCCA7B"/>
    <w:rsid w:val="4CE26BC2"/>
    <w:rsid w:val="4CE68998"/>
    <w:rsid w:val="4CEA1D96"/>
    <w:rsid w:val="4CF6F1D4"/>
    <w:rsid w:val="4CF70A0E"/>
    <w:rsid w:val="4CF916DD"/>
    <w:rsid w:val="4CFB883E"/>
    <w:rsid w:val="4CFC4134"/>
    <w:rsid w:val="4CFC7B7F"/>
    <w:rsid w:val="4CFFAD32"/>
    <w:rsid w:val="4D0635E0"/>
    <w:rsid w:val="4D0B0A6F"/>
    <w:rsid w:val="4D0B51F1"/>
    <w:rsid w:val="4D0CC61E"/>
    <w:rsid w:val="4D0F9334"/>
    <w:rsid w:val="4D1607A9"/>
    <w:rsid w:val="4D1A3D58"/>
    <w:rsid w:val="4D218470"/>
    <w:rsid w:val="4D219EF1"/>
    <w:rsid w:val="4D249B2E"/>
    <w:rsid w:val="4D257655"/>
    <w:rsid w:val="4D25BD79"/>
    <w:rsid w:val="4D274672"/>
    <w:rsid w:val="4D2E70B1"/>
    <w:rsid w:val="4D350D2A"/>
    <w:rsid w:val="4D39C8F4"/>
    <w:rsid w:val="4D3AD733"/>
    <w:rsid w:val="4D3EBC17"/>
    <w:rsid w:val="4D44A83F"/>
    <w:rsid w:val="4D470F78"/>
    <w:rsid w:val="4D4AED80"/>
    <w:rsid w:val="4D4FFE0C"/>
    <w:rsid w:val="4D55EBCB"/>
    <w:rsid w:val="4D564610"/>
    <w:rsid w:val="4D56B0C6"/>
    <w:rsid w:val="4D5BE1F5"/>
    <w:rsid w:val="4D5D261D"/>
    <w:rsid w:val="4D605F82"/>
    <w:rsid w:val="4D612A1C"/>
    <w:rsid w:val="4D63781F"/>
    <w:rsid w:val="4D6913C2"/>
    <w:rsid w:val="4D6D5A9C"/>
    <w:rsid w:val="4D6E6615"/>
    <w:rsid w:val="4D70053F"/>
    <w:rsid w:val="4D70ABDE"/>
    <w:rsid w:val="4D71CB70"/>
    <w:rsid w:val="4D73BF8D"/>
    <w:rsid w:val="4D765C08"/>
    <w:rsid w:val="4D7743E4"/>
    <w:rsid w:val="4D80F28D"/>
    <w:rsid w:val="4D85BAEB"/>
    <w:rsid w:val="4D89964F"/>
    <w:rsid w:val="4D89AD6D"/>
    <w:rsid w:val="4D8A00DB"/>
    <w:rsid w:val="4D8A3AB7"/>
    <w:rsid w:val="4D8D589B"/>
    <w:rsid w:val="4D8D98B3"/>
    <w:rsid w:val="4D8EAD23"/>
    <w:rsid w:val="4D8FDDC7"/>
    <w:rsid w:val="4D9160D5"/>
    <w:rsid w:val="4D9B35A5"/>
    <w:rsid w:val="4D9B6BA7"/>
    <w:rsid w:val="4D9BFAAE"/>
    <w:rsid w:val="4D9C7063"/>
    <w:rsid w:val="4DA25557"/>
    <w:rsid w:val="4DA4654B"/>
    <w:rsid w:val="4DA7E645"/>
    <w:rsid w:val="4DA9275F"/>
    <w:rsid w:val="4DA9AE6D"/>
    <w:rsid w:val="4DAA6229"/>
    <w:rsid w:val="4DAF1B62"/>
    <w:rsid w:val="4DB060E9"/>
    <w:rsid w:val="4DB0719C"/>
    <w:rsid w:val="4DB2B0A9"/>
    <w:rsid w:val="4DB3D5E0"/>
    <w:rsid w:val="4DB433A8"/>
    <w:rsid w:val="4DBB0170"/>
    <w:rsid w:val="4DBF4747"/>
    <w:rsid w:val="4DC7DD99"/>
    <w:rsid w:val="4DC855EF"/>
    <w:rsid w:val="4DCC9B80"/>
    <w:rsid w:val="4DCCAC95"/>
    <w:rsid w:val="4DCE1612"/>
    <w:rsid w:val="4DCF9CF3"/>
    <w:rsid w:val="4DD0B74E"/>
    <w:rsid w:val="4DD4F171"/>
    <w:rsid w:val="4DDEFAB0"/>
    <w:rsid w:val="4DDFDDC9"/>
    <w:rsid w:val="4DE08CC9"/>
    <w:rsid w:val="4DED4D15"/>
    <w:rsid w:val="4DEE60F0"/>
    <w:rsid w:val="4DF39DEA"/>
    <w:rsid w:val="4DF5EE03"/>
    <w:rsid w:val="4DFB148D"/>
    <w:rsid w:val="4DFD40E7"/>
    <w:rsid w:val="4E0765BC"/>
    <w:rsid w:val="4E0B1816"/>
    <w:rsid w:val="4E0EB107"/>
    <w:rsid w:val="4E117BF2"/>
    <w:rsid w:val="4E1B2B97"/>
    <w:rsid w:val="4E1C3AA0"/>
    <w:rsid w:val="4E1CF142"/>
    <w:rsid w:val="4E223275"/>
    <w:rsid w:val="4E2525C4"/>
    <w:rsid w:val="4E2C2FA9"/>
    <w:rsid w:val="4E3411CE"/>
    <w:rsid w:val="4E3A0306"/>
    <w:rsid w:val="4E3A5E88"/>
    <w:rsid w:val="4E3C2477"/>
    <w:rsid w:val="4E3E8E81"/>
    <w:rsid w:val="4E44A8EE"/>
    <w:rsid w:val="4E46D093"/>
    <w:rsid w:val="4E473068"/>
    <w:rsid w:val="4E491F66"/>
    <w:rsid w:val="4E4AB5E3"/>
    <w:rsid w:val="4E503BAE"/>
    <w:rsid w:val="4E59B62A"/>
    <w:rsid w:val="4E5D23CF"/>
    <w:rsid w:val="4E606701"/>
    <w:rsid w:val="4E636443"/>
    <w:rsid w:val="4E63765B"/>
    <w:rsid w:val="4E65A871"/>
    <w:rsid w:val="4E65E798"/>
    <w:rsid w:val="4E67C0E7"/>
    <w:rsid w:val="4E6AF68E"/>
    <w:rsid w:val="4E6BB306"/>
    <w:rsid w:val="4E6C07D7"/>
    <w:rsid w:val="4E6E940E"/>
    <w:rsid w:val="4E6F7AD1"/>
    <w:rsid w:val="4E7A8186"/>
    <w:rsid w:val="4E7D625B"/>
    <w:rsid w:val="4E82584C"/>
    <w:rsid w:val="4E827987"/>
    <w:rsid w:val="4E868200"/>
    <w:rsid w:val="4E88A7C1"/>
    <w:rsid w:val="4E89357E"/>
    <w:rsid w:val="4E89CE5E"/>
    <w:rsid w:val="4E8F7E10"/>
    <w:rsid w:val="4E93CB0D"/>
    <w:rsid w:val="4E965089"/>
    <w:rsid w:val="4E9BD4C8"/>
    <w:rsid w:val="4EA513CB"/>
    <w:rsid w:val="4EA60D60"/>
    <w:rsid w:val="4EB3CF95"/>
    <w:rsid w:val="4EB7F4EC"/>
    <w:rsid w:val="4EBBA966"/>
    <w:rsid w:val="4EBC561F"/>
    <w:rsid w:val="4EC51A33"/>
    <w:rsid w:val="4EC9B209"/>
    <w:rsid w:val="4ECACD91"/>
    <w:rsid w:val="4ECEE077"/>
    <w:rsid w:val="4ED469E7"/>
    <w:rsid w:val="4ED7031C"/>
    <w:rsid w:val="4ED8620C"/>
    <w:rsid w:val="4EDFF688"/>
    <w:rsid w:val="4EE243D1"/>
    <w:rsid w:val="4EE3D84F"/>
    <w:rsid w:val="4EE50F8E"/>
    <w:rsid w:val="4EF26BA0"/>
    <w:rsid w:val="4EF3763C"/>
    <w:rsid w:val="4EF4080A"/>
    <w:rsid w:val="4EF79915"/>
    <w:rsid w:val="4EF9CBF5"/>
    <w:rsid w:val="4F01F55D"/>
    <w:rsid w:val="4F043302"/>
    <w:rsid w:val="4F044470"/>
    <w:rsid w:val="4F050C00"/>
    <w:rsid w:val="4F0D8E7C"/>
    <w:rsid w:val="4F0E6360"/>
    <w:rsid w:val="4F0F4040"/>
    <w:rsid w:val="4F116AF3"/>
    <w:rsid w:val="4F1AD73A"/>
    <w:rsid w:val="4F1BF51E"/>
    <w:rsid w:val="4F20BC2B"/>
    <w:rsid w:val="4F248065"/>
    <w:rsid w:val="4F275973"/>
    <w:rsid w:val="4F27D432"/>
    <w:rsid w:val="4F31E41C"/>
    <w:rsid w:val="4F366D04"/>
    <w:rsid w:val="4F3898FA"/>
    <w:rsid w:val="4F38F861"/>
    <w:rsid w:val="4F3C44CC"/>
    <w:rsid w:val="4F3FBFEA"/>
    <w:rsid w:val="4F46ABB9"/>
    <w:rsid w:val="4F49E80E"/>
    <w:rsid w:val="4F4BFF4A"/>
    <w:rsid w:val="4F4CFE05"/>
    <w:rsid w:val="4F527112"/>
    <w:rsid w:val="4F5A94AF"/>
    <w:rsid w:val="4F5B76B9"/>
    <w:rsid w:val="4F602777"/>
    <w:rsid w:val="4F63970B"/>
    <w:rsid w:val="4F65EAC6"/>
    <w:rsid w:val="4F667F19"/>
    <w:rsid w:val="4F6AF0EB"/>
    <w:rsid w:val="4F701A31"/>
    <w:rsid w:val="4F717F0A"/>
    <w:rsid w:val="4F77FECC"/>
    <w:rsid w:val="4F78B414"/>
    <w:rsid w:val="4F790987"/>
    <w:rsid w:val="4F7997EB"/>
    <w:rsid w:val="4F7C844A"/>
    <w:rsid w:val="4F7DF3C8"/>
    <w:rsid w:val="4F7F61E8"/>
    <w:rsid w:val="4F87E9A9"/>
    <w:rsid w:val="4F88A16A"/>
    <w:rsid w:val="4F8B58B7"/>
    <w:rsid w:val="4F8D8DD3"/>
    <w:rsid w:val="4F8DCAB7"/>
    <w:rsid w:val="4F8DF9AD"/>
    <w:rsid w:val="4F8EC663"/>
    <w:rsid w:val="4F8F2422"/>
    <w:rsid w:val="4F90AA4A"/>
    <w:rsid w:val="4F9266F0"/>
    <w:rsid w:val="4F94CB92"/>
    <w:rsid w:val="4F94E67E"/>
    <w:rsid w:val="4F965ECE"/>
    <w:rsid w:val="4F9CC4BE"/>
    <w:rsid w:val="4F9E84B3"/>
    <w:rsid w:val="4F9F4614"/>
    <w:rsid w:val="4FA0B5A6"/>
    <w:rsid w:val="4FA0D85B"/>
    <w:rsid w:val="4FA46CED"/>
    <w:rsid w:val="4FA476B0"/>
    <w:rsid w:val="4FAA4238"/>
    <w:rsid w:val="4FAE916C"/>
    <w:rsid w:val="4FB16A4C"/>
    <w:rsid w:val="4FB68FA9"/>
    <w:rsid w:val="4FB77C83"/>
    <w:rsid w:val="4FC1A774"/>
    <w:rsid w:val="4FC2A7D1"/>
    <w:rsid w:val="4FC92DF4"/>
    <w:rsid w:val="4FD4E683"/>
    <w:rsid w:val="4FD94DA2"/>
    <w:rsid w:val="4FE1A686"/>
    <w:rsid w:val="4FE344B1"/>
    <w:rsid w:val="4FE5096A"/>
    <w:rsid w:val="4FE7CA14"/>
    <w:rsid w:val="4FE7F1D7"/>
    <w:rsid w:val="4FE8295F"/>
    <w:rsid w:val="4FE88650"/>
    <w:rsid w:val="4FEEEA42"/>
    <w:rsid w:val="4FFC4DFE"/>
    <w:rsid w:val="4FFD98F0"/>
    <w:rsid w:val="4FFF515B"/>
    <w:rsid w:val="4FFFECB9"/>
    <w:rsid w:val="50006DDF"/>
    <w:rsid w:val="500325A0"/>
    <w:rsid w:val="50033FB9"/>
    <w:rsid w:val="5008A3FD"/>
    <w:rsid w:val="500C4AFE"/>
    <w:rsid w:val="500C7ACB"/>
    <w:rsid w:val="500CDEA8"/>
    <w:rsid w:val="500FB942"/>
    <w:rsid w:val="5011F0BA"/>
    <w:rsid w:val="50158AB9"/>
    <w:rsid w:val="5016602A"/>
    <w:rsid w:val="501DB5B6"/>
    <w:rsid w:val="501EEBE0"/>
    <w:rsid w:val="501F4271"/>
    <w:rsid w:val="50220145"/>
    <w:rsid w:val="502324BF"/>
    <w:rsid w:val="5027AA59"/>
    <w:rsid w:val="502A3406"/>
    <w:rsid w:val="502D40CD"/>
    <w:rsid w:val="502F4938"/>
    <w:rsid w:val="5030AF4F"/>
    <w:rsid w:val="5033E1D1"/>
    <w:rsid w:val="50345F97"/>
    <w:rsid w:val="5038B73E"/>
    <w:rsid w:val="503B40C4"/>
    <w:rsid w:val="503B7A1B"/>
    <w:rsid w:val="50415D38"/>
    <w:rsid w:val="5044063D"/>
    <w:rsid w:val="5046B1BC"/>
    <w:rsid w:val="50479075"/>
    <w:rsid w:val="50480358"/>
    <w:rsid w:val="504A6CD2"/>
    <w:rsid w:val="504F4802"/>
    <w:rsid w:val="5050D5A9"/>
    <w:rsid w:val="505228CA"/>
    <w:rsid w:val="5054A011"/>
    <w:rsid w:val="50559590"/>
    <w:rsid w:val="50567BBB"/>
    <w:rsid w:val="505A4D6C"/>
    <w:rsid w:val="505D5544"/>
    <w:rsid w:val="505D6E03"/>
    <w:rsid w:val="50761FE9"/>
    <w:rsid w:val="50764DB4"/>
    <w:rsid w:val="50769B41"/>
    <w:rsid w:val="5079B0A8"/>
    <w:rsid w:val="507B630D"/>
    <w:rsid w:val="507BFBC7"/>
    <w:rsid w:val="507D21F4"/>
    <w:rsid w:val="50815D96"/>
    <w:rsid w:val="5081765F"/>
    <w:rsid w:val="50872DA9"/>
    <w:rsid w:val="5087D544"/>
    <w:rsid w:val="508C678F"/>
    <w:rsid w:val="508D4DCD"/>
    <w:rsid w:val="508EA2E0"/>
    <w:rsid w:val="50A281EA"/>
    <w:rsid w:val="50A46419"/>
    <w:rsid w:val="50A8966A"/>
    <w:rsid w:val="50B16082"/>
    <w:rsid w:val="50B49258"/>
    <w:rsid w:val="50B53D8D"/>
    <w:rsid w:val="50B6BC1B"/>
    <w:rsid w:val="50B70B4B"/>
    <w:rsid w:val="50B723D8"/>
    <w:rsid w:val="50B9B9E8"/>
    <w:rsid w:val="50BE5198"/>
    <w:rsid w:val="50CC50C6"/>
    <w:rsid w:val="50CC8AFC"/>
    <w:rsid w:val="50CD4D84"/>
    <w:rsid w:val="50D30567"/>
    <w:rsid w:val="50D30D27"/>
    <w:rsid w:val="50D47587"/>
    <w:rsid w:val="50D4D518"/>
    <w:rsid w:val="50D76A84"/>
    <w:rsid w:val="50D9690E"/>
    <w:rsid w:val="50DB334E"/>
    <w:rsid w:val="50E85892"/>
    <w:rsid w:val="50EA531F"/>
    <w:rsid w:val="50EDCCD4"/>
    <w:rsid w:val="50EE51A9"/>
    <w:rsid w:val="50EE799D"/>
    <w:rsid w:val="50F4C9F7"/>
    <w:rsid w:val="50F6C6AA"/>
    <w:rsid w:val="50FB7D00"/>
    <w:rsid w:val="50FE88EA"/>
    <w:rsid w:val="50FED88D"/>
    <w:rsid w:val="51075F60"/>
    <w:rsid w:val="510B7C9C"/>
    <w:rsid w:val="510BECD8"/>
    <w:rsid w:val="510F6B81"/>
    <w:rsid w:val="511844FB"/>
    <w:rsid w:val="511909CA"/>
    <w:rsid w:val="512258C1"/>
    <w:rsid w:val="5124F6A8"/>
    <w:rsid w:val="5125E195"/>
    <w:rsid w:val="512604A3"/>
    <w:rsid w:val="512AE375"/>
    <w:rsid w:val="512C0F48"/>
    <w:rsid w:val="512CEF44"/>
    <w:rsid w:val="512FF34F"/>
    <w:rsid w:val="5135B8B6"/>
    <w:rsid w:val="5137247D"/>
    <w:rsid w:val="5137CC6F"/>
    <w:rsid w:val="513A05A2"/>
    <w:rsid w:val="513AA206"/>
    <w:rsid w:val="513EB5F8"/>
    <w:rsid w:val="514060E4"/>
    <w:rsid w:val="51416BDD"/>
    <w:rsid w:val="514197A0"/>
    <w:rsid w:val="5141A29A"/>
    <w:rsid w:val="51436E69"/>
    <w:rsid w:val="5143C630"/>
    <w:rsid w:val="5145C1F1"/>
    <w:rsid w:val="5158195D"/>
    <w:rsid w:val="5159AB72"/>
    <w:rsid w:val="515A07FE"/>
    <w:rsid w:val="515A74BA"/>
    <w:rsid w:val="515DB2AF"/>
    <w:rsid w:val="51604FEC"/>
    <w:rsid w:val="516B03A3"/>
    <w:rsid w:val="5171D681"/>
    <w:rsid w:val="51774F25"/>
    <w:rsid w:val="5179DAFC"/>
    <w:rsid w:val="517BF686"/>
    <w:rsid w:val="517C6B10"/>
    <w:rsid w:val="517DD859"/>
    <w:rsid w:val="518113F0"/>
    <w:rsid w:val="518586CB"/>
    <w:rsid w:val="51864DA3"/>
    <w:rsid w:val="5186ABCF"/>
    <w:rsid w:val="518A33F3"/>
    <w:rsid w:val="518B0790"/>
    <w:rsid w:val="518BC615"/>
    <w:rsid w:val="518DA83D"/>
    <w:rsid w:val="518DE651"/>
    <w:rsid w:val="518F05F3"/>
    <w:rsid w:val="51900C2B"/>
    <w:rsid w:val="5191B43D"/>
    <w:rsid w:val="5197193B"/>
    <w:rsid w:val="519BF87C"/>
    <w:rsid w:val="519C22FB"/>
    <w:rsid w:val="51A2E5AD"/>
    <w:rsid w:val="51C4268D"/>
    <w:rsid w:val="51C6F234"/>
    <w:rsid w:val="51CB82DA"/>
    <w:rsid w:val="51CEB2A3"/>
    <w:rsid w:val="51D0EDF1"/>
    <w:rsid w:val="51D1EBB6"/>
    <w:rsid w:val="51D422A4"/>
    <w:rsid w:val="51D5AD4D"/>
    <w:rsid w:val="51DA9327"/>
    <w:rsid w:val="51DBFF75"/>
    <w:rsid w:val="51DD6F4B"/>
    <w:rsid w:val="51DE40DB"/>
    <w:rsid w:val="51E2EDC0"/>
    <w:rsid w:val="51E81503"/>
    <w:rsid w:val="51E8C80C"/>
    <w:rsid w:val="51EA1C74"/>
    <w:rsid w:val="51EC3B55"/>
    <w:rsid w:val="51ECA25F"/>
    <w:rsid w:val="51EDC117"/>
    <w:rsid w:val="51F82896"/>
    <w:rsid w:val="51FAE9FA"/>
    <w:rsid w:val="51FB0D5E"/>
    <w:rsid w:val="51FDBAE8"/>
    <w:rsid w:val="51FF51B8"/>
    <w:rsid w:val="52078122"/>
    <w:rsid w:val="520A16D5"/>
    <w:rsid w:val="520DE1B0"/>
    <w:rsid w:val="521076D0"/>
    <w:rsid w:val="52115EDE"/>
    <w:rsid w:val="5215710F"/>
    <w:rsid w:val="5218EF10"/>
    <w:rsid w:val="521A113C"/>
    <w:rsid w:val="521BF1B8"/>
    <w:rsid w:val="521E0399"/>
    <w:rsid w:val="521F3C65"/>
    <w:rsid w:val="52206AAB"/>
    <w:rsid w:val="5220710F"/>
    <w:rsid w:val="5226CC6A"/>
    <w:rsid w:val="52280EF4"/>
    <w:rsid w:val="5228BB6D"/>
    <w:rsid w:val="522A1E79"/>
    <w:rsid w:val="522CC156"/>
    <w:rsid w:val="522CEDD3"/>
    <w:rsid w:val="522D74D5"/>
    <w:rsid w:val="5232F82C"/>
    <w:rsid w:val="5233C379"/>
    <w:rsid w:val="52346617"/>
    <w:rsid w:val="523BB8E6"/>
    <w:rsid w:val="52426D19"/>
    <w:rsid w:val="52443B6C"/>
    <w:rsid w:val="5245184B"/>
    <w:rsid w:val="5246999A"/>
    <w:rsid w:val="52473ECC"/>
    <w:rsid w:val="52485F45"/>
    <w:rsid w:val="52488E15"/>
    <w:rsid w:val="52534251"/>
    <w:rsid w:val="5253E8BD"/>
    <w:rsid w:val="5259C30D"/>
    <w:rsid w:val="525B831D"/>
    <w:rsid w:val="5261782F"/>
    <w:rsid w:val="5262D468"/>
    <w:rsid w:val="526CD25A"/>
    <w:rsid w:val="526D8EB6"/>
    <w:rsid w:val="526F874B"/>
    <w:rsid w:val="526FC1E4"/>
    <w:rsid w:val="52728985"/>
    <w:rsid w:val="52730543"/>
    <w:rsid w:val="52782E7F"/>
    <w:rsid w:val="527E5A46"/>
    <w:rsid w:val="527FBBC8"/>
    <w:rsid w:val="527FCAA7"/>
    <w:rsid w:val="52810BC4"/>
    <w:rsid w:val="5282BE42"/>
    <w:rsid w:val="5285F49E"/>
    <w:rsid w:val="528E7CEC"/>
    <w:rsid w:val="52913CF4"/>
    <w:rsid w:val="5294DAD0"/>
    <w:rsid w:val="5296A111"/>
    <w:rsid w:val="52A1F7F3"/>
    <w:rsid w:val="52A1FCD7"/>
    <w:rsid w:val="52A3EB70"/>
    <w:rsid w:val="52A8FC35"/>
    <w:rsid w:val="52B0360F"/>
    <w:rsid w:val="52B0EF43"/>
    <w:rsid w:val="52B3E528"/>
    <w:rsid w:val="52BAE077"/>
    <w:rsid w:val="52BDC4A4"/>
    <w:rsid w:val="52BF4CFB"/>
    <w:rsid w:val="52C41C70"/>
    <w:rsid w:val="52C44208"/>
    <w:rsid w:val="52C46CB6"/>
    <w:rsid w:val="52C607CE"/>
    <w:rsid w:val="52C7E821"/>
    <w:rsid w:val="52C7EF12"/>
    <w:rsid w:val="52CD4555"/>
    <w:rsid w:val="52CE6AE1"/>
    <w:rsid w:val="52CF027C"/>
    <w:rsid w:val="52D28D42"/>
    <w:rsid w:val="52D954AE"/>
    <w:rsid w:val="52DCEABB"/>
    <w:rsid w:val="52DD4A61"/>
    <w:rsid w:val="52DFB047"/>
    <w:rsid w:val="52E002D4"/>
    <w:rsid w:val="52E37AF1"/>
    <w:rsid w:val="52E7B3A5"/>
    <w:rsid w:val="52E9C1CB"/>
    <w:rsid w:val="52EBB02C"/>
    <w:rsid w:val="52F3F087"/>
    <w:rsid w:val="52F61980"/>
    <w:rsid w:val="52F727E8"/>
    <w:rsid w:val="52FA71FD"/>
    <w:rsid w:val="52FED769"/>
    <w:rsid w:val="53025EEB"/>
    <w:rsid w:val="53026289"/>
    <w:rsid w:val="53034694"/>
    <w:rsid w:val="5303886C"/>
    <w:rsid w:val="5308675A"/>
    <w:rsid w:val="5309E3F4"/>
    <w:rsid w:val="531096B6"/>
    <w:rsid w:val="53145E6F"/>
    <w:rsid w:val="53164D3D"/>
    <w:rsid w:val="5316A532"/>
    <w:rsid w:val="531C5CCB"/>
    <w:rsid w:val="53284820"/>
    <w:rsid w:val="532C2538"/>
    <w:rsid w:val="533065A3"/>
    <w:rsid w:val="5330CAD6"/>
    <w:rsid w:val="5332DC4A"/>
    <w:rsid w:val="53348562"/>
    <w:rsid w:val="533731FD"/>
    <w:rsid w:val="533D3CCA"/>
    <w:rsid w:val="534056D5"/>
    <w:rsid w:val="534CFA9B"/>
    <w:rsid w:val="534ED77E"/>
    <w:rsid w:val="534F0613"/>
    <w:rsid w:val="5351B88C"/>
    <w:rsid w:val="5351DFE0"/>
    <w:rsid w:val="5363F525"/>
    <w:rsid w:val="5368A7AE"/>
    <w:rsid w:val="536926E9"/>
    <w:rsid w:val="53726C38"/>
    <w:rsid w:val="5374626C"/>
    <w:rsid w:val="53748398"/>
    <w:rsid w:val="5375F001"/>
    <w:rsid w:val="537D7C72"/>
    <w:rsid w:val="537F8D1B"/>
    <w:rsid w:val="53838329"/>
    <w:rsid w:val="53846041"/>
    <w:rsid w:val="53859726"/>
    <w:rsid w:val="5389F450"/>
    <w:rsid w:val="538AED05"/>
    <w:rsid w:val="538C05BD"/>
    <w:rsid w:val="538DA142"/>
    <w:rsid w:val="53969DD7"/>
    <w:rsid w:val="5396C259"/>
    <w:rsid w:val="53A03F0C"/>
    <w:rsid w:val="53A32957"/>
    <w:rsid w:val="53A40573"/>
    <w:rsid w:val="53A5984D"/>
    <w:rsid w:val="53A6F5D6"/>
    <w:rsid w:val="53A728D1"/>
    <w:rsid w:val="53A7573F"/>
    <w:rsid w:val="53AA7BF1"/>
    <w:rsid w:val="53B67CC3"/>
    <w:rsid w:val="53B709CD"/>
    <w:rsid w:val="53BA4F52"/>
    <w:rsid w:val="53BCF0A9"/>
    <w:rsid w:val="53BF0D21"/>
    <w:rsid w:val="53C030CB"/>
    <w:rsid w:val="53C538B7"/>
    <w:rsid w:val="53CCCBBA"/>
    <w:rsid w:val="53CD17DA"/>
    <w:rsid w:val="53CD19F3"/>
    <w:rsid w:val="53D6AF8A"/>
    <w:rsid w:val="53DA6268"/>
    <w:rsid w:val="53DD048F"/>
    <w:rsid w:val="53DDE7D4"/>
    <w:rsid w:val="53DF6D01"/>
    <w:rsid w:val="53DFED3A"/>
    <w:rsid w:val="53E47BD9"/>
    <w:rsid w:val="53E82F98"/>
    <w:rsid w:val="53E96086"/>
    <w:rsid w:val="53E9BA0D"/>
    <w:rsid w:val="53EB5C60"/>
    <w:rsid w:val="53F07B51"/>
    <w:rsid w:val="53F1FEC2"/>
    <w:rsid w:val="53F20130"/>
    <w:rsid w:val="53F4AC21"/>
    <w:rsid w:val="53F5C5C4"/>
    <w:rsid w:val="53FF72C1"/>
    <w:rsid w:val="540647BB"/>
    <w:rsid w:val="54087E71"/>
    <w:rsid w:val="540AE6E0"/>
    <w:rsid w:val="540B3DB8"/>
    <w:rsid w:val="54150CD2"/>
    <w:rsid w:val="54160835"/>
    <w:rsid w:val="54171937"/>
    <w:rsid w:val="5417C05F"/>
    <w:rsid w:val="5417EA2D"/>
    <w:rsid w:val="541D6C65"/>
    <w:rsid w:val="541EE6F4"/>
    <w:rsid w:val="541F160D"/>
    <w:rsid w:val="54236363"/>
    <w:rsid w:val="54248E76"/>
    <w:rsid w:val="5425E22D"/>
    <w:rsid w:val="5426F88C"/>
    <w:rsid w:val="542A48D2"/>
    <w:rsid w:val="542BFD17"/>
    <w:rsid w:val="542E258F"/>
    <w:rsid w:val="542F0C56"/>
    <w:rsid w:val="54371874"/>
    <w:rsid w:val="543CA0BA"/>
    <w:rsid w:val="543FE198"/>
    <w:rsid w:val="5445ED9B"/>
    <w:rsid w:val="54479893"/>
    <w:rsid w:val="544ADD38"/>
    <w:rsid w:val="54559CED"/>
    <w:rsid w:val="5457086C"/>
    <w:rsid w:val="545730E7"/>
    <w:rsid w:val="545C0609"/>
    <w:rsid w:val="545F151F"/>
    <w:rsid w:val="546155FE"/>
    <w:rsid w:val="5466B442"/>
    <w:rsid w:val="546729F8"/>
    <w:rsid w:val="546FC1CC"/>
    <w:rsid w:val="54730284"/>
    <w:rsid w:val="54784357"/>
    <w:rsid w:val="5479132A"/>
    <w:rsid w:val="54792000"/>
    <w:rsid w:val="547C4F03"/>
    <w:rsid w:val="54820F73"/>
    <w:rsid w:val="54827EB2"/>
    <w:rsid w:val="54885728"/>
    <w:rsid w:val="548B3F5E"/>
    <w:rsid w:val="548B5E56"/>
    <w:rsid w:val="548FF07C"/>
    <w:rsid w:val="5490AE7C"/>
    <w:rsid w:val="54945F6B"/>
    <w:rsid w:val="54959C4C"/>
    <w:rsid w:val="5498792F"/>
    <w:rsid w:val="549A67A6"/>
    <w:rsid w:val="549C7206"/>
    <w:rsid w:val="549CE9CB"/>
    <w:rsid w:val="549FF4B7"/>
    <w:rsid w:val="54A04397"/>
    <w:rsid w:val="54A053BF"/>
    <w:rsid w:val="54A2F037"/>
    <w:rsid w:val="54A649EF"/>
    <w:rsid w:val="54A8A51D"/>
    <w:rsid w:val="54AB6D9E"/>
    <w:rsid w:val="54AF64E5"/>
    <w:rsid w:val="54B62F51"/>
    <w:rsid w:val="54BF08F3"/>
    <w:rsid w:val="54C07F6C"/>
    <w:rsid w:val="54CA4432"/>
    <w:rsid w:val="54CD92A0"/>
    <w:rsid w:val="54D02CD0"/>
    <w:rsid w:val="54DC27B7"/>
    <w:rsid w:val="54DDE48E"/>
    <w:rsid w:val="54DE8DE7"/>
    <w:rsid w:val="54DE9C4B"/>
    <w:rsid w:val="54E4D74C"/>
    <w:rsid w:val="54E97018"/>
    <w:rsid w:val="54ED1BF8"/>
    <w:rsid w:val="54EDE02C"/>
    <w:rsid w:val="54F147CB"/>
    <w:rsid w:val="54F1B1C2"/>
    <w:rsid w:val="54F2E5A7"/>
    <w:rsid w:val="54F31BD9"/>
    <w:rsid w:val="54F33610"/>
    <w:rsid w:val="54FA510F"/>
    <w:rsid w:val="54FB7CF4"/>
    <w:rsid w:val="54FF782C"/>
    <w:rsid w:val="5507A7E8"/>
    <w:rsid w:val="550DB4ED"/>
    <w:rsid w:val="5515E4BC"/>
    <w:rsid w:val="55184DDD"/>
    <w:rsid w:val="5519B9FD"/>
    <w:rsid w:val="551FC48F"/>
    <w:rsid w:val="5521CC39"/>
    <w:rsid w:val="55383B51"/>
    <w:rsid w:val="553980A2"/>
    <w:rsid w:val="5539A51D"/>
    <w:rsid w:val="553A9C09"/>
    <w:rsid w:val="553AE909"/>
    <w:rsid w:val="553B0DB1"/>
    <w:rsid w:val="553CCBFA"/>
    <w:rsid w:val="554002DC"/>
    <w:rsid w:val="55442606"/>
    <w:rsid w:val="55447CDF"/>
    <w:rsid w:val="554B28F2"/>
    <w:rsid w:val="5555AD84"/>
    <w:rsid w:val="5557598A"/>
    <w:rsid w:val="555C9983"/>
    <w:rsid w:val="555E41FD"/>
    <w:rsid w:val="5560063C"/>
    <w:rsid w:val="55683839"/>
    <w:rsid w:val="5568CE57"/>
    <w:rsid w:val="556E2FBA"/>
    <w:rsid w:val="557084F8"/>
    <w:rsid w:val="5572571E"/>
    <w:rsid w:val="55732F61"/>
    <w:rsid w:val="5575A3D6"/>
    <w:rsid w:val="55778059"/>
    <w:rsid w:val="5578B2AC"/>
    <w:rsid w:val="55791FDA"/>
    <w:rsid w:val="557EC4C8"/>
    <w:rsid w:val="557F0A48"/>
    <w:rsid w:val="558A086D"/>
    <w:rsid w:val="558AA0E4"/>
    <w:rsid w:val="558D0055"/>
    <w:rsid w:val="558F287F"/>
    <w:rsid w:val="55931A5D"/>
    <w:rsid w:val="5595D0EC"/>
    <w:rsid w:val="55968450"/>
    <w:rsid w:val="55993E90"/>
    <w:rsid w:val="559AF515"/>
    <w:rsid w:val="559F7A62"/>
    <w:rsid w:val="55A38483"/>
    <w:rsid w:val="55A3AB1A"/>
    <w:rsid w:val="55A9314A"/>
    <w:rsid w:val="55AB12C3"/>
    <w:rsid w:val="55B28EF1"/>
    <w:rsid w:val="55B2C3A2"/>
    <w:rsid w:val="55B2C987"/>
    <w:rsid w:val="55B5F45D"/>
    <w:rsid w:val="55B6F499"/>
    <w:rsid w:val="55B91FAE"/>
    <w:rsid w:val="55BDDD8B"/>
    <w:rsid w:val="55BFB6D9"/>
    <w:rsid w:val="55C238CF"/>
    <w:rsid w:val="55C4A7D0"/>
    <w:rsid w:val="55C5D1D6"/>
    <w:rsid w:val="55C617BC"/>
    <w:rsid w:val="55C6FBCC"/>
    <w:rsid w:val="55C7FDD3"/>
    <w:rsid w:val="55CC7B68"/>
    <w:rsid w:val="55CF700E"/>
    <w:rsid w:val="55D592DD"/>
    <w:rsid w:val="55DD7C1E"/>
    <w:rsid w:val="55E45F49"/>
    <w:rsid w:val="55EA78FE"/>
    <w:rsid w:val="55EC452B"/>
    <w:rsid w:val="55ED8F49"/>
    <w:rsid w:val="55F1E800"/>
    <w:rsid w:val="55F7A110"/>
    <w:rsid w:val="55F9BBCD"/>
    <w:rsid w:val="55FDF9CB"/>
    <w:rsid w:val="55FE774F"/>
    <w:rsid w:val="560984A7"/>
    <w:rsid w:val="560A7C0C"/>
    <w:rsid w:val="560ADC40"/>
    <w:rsid w:val="56130FFA"/>
    <w:rsid w:val="5615D2A5"/>
    <w:rsid w:val="5615E555"/>
    <w:rsid w:val="561882B4"/>
    <w:rsid w:val="561A0992"/>
    <w:rsid w:val="561A9414"/>
    <w:rsid w:val="561E1A19"/>
    <w:rsid w:val="561F25E5"/>
    <w:rsid w:val="56264351"/>
    <w:rsid w:val="562735FD"/>
    <w:rsid w:val="56274B6A"/>
    <w:rsid w:val="562B27FF"/>
    <w:rsid w:val="562D2073"/>
    <w:rsid w:val="562D2CA7"/>
    <w:rsid w:val="563603EA"/>
    <w:rsid w:val="563C1C22"/>
    <w:rsid w:val="563F39D9"/>
    <w:rsid w:val="5643D66F"/>
    <w:rsid w:val="564BA5D5"/>
    <w:rsid w:val="564ECF0D"/>
    <w:rsid w:val="5650F697"/>
    <w:rsid w:val="56567BFE"/>
    <w:rsid w:val="5657F646"/>
    <w:rsid w:val="565C1CA4"/>
    <w:rsid w:val="565F2F6F"/>
    <w:rsid w:val="565F4CCD"/>
    <w:rsid w:val="5660D8D4"/>
    <w:rsid w:val="5661E37E"/>
    <w:rsid w:val="5663969C"/>
    <w:rsid w:val="5668A1F8"/>
    <w:rsid w:val="566A360B"/>
    <w:rsid w:val="566A578D"/>
    <w:rsid w:val="566B2B22"/>
    <w:rsid w:val="566FDED0"/>
    <w:rsid w:val="56701FD2"/>
    <w:rsid w:val="5671DF4D"/>
    <w:rsid w:val="5674825B"/>
    <w:rsid w:val="567ADD81"/>
    <w:rsid w:val="56844DF4"/>
    <w:rsid w:val="568948CE"/>
    <w:rsid w:val="568FFE9E"/>
    <w:rsid w:val="56909029"/>
    <w:rsid w:val="569114F4"/>
    <w:rsid w:val="569335CA"/>
    <w:rsid w:val="56966E9A"/>
    <w:rsid w:val="5698E6DB"/>
    <w:rsid w:val="569B53BB"/>
    <w:rsid w:val="56A002A1"/>
    <w:rsid w:val="56A0A391"/>
    <w:rsid w:val="56A1C16F"/>
    <w:rsid w:val="56A37D0C"/>
    <w:rsid w:val="56B54D61"/>
    <w:rsid w:val="56B90D75"/>
    <w:rsid w:val="56BA9770"/>
    <w:rsid w:val="56BF2C4E"/>
    <w:rsid w:val="56C610BE"/>
    <w:rsid w:val="56C88E4F"/>
    <w:rsid w:val="56C931B9"/>
    <w:rsid w:val="56D03772"/>
    <w:rsid w:val="56D42BFF"/>
    <w:rsid w:val="56D5C9F1"/>
    <w:rsid w:val="56DC92D9"/>
    <w:rsid w:val="56DD0013"/>
    <w:rsid w:val="56E38D1F"/>
    <w:rsid w:val="56F3EA52"/>
    <w:rsid w:val="56F4B928"/>
    <w:rsid w:val="56F64337"/>
    <w:rsid w:val="56F903B8"/>
    <w:rsid w:val="56FA081D"/>
    <w:rsid w:val="56FC2133"/>
    <w:rsid w:val="5708C911"/>
    <w:rsid w:val="5709B7A7"/>
    <w:rsid w:val="57111D40"/>
    <w:rsid w:val="57212EA6"/>
    <w:rsid w:val="57213131"/>
    <w:rsid w:val="57213F4B"/>
    <w:rsid w:val="572628E8"/>
    <w:rsid w:val="5727D350"/>
    <w:rsid w:val="5729DBB5"/>
    <w:rsid w:val="572F0FBF"/>
    <w:rsid w:val="5730746D"/>
    <w:rsid w:val="57319CD5"/>
    <w:rsid w:val="57378CA6"/>
    <w:rsid w:val="5737FB44"/>
    <w:rsid w:val="573CB3EF"/>
    <w:rsid w:val="57453192"/>
    <w:rsid w:val="57470E24"/>
    <w:rsid w:val="5749352F"/>
    <w:rsid w:val="574A3DAF"/>
    <w:rsid w:val="574B5C6A"/>
    <w:rsid w:val="574B9413"/>
    <w:rsid w:val="5751C172"/>
    <w:rsid w:val="5755E07F"/>
    <w:rsid w:val="57574D3E"/>
    <w:rsid w:val="575E96A8"/>
    <w:rsid w:val="57601F4C"/>
    <w:rsid w:val="57604EC2"/>
    <w:rsid w:val="57630673"/>
    <w:rsid w:val="57639889"/>
    <w:rsid w:val="57646209"/>
    <w:rsid w:val="5777E73D"/>
    <w:rsid w:val="577B031D"/>
    <w:rsid w:val="577B961B"/>
    <w:rsid w:val="577FBFB0"/>
    <w:rsid w:val="57817DF0"/>
    <w:rsid w:val="5784BA6D"/>
    <w:rsid w:val="5792A165"/>
    <w:rsid w:val="5794BEC2"/>
    <w:rsid w:val="5795F817"/>
    <w:rsid w:val="57A167CA"/>
    <w:rsid w:val="57A43CD5"/>
    <w:rsid w:val="57A50FC1"/>
    <w:rsid w:val="57A5DEB8"/>
    <w:rsid w:val="57A7FEA8"/>
    <w:rsid w:val="57A8277D"/>
    <w:rsid w:val="57A8D920"/>
    <w:rsid w:val="57AC4674"/>
    <w:rsid w:val="57AE4979"/>
    <w:rsid w:val="57AFFB2E"/>
    <w:rsid w:val="57B184C1"/>
    <w:rsid w:val="57B6E099"/>
    <w:rsid w:val="57BAC031"/>
    <w:rsid w:val="57BB4111"/>
    <w:rsid w:val="57CAADA6"/>
    <w:rsid w:val="57CEC962"/>
    <w:rsid w:val="57CFE94E"/>
    <w:rsid w:val="57D262A9"/>
    <w:rsid w:val="57D5482A"/>
    <w:rsid w:val="57D7377D"/>
    <w:rsid w:val="57D88F35"/>
    <w:rsid w:val="57DA60F5"/>
    <w:rsid w:val="57DE5FB1"/>
    <w:rsid w:val="57E2055A"/>
    <w:rsid w:val="57E72925"/>
    <w:rsid w:val="57F34595"/>
    <w:rsid w:val="57F3DB69"/>
    <w:rsid w:val="57F5348C"/>
    <w:rsid w:val="57F8BC44"/>
    <w:rsid w:val="57FBB5DC"/>
    <w:rsid w:val="57FD46F0"/>
    <w:rsid w:val="57FD8E63"/>
    <w:rsid w:val="57FEEB11"/>
    <w:rsid w:val="57FFDDF4"/>
    <w:rsid w:val="5800C8BA"/>
    <w:rsid w:val="58028655"/>
    <w:rsid w:val="580C58F7"/>
    <w:rsid w:val="580C8494"/>
    <w:rsid w:val="580CD725"/>
    <w:rsid w:val="580E7257"/>
    <w:rsid w:val="581069F4"/>
    <w:rsid w:val="5810E910"/>
    <w:rsid w:val="58113DE7"/>
    <w:rsid w:val="5816A26E"/>
    <w:rsid w:val="58177447"/>
    <w:rsid w:val="581BDE32"/>
    <w:rsid w:val="581C7B25"/>
    <w:rsid w:val="5823F943"/>
    <w:rsid w:val="5828280C"/>
    <w:rsid w:val="582D017B"/>
    <w:rsid w:val="582D3712"/>
    <w:rsid w:val="582E28ED"/>
    <w:rsid w:val="58318B5E"/>
    <w:rsid w:val="5832A77A"/>
    <w:rsid w:val="58342DDD"/>
    <w:rsid w:val="583E77E7"/>
    <w:rsid w:val="584247DE"/>
    <w:rsid w:val="5844499C"/>
    <w:rsid w:val="584FD7C4"/>
    <w:rsid w:val="585071AE"/>
    <w:rsid w:val="58541F2D"/>
    <w:rsid w:val="58588A00"/>
    <w:rsid w:val="5859F459"/>
    <w:rsid w:val="585ECDCF"/>
    <w:rsid w:val="58602CB0"/>
    <w:rsid w:val="5868E8C2"/>
    <w:rsid w:val="586DF205"/>
    <w:rsid w:val="586FAE5C"/>
    <w:rsid w:val="587068F7"/>
    <w:rsid w:val="58758FCA"/>
    <w:rsid w:val="58775B8A"/>
    <w:rsid w:val="587907E7"/>
    <w:rsid w:val="587B9611"/>
    <w:rsid w:val="587ED3BF"/>
    <w:rsid w:val="5880F342"/>
    <w:rsid w:val="5885E3D6"/>
    <w:rsid w:val="588829C1"/>
    <w:rsid w:val="588BAC59"/>
    <w:rsid w:val="588F8B74"/>
    <w:rsid w:val="589AED03"/>
    <w:rsid w:val="589B5CAD"/>
    <w:rsid w:val="589D95E3"/>
    <w:rsid w:val="589E4AEB"/>
    <w:rsid w:val="589FDFD4"/>
    <w:rsid w:val="58A0B42C"/>
    <w:rsid w:val="58AC9C51"/>
    <w:rsid w:val="58AFF813"/>
    <w:rsid w:val="58B2877D"/>
    <w:rsid w:val="58B2C03E"/>
    <w:rsid w:val="58B642C2"/>
    <w:rsid w:val="58B6BFB7"/>
    <w:rsid w:val="58BB695A"/>
    <w:rsid w:val="58C0144E"/>
    <w:rsid w:val="58C88C5A"/>
    <w:rsid w:val="58C95261"/>
    <w:rsid w:val="58D7F40D"/>
    <w:rsid w:val="58D81E43"/>
    <w:rsid w:val="58DD4483"/>
    <w:rsid w:val="58DD8BBF"/>
    <w:rsid w:val="58E25255"/>
    <w:rsid w:val="58E45CD9"/>
    <w:rsid w:val="58E94710"/>
    <w:rsid w:val="58EAFAEE"/>
    <w:rsid w:val="58EE1AC9"/>
    <w:rsid w:val="58F404AC"/>
    <w:rsid w:val="58F92BC6"/>
    <w:rsid w:val="58FBBDD3"/>
    <w:rsid w:val="58FD6E23"/>
    <w:rsid w:val="58FE6895"/>
    <w:rsid w:val="59059113"/>
    <w:rsid w:val="590749BC"/>
    <w:rsid w:val="590773B2"/>
    <w:rsid w:val="59096E5F"/>
    <w:rsid w:val="590A5F11"/>
    <w:rsid w:val="590B850D"/>
    <w:rsid w:val="590B8F49"/>
    <w:rsid w:val="590D4422"/>
    <w:rsid w:val="590EDCA2"/>
    <w:rsid w:val="590F9B32"/>
    <w:rsid w:val="59104010"/>
    <w:rsid w:val="59152468"/>
    <w:rsid w:val="5919B856"/>
    <w:rsid w:val="591A9C2F"/>
    <w:rsid w:val="591B2DD4"/>
    <w:rsid w:val="591D16E8"/>
    <w:rsid w:val="591ED8AB"/>
    <w:rsid w:val="59203E23"/>
    <w:rsid w:val="5921AA02"/>
    <w:rsid w:val="592BB287"/>
    <w:rsid w:val="592E6868"/>
    <w:rsid w:val="592EB670"/>
    <w:rsid w:val="592FEE4B"/>
    <w:rsid w:val="5931BB8F"/>
    <w:rsid w:val="59351B91"/>
    <w:rsid w:val="5935F2E8"/>
    <w:rsid w:val="59383C55"/>
    <w:rsid w:val="5939E5F6"/>
    <w:rsid w:val="593FFDF7"/>
    <w:rsid w:val="594DD0DE"/>
    <w:rsid w:val="594EEDF0"/>
    <w:rsid w:val="59505A10"/>
    <w:rsid w:val="59599831"/>
    <w:rsid w:val="595EE0D0"/>
    <w:rsid w:val="59611A2C"/>
    <w:rsid w:val="5961C241"/>
    <w:rsid w:val="596B8466"/>
    <w:rsid w:val="596D063B"/>
    <w:rsid w:val="596DF853"/>
    <w:rsid w:val="596EF6E9"/>
    <w:rsid w:val="5970F344"/>
    <w:rsid w:val="5971652D"/>
    <w:rsid w:val="59717059"/>
    <w:rsid w:val="5973E208"/>
    <w:rsid w:val="59751812"/>
    <w:rsid w:val="5977D8E1"/>
    <w:rsid w:val="597AF4A6"/>
    <w:rsid w:val="59804549"/>
    <w:rsid w:val="5981C4A9"/>
    <w:rsid w:val="5988BF59"/>
    <w:rsid w:val="598A3238"/>
    <w:rsid w:val="598D2C83"/>
    <w:rsid w:val="598DA745"/>
    <w:rsid w:val="5990AD40"/>
    <w:rsid w:val="5991C5D5"/>
    <w:rsid w:val="59962E09"/>
    <w:rsid w:val="599A63A0"/>
    <w:rsid w:val="599CB811"/>
    <w:rsid w:val="59A42B64"/>
    <w:rsid w:val="59A69B4A"/>
    <w:rsid w:val="59A8BA83"/>
    <w:rsid w:val="59ADABA7"/>
    <w:rsid w:val="59ADF47D"/>
    <w:rsid w:val="59AFC032"/>
    <w:rsid w:val="59B02DF6"/>
    <w:rsid w:val="59B10230"/>
    <w:rsid w:val="59B59137"/>
    <w:rsid w:val="59B88BE6"/>
    <w:rsid w:val="59BA40A4"/>
    <w:rsid w:val="59BC1865"/>
    <w:rsid w:val="59C00864"/>
    <w:rsid w:val="59C0226A"/>
    <w:rsid w:val="59C035A0"/>
    <w:rsid w:val="59C2C0F0"/>
    <w:rsid w:val="59C3CE89"/>
    <w:rsid w:val="59C64B5E"/>
    <w:rsid w:val="59C8DB45"/>
    <w:rsid w:val="59C9BD6B"/>
    <w:rsid w:val="59CCC269"/>
    <w:rsid w:val="59CE3FDE"/>
    <w:rsid w:val="59CE63DF"/>
    <w:rsid w:val="59CE73AF"/>
    <w:rsid w:val="59D09B1A"/>
    <w:rsid w:val="59D13FEB"/>
    <w:rsid w:val="59D1DA92"/>
    <w:rsid w:val="59D45B4C"/>
    <w:rsid w:val="59D8DBCE"/>
    <w:rsid w:val="59D95DCB"/>
    <w:rsid w:val="59DCDF9F"/>
    <w:rsid w:val="59DD0E36"/>
    <w:rsid w:val="59DE20E3"/>
    <w:rsid w:val="59DE73FE"/>
    <w:rsid w:val="59E13929"/>
    <w:rsid w:val="59E6EE5F"/>
    <w:rsid w:val="59E75802"/>
    <w:rsid w:val="59ED6FD2"/>
    <w:rsid w:val="59EDBBED"/>
    <w:rsid w:val="59FE73E7"/>
    <w:rsid w:val="5A02D0D7"/>
    <w:rsid w:val="5A035938"/>
    <w:rsid w:val="5A04350D"/>
    <w:rsid w:val="5A073624"/>
    <w:rsid w:val="5A075B77"/>
    <w:rsid w:val="5A0B4D62"/>
    <w:rsid w:val="5A0E6442"/>
    <w:rsid w:val="5A0ECB99"/>
    <w:rsid w:val="5A102341"/>
    <w:rsid w:val="5A1161E0"/>
    <w:rsid w:val="5A16EDA6"/>
    <w:rsid w:val="5A1D19ED"/>
    <w:rsid w:val="5A27CA59"/>
    <w:rsid w:val="5A2BBE4D"/>
    <w:rsid w:val="5A2C8B9B"/>
    <w:rsid w:val="5A329FA2"/>
    <w:rsid w:val="5A34F48B"/>
    <w:rsid w:val="5A351BE9"/>
    <w:rsid w:val="5A36BA5F"/>
    <w:rsid w:val="5A3766EC"/>
    <w:rsid w:val="5A3C3548"/>
    <w:rsid w:val="5A3D40F2"/>
    <w:rsid w:val="5A3FB236"/>
    <w:rsid w:val="5A415A7C"/>
    <w:rsid w:val="5A43B62B"/>
    <w:rsid w:val="5A474B3B"/>
    <w:rsid w:val="5A4CB7A5"/>
    <w:rsid w:val="5A50CEFE"/>
    <w:rsid w:val="5A51A9F0"/>
    <w:rsid w:val="5A5489E2"/>
    <w:rsid w:val="5A56782B"/>
    <w:rsid w:val="5A5EAC6E"/>
    <w:rsid w:val="5A6333AB"/>
    <w:rsid w:val="5A633EE3"/>
    <w:rsid w:val="5A6658CB"/>
    <w:rsid w:val="5A6A9ACC"/>
    <w:rsid w:val="5A6B314C"/>
    <w:rsid w:val="5A6D9054"/>
    <w:rsid w:val="5A6F384E"/>
    <w:rsid w:val="5A721526"/>
    <w:rsid w:val="5A76C429"/>
    <w:rsid w:val="5A78E72C"/>
    <w:rsid w:val="5A7FEA26"/>
    <w:rsid w:val="5A8505CE"/>
    <w:rsid w:val="5A8619C4"/>
    <w:rsid w:val="5A885A6F"/>
    <w:rsid w:val="5A8B4D53"/>
    <w:rsid w:val="5A8E2CFB"/>
    <w:rsid w:val="5A8EC74F"/>
    <w:rsid w:val="5A903847"/>
    <w:rsid w:val="5A95C9EE"/>
    <w:rsid w:val="5A9650C1"/>
    <w:rsid w:val="5A9811AC"/>
    <w:rsid w:val="5A98ADE7"/>
    <w:rsid w:val="5A99B56F"/>
    <w:rsid w:val="5A9C3D01"/>
    <w:rsid w:val="5A9D24B5"/>
    <w:rsid w:val="5AA21812"/>
    <w:rsid w:val="5AA488ED"/>
    <w:rsid w:val="5AA91529"/>
    <w:rsid w:val="5AAA08DF"/>
    <w:rsid w:val="5AAFFE82"/>
    <w:rsid w:val="5AB0BA84"/>
    <w:rsid w:val="5AB81410"/>
    <w:rsid w:val="5AB84BB1"/>
    <w:rsid w:val="5AB9775E"/>
    <w:rsid w:val="5AC0A581"/>
    <w:rsid w:val="5AC13C4E"/>
    <w:rsid w:val="5AC81901"/>
    <w:rsid w:val="5ACA28BA"/>
    <w:rsid w:val="5ACC8DD4"/>
    <w:rsid w:val="5ACD4ADC"/>
    <w:rsid w:val="5AD16931"/>
    <w:rsid w:val="5AD383F0"/>
    <w:rsid w:val="5AD45F4C"/>
    <w:rsid w:val="5AD6A760"/>
    <w:rsid w:val="5AD74428"/>
    <w:rsid w:val="5AE0343B"/>
    <w:rsid w:val="5AE744E0"/>
    <w:rsid w:val="5AE9D64F"/>
    <w:rsid w:val="5AEA3088"/>
    <w:rsid w:val="5AEA7992"/>
    <w:rsid w:val="5AEEDC54"/>
    <w:rsid w:val="5AF73F22"/>
    <w:rsid w:val="5AF76E8D"/>
    <w:rsid w:val="5AF85592"/>
    <w:rsid w:val="5B008B5F"/>
    <w:rsid w:val="5B00F6B4"/>
    <w:rsid w:val="5B01AB96"/>
    <w:rsid w:val="5B0224C9"/>
    <w:rsid w:val="5B074A2A"/>
    <w:rsid w:val="5B09D7F0"/>
    <w:rsid w:val="5B0ACF7E"/>
    <w:rsid w:val="5B0E97D5"/>
    <w:rsid w:val="5B0FC57B"/>
    <w:rsid w:val="5B12B8A3"/>
    <w:rsid w:val="5B13E98E"/>
    <w:rsid w:val="5B19AC85"/>
    <w:rsid w:val="5B1B712F"/>
    <w:rsid w:val="5B2187BA"/>
    <w:rsid w:val="5B33E0F9"/>
    <w:rsid w:val="5B36FB9A"/>
    <w:rsid w:val="5B3926F0"/>
    <w:rsid w:val="5B397C19"/>
    <w:rsid w:val="5B3BCDD7"/>
    <w:rsid w:val="5B3EE30B"/>
    <w:rsid w:val="5B40E917"/>
    <w:rsid w:val="5B4217D6"/>
    <w:rsid w:val="5B493D2E"/>
    <w:rsid w:val="5B4A84E2"/>
    <w:rsid w:val="5B534B95"/>
    <w:rsid w:val="5B54841F"/>
    <w:rsid w:val="5B5BBCAB"/>
    <w:rsid w:val="5B63A1F7"/>
    <w:rsid w:val="5B66F2D2"/>
    <w:rsid w:val="5B6767B7"/>
    <w:rsid w:val="5B6D63C6"/>
    <w:rsid w:val="5B702D3E"/>
    <w:rsid w:val="5B71AA7F"/>
    <w:rsid w:val="5B732BC7"/>
    <w:rsid w:val="5B79A008"/>
    <w:rsid w:val="5B7FC561"/>
    <w:rsid w:val="5B8309AA"/>
    <w:rsid w:val="5B8B3608"/>
    <w:rsid w:val="5B8F07FB"/>
    <w:rsid w:val="5B9743EB"/>
    <w:rsid w:val="5B991691"/>
    <w:rsid w:val="5B9D1E87"/>
    <w:rsid w:val="5B9D5FCA"/>
    <w:rsid w:val="5BA00A4E"/>
    <w:rsid w:val="5BA67147"/>
    <w:rsid w:val="5BAAD949"/>
    <w:rsid w:val="5BAF3292"/>
    <w:rsid w:val="5BB2F7DC"/>
    <w:rsid w:val="5BB6C3F9"/>
    <w:rsid w:val="5BB73328"/>
    <w:rsid w:val="5BB87270"/>
    <w:rsid w:val="5BB9DB63"/>
    <w:rsid w:val="5BBEADDD"/>
    <w:rsid w:val="5BC60A18"/>
    <w:rsid w:val="5BC86310"/>
    <w:rsid w:val="5BCAB20D"/>
    <w:rsid w:val="5BCD141F"/>
    <w:rsid w:val="5BCF71AB"/>
    <w:rsid w:val="5BD35497"/>
    <w:rsid w:val="5BD54B44"/>
    <w:rsid w:val="5BD83C16"/>
    <w:rsid w:val="5BDF9A39"/>
    <w:rsid w:val="5BE001BD"/>
    <w:rsid w:val="5BE100E6"/>
    <w:rsid w:val="5BE11EF6"/>
    <w:rsid w:val="5BE5FB5D"/>
    <w:rsid w:val="5BE6769A"/>
    <w:rsid w:val="5BED007E"/>
    <w:rsid w:val="5BEFBFFF"/>
    <w:rsid w:val="5BF148E9"/>
    <w:rsid w:val="5BF3465F"/>
    <w:rsid w:val="5BF36232"/>
    <w:rsid w:val="5BF5EF6A"/>
    <w:rsid w:val="5C01029E"/>
    <w:rsid w:val="5C0313B2"/>
    <w:rsid w:val="5C04B23F"/>
    <w:rsid w:val="5C04D44D"/>
    <w:rsid w:val="5C080243"/>
    <w:rsid w:val="5C09F832"/>
    <w:rsid w:val="5C0DEFC1"/>
    <w:rsid w:val="5C1378F8"/>
    <w:rsid w:val="5C16CC4A"/>
    <w:rsid w:val="5C17CC57"/>
    <w:rsid w:val="5C218978"/>
    <w:rsid w:val="5C226A1E"/>
    <w:rsid w:val="5C245C3A"/>
    <w:rsid w:val="5C25FB57"/>
    <w:rsid w:val="5C2731D0"/>
    <w:rsid w:val="5C3285A4"/>
    <w:rsid w:val="5C3296A8"/>
    <w:rsid w:val="5C3301CF"/>
    <w:rsid w:val="5C333219"/>
    <w:rsid w:val="5C3460F8"/>
    <w:rsid w:val="5C37C82B"/>
    <w:rsid w:val="5C4189A6"/>
    <w:rsid w:val="5C460B30"/>
    <w:rsid w:val="5C53776B"/>
    <w:rsid w:val="5C53F8AB"/>
    <w:rsid w:val="5C572FD8"/>
    <w:rsid w:val="5C5AD379"/>
    <w:rsid w:val="5C5DFDCE"/>
    <w:rsid w:val="5C6A3C6F"/>
    <w:rsid w:val="5C6FE373"/>
    <w:rsid w:val="5C74A810"/>
    <w:rsid w:val="5C776D2F"/>
    <w:rsid w:val="5C7A5D4C"/>
    <w:rsid w:val="5C7CAFF0"/>
    <w:rsid w:val="5C7CDB86"/>
    <w:rsid w:val="5C7D25CF"/>
    <w:rsid w:val="5C7E4A09"/>
    <w:rsid w:val="5C847E57"/>
    <w:rsid w:val="5C850AD9"/>
    <w:rsid w:val="5C858D3B"/>
    <w:rsid w:val="5C85F78A"/>
    <w:rsid w:val="5C8AC910"/>
    <w:rsid w:val="5C9757D6"/>
    <w:rsid w:val="5C97E506"/>
    <w:rsid w:val="5C9AC37E"/>
    <w:rsid w:val="5C9C18D5"/>
    <w:rsid w:val="5C9CEBCA"/>
    <w:rsid w:val="5CA33733"/>
    <w:rsid w:val="5CA55F29"/>
    <w:rsid w:val="5CAD0F88"/>
    <w:rsid w:val="5CADAA14"/>
    <w:rsid w:val="5CAE293D"/>
    <w:rsid w:val="5CB1E2D8"/>
    <w:rsid w:val="5CBE56CB"/>
    <w:rsid w:val="5CCAFCC8"/>
    <w:rsid w:val="5CD26572"/>
    <w:rsid w:val="5CD9E91E"/>
    <w:rsid w:val="5CDD2D71"/>
    <w:rsid w:val="5CE47C1A"/>
    <w:rsid w:val="5CE9E78C"/>
    <w:rsid w:val="5CEC001D"/>
    <w:rsid w:val="5CED7776"/>
    <w:rsid w:val="5CED78C5"/>
    <w:rsid w:val="5CED969D"/>
    <w:rsid w:val="5CF24519"/>
    <w:rsid w:val="5CF287F3"/>
    <w:rsid w:val="5CF3FE5A"/>
    <w:rsid w:val="5CF41B30"/>
    <w:rsid w:val="5CFA23FC"/>
    <w:rsid w:val="5CFEAAFB"/>
    <w:rsid w:val="5D027AE6"/>
    <w:rsid w:val="5D05560E"/>
    <w:rsid w:val="5D0DDC29"/>
    <w:rsid w:val="5D0FC973"/>
    <w:rsid w:val="5D19AD73"/>
    <w:rsid w:val="5D19B710"/>
    <w:rsid w:val="5D1B4996"/>
    <w:rsid w:val="5D1D32FB"/>
    <w:rsid w:val="5D219755"/>
    <w:rsid w:val="5D248EE5"/>
    <w:rsid w:val="5D25C7BD"/>
    <w:rsid w:val="5D2743D7"/>
    <w:rsid w:val="5D304781"/>
    <w:rsid w:val="5D42DC0E"/>
    <w:rsid w:val="5D45CB05"/>
    <w:rsid w:val="5D474D1B"/>
    <w:rsid w:val="5D4E1C35"/>
    <w:rsid w:val="5D4E93E2"/>
    <w:rsid w:val="5D4F26F2"/>
    <w:rsid w:val="5D54A3C9"/>
    <w:rsid w:val="5D54ED80"/>
    <w:rsid w:val="5D63520D"/>
    <w:rsid w:val="5D672CF8"/>
    <w:rsid w:val="5D67BB8E"/>
    <w:rsid w:val="5D68D9DE"/>
    <w:rsid w:val="5D6D134E"/>
    <w:rsid w:val="5D77F1D6"/>
    <w:rsid w:val="5D7A57C9"/>
    <w:rsid w:val="5D8076BC"/>
    <w:rsid w:val="5D868E23"/>
    <w:rsid w:val="5D871237"/>
    <w:rsid w:val="5D87E782"/>
    <w:rsid w:val="5D8F9A2E"/>
    <w:rsid w:val="5D93F68F"/>
    <w:rsid w:val="5D95D60D"/>
    <w:rsid w:val="5DA18B48"/>
    <w:rsid w:val="5DA1F9C7"/>
    <w:rsid w:val="5DA584D6"/>
    <w:rsid w:val="5DB05A30"/>
    <w:rsid w:val="5DB651A8"/>
    <w:rsid w:val="5DB74E95"/>
    <w:rsid w:val="5DB8F241"/>
    <w:rsid w:val="5DBA9C4E"/>
    <w:rsid w:val="5DBECC4E"/>
    <w:rsid w:val="5DC138D5"/>
    <w:rsid w:val="5DC33D63"/>
    <w:rsid w:val="5DC6ADA4"/>
    <w:rsid w:val="5DD806A0"/>
    <w:rsid w:val="5DD9E65D"/>
    <w:rsid w:val="5DDBFCA1"/>
    <w:rsid w:val="5DE1B570"/>
    <w:rsid w:val="5DE41DC4"/>
    <w:rsid w:val="5DE63315"/>
    <w:rsid w:val="5DE984DC"/>
    <w:rsid w:val="5DF4E176"/>
    <w:rsid w:val="5DF52080"/>
    <w:rsid w:val="5DF736F1"/>
    <w:rsid w:val="5E0069DC"/>
    <w:rsid w:val="5E032B2B"/>
    <w:rsid w:val="5E03DDC5"/>
    <w:rsid w:val="5E051C52"/>
    <w:rsid w:val="5E05F8E7"/>
    <w:rsid w:val="5E08C21D"/>
    <w:rsid w:val="5E1168A0"/>
    <w:rsid w:val="5E201D3E"/>
    <w:rsid w:val="5E236024"/>
    <w:rsid w:val="5E244A56"/>
    <w:rsid w:val="5E2B8C02"/>
    <w:rsid w:val="5E2E4611"/>
    <w:rsid w:val="5E2EF859"/>
    <w:rsid w:val="5E31E294"/>
    <w:rsid w:val="5E34B7CC"/>
    <w:rsid w:val="5E3507C9"/>
    <w:rsid w:val="5E35FB0E"/>
    <w:rsid w:val="5E3C386F"/>
    <w:rsid w:val="5E45B4AB"/>
    <w:rsid w:val="5E4C2B3E"/>
    <w:rsid w:val="5E4D5E4F"/>
    <w:rsid w:val="5E4D8096"/>
    <w:rsid w:val="5E4EDEB4"/>
    <w:rsid w:val="5E4FBCD0"/>
    <w:rsid w:val="5E507DF7"/>
    <w:rsid w:val="5E517CB4"/>
    <w:rsid w:val="5E5429D6"/>
    <w:rsid w:val="5E545BE8"/>
    <w:rsid w:val="5E5DC839"/>
    <w:rsid w:val="5E617F10"/>
    <w:rsid w:val="5E63A9EE"/>
    <w:rsid w:val="5E69FECE"/>
    <w:rsid w:val="5E6A0A63"/>
    <w:rsid w:val="5E75A599"/>
    <w:rsid w:val="5E75CD20"/>
    <w:rsid w:val="5E783B79"/>
    <w:rsid w:val="5E7FFDB6"/>
    <w:rsid w:val="5E81A438"/>
    <w:rsid w:val="5E84C9D2"/>
    <w:rsid w:val="5E8A71A0"/>
    <w:rsid w:val="5E92EC07"/>
    <w:rsid w:val="5E9307B5"/>
    <w:rsid w:val="5E9EF078"/>
    <w:rsid w:val="5EA175AC"/>
    <w:rsid w:val="5EA43615"/>
    <w:rsid w:val="5EA94671"/>
    <w:rsid w:val="5EACC3FB"/>
    <w:rsid w:val="5EAF5740"/>
    <w:rsid w:val="5EB4EC60"/>
    <w:rsid w:val="5EB532C5"/>
    <w:rsid w:val="5EB69477"/>
    <w:rsid w:val="5EB80C12"/>
    <w:rsid w:val="5EBDE288"/>
    <w:rsid w:val="5EBEBED7"/>
    <w:rsid w:val="5EC05F46"/>
    <w:rsid w:val="5EC92460"/>
    <w:rsid w:val="5ED1707A"/>
    <w:rsid w:val="5ED52C1F"/>
    <w:rsid w:val="5ED9B829"/>
    <w:rsid w:val="5EE2E4F8"/>
    <w:rsid w:val="5EE97C33"/>
    <w:rsid w:val="5EF42F30"/>
    <w:rsid w:val="5EF5D4FC"/>
    <w:rsid w:val="5EFACDF4"/>
    <w:rsid w:val="5EFDCF1B"/>
    <w:rsid w:val="5EFDE036"/>
    <w:rsid w:val="5F000730"/>
    <w:rsid w:val="5F01713E"/>
    <w:rsid w:val="5F05ACF3"/>
    <w:rsid w:val="5F147F52"/>
    <w:rsid w:val="5F17AC87"/>
    <w:rsid w:val="5F1E8453"/>
    <w:rsid w:val="5F21F859"/>
    <w:rsid w:val="5F273F06"/>
    <w:rsid w:val="5F2B8D23"/>
    <w:rsid w:val="5F2F9031"/>
    <w:rsid w:val="5F403B3D"/>
    <w:rsid w:val="5F4057FB"/>
    <w:rsid w:val="5F40A001"/>
    <w:rsid w:val="5F414AC8"/>
    <w:rsid w:val="5F443C39"/>
    <w:rsid w:val="5F44FB3D"/>
    <w:rsid w:val="5F4595D7"/>
    <w:rsid w:val="5F48DA36"/>
    <w:rsid w:val="5F4F1932"/>
    <w:rsid w:val="5F4F4651"/>
    <w:rsid w:val="5F509F80"/>
    <w:rsid w:val="5F56D5C3"/>
    <w:rsid w:val="5F5A31CD"/>
    <w:rsid w:val="5F613F68"/>
    <w:rsid w:val="5F633E5B"/>
    <w:rsid w:val="5F64C2EE"/>
    <w:rsid w:val="5F6BBF31"/>
    <w:rsid w:val="5F6FF491"/>
    <w:rsid w:val="5F78C0D0"/>
    <w:rsid w:val="5F79F78C"/>
    <w:rsid w:val="5F7C2DA4"/>
    <w:rsid w:val="5F7C51F9"/>
    <w:rsid w:val="5F824E17"/>
    <w:rsid w:val="5F859120"/>
    <w:rsid w:val="5F8AC85E"/>
    <w:rsid w:val="5F8CC60E"/>
    <w:rsid w:val="5F8DF87D"/>
    <w:rsid w:val="5F8E57F9"/>
    <w:rsid w:val="5F9B1307"/>
    <w:rsid w:val="5F9E5FEF"/>
    <w:rsid w:val="5FA06B35"/>
    <w:rsid w:val="5FA3987D"/>
    <w:rsid w:val="5FA458D6"/>
    <w:rsid w:val="5FA53831"/>
    <w:rsid w:val="5FA6F4D0"/>
    <w:rsid w:val="5FAAFDD4"/>
    <w:rsid w:val="5FB42239"/>
    <w:rsid w:val="5FB8838A"/>
    <w:rsid w:val="5FBA5620"/>
    <w:rsid w:val="5FBCBEA8"/>
    <w:rsid w:val="5FBE8CB0"/>
    <w:rsid w:val="5FC3E429"/>
    <w:rsid w:val="5FC4ED86"/>
    <w:rsid w:val="5FC60274"/>
    <w:rsid w:val="5FC7A9AA"/>
    <w:rsid w:val="5FC9EFA9"/>
    <w:rsid w:val="5FCBABF5"/>
    <w:rsid w:val="5FCFE507"/>
    <w:rsid w:val="5FD29388"/>
    <w:rsid w:val="5FD5315F"/>
    <w:rsid w:val="5FDA5E8C"/>
    <w:rsid w:val="5FDB4F95"/>
    <w:rsid w:val="5FDF250E"/>
    <w:rsid w:val="5FE0B36C"/>
    <w:rsid w:val="5FE13EA9"/>
    <w:rsid w:val="5FE61EEA"/>
    <w:rsid w:val="5FE70471"/>
    <w:rsid w:val="5FE998E7"/>
    <w:rsid w:val="5FEB7396"/>
    <w:rsid w:val="5FED2C43"/>
    <w:rsid w:val="5FEF77D1"/>
    <w:rsid w:val="5FF017D1"/>
    <w:rsid w:val="5FF2C4E4"/>
    <w:rsid w:val="5FF3471A"/>
    <w:rsid w:val="5FF3AC4A"/>
    <w:rsid w:val="5FF915F0"/>
    <w:rsid w:val="5FFB3B85"/>
    <w:rsid w:val="6004AEFA"/>
    <w:rsid w:val="60052E57"/>
    <w:rsid w:val="60063A10"/>
    <w:rsid w:val="6006655F"/>
    <w:rsid w:val="600743AF"/>
    <w:rsid w:val="60075AA9"/>
    <w:rsid w:val="600C9836"/>
    <w:rsid w:val="6013C23D"/>
    <w:rsid w:val="6024FCDD"/>
    <w:rsid w:val="60274AB6"/>
    <w:rsid w:val="60297B30"/>
    <w:rsid w:val="602D63C8"/>
    <w:rsid w:val="60319B8C"/>
    <w:rsid w:val="60349349"/>
    <w:rsid w:val="60373147"/>
    <w:rsid w:val="6038D612"/>
    <w:rsid w:val="603A5EC3"/>
    <w:rsid w:val="603F09E5"/>
    <w:rsid w:val="6041615D"/>
    <w:rsid w:val="6041CC92"/>
    <w:rsid w:val="6045CFF0"/>
    <w:rsid w:val="604A0A05"/>
    <w:rsid w:val="604CD73F"/>
    <w:rsid w:val="604CD8C7"/>
    <w:rsid w:val="604FB6FE"/>
    <w:rsid w:val="605A0872"/>
    <w:rsid w:val="605A2DF6"/>
    <w:rsid w:val="605F473E"/>
    <w:rsid w:val="606765AF"/>
    <w:rsid w:val="606768C4"/>
    <w:rsid w:val="606838B5"/>
    <w:rsid w:val="60698E93"/>
    <w:rsid w:val="606B589A"/>
    <w:rsid w:val="6079E45F"/>
    <w:rsid w:val="6079FDAF"/>
    <w:rsid w:val="607F59DB"/>
    <w:rsid w:val="60826682"/>
    <w:rsid w:val="60828A9C"/>
    <w:rsid w:val="6084E1B1"/>
    <w:rsid w:val="6085ED31"/>
    <w:rsid w:val="6088D383"/>
    <w:rsid w:val="608915A6"/>
    <w:rsid w:val="608BB8DA"/>
    <w:rsid w:val="608BC4BF"/>
    <w:rsid w:val="608D73BF"/>
    <w:rsid w:val="608F992E"/>
    <w:rsid w:val="6093E35D"/>
    <w:rsid w:val="6093E3D3"/>
    <w:rsid w:val="60945D3E"/>
    <w:rsid w:val="6095C9BB"/>
    <w:rsid w:val="6095CAF0"/>
    <w:rsid w:val="609605E3"/>
    <w:rsid w:val="609D85B6"/>
    <w:rsid w:val="609EA5D8"/>
    <w:rsid w:val="60A55B47"/>
    <w:rsid w:val="60AADBE1"/>
    <w:rsid w:val="60AB8841"/>
    <w:rsid w:val="60BBE943"/>
    <w:rsid w:val="60BDCC3E"/>
    <w:rsid w:val="60C46576"/>
    <w:rsid w:val="60C54303"/>
    <w:rsid w:val="60C576AF"/>
    <w:rsid w:val="60C79D07"/>
    <w:rsid w:val="60C8689E"/>
    <w:rsid w:val="60CA5CC0"/>
    <w:rsid w:val="60CD0ED4"/>
    <w:rsid w:val="60DA669E"/>
    <w:rsid w:val="60DF9AC4"/>
    <w:rsid w:val="60E52A07"/>
    <w:rsid w:val="60E55E73"/>
    <w:rsid w:val="60E7BE92"/>
    <w:rsid w:val="60E8CFE6"/>
    <w:rsid w:val="60EA8C1C"/>
    <w:rsid w:val="60EAE64E"/>
    <w:rsid w:val="60EDE50B"/>
    <w:rsid w:val="60F14205"/>
    <w:rsid w:val="60F22AB2"/>
    <w:rsid w:val="60F2F49C"/>
    <w:rsid w:val="60F42073"/>
    <w:rsid w:val="60F42A70"/>
    <w:rsid w:val="60F570E4"/>
    <w:rsid w:val="60F617FD"/>
    <w:rsid w:val="60F9D377"/>
    <w:rsid w:val="60FB6175"/>
    <w:rsid w:val="6100247A"/>
    <w:rsid w:val="61027C44"/>
    <w:rsid w:val="6109D3D5"/>
    <w:rsid w:val="610A6FB5"/>
    <w:rsid w:val="610B1F8C"/>
    <w:rsid w:val="610CAD5A"/>
    <w:rsid w:val="6111347D"/>
    <w:rsid w:val="61121AD5"/>
    <w:rsid w:val="6115A3E8"/>
    <w:rsid w:val="6115C19B"/>
    <w:rsid w:val="611AC625"/>
    <w:rsid w:val="611CB837"/>
    <w:rsid w:val="611E84CB"/>
    <w:rsid w:val="611EA736"/>
    <w:rsid w:val="61297FA4"/>
    <w:rsid w:val="612A88D1"/>
    <w:rsid w:val="6132C0B7"/>
    <w:rsid w:val="61383875"/>
    <w:rsid w:val="613B59A4"/>
    <w:rsid w:val="6142335D"/>
    <w:rsid w:val="6145A764"/>
    <w:rsid w:val="6147E7C4"/>
    <w:rsid w:val="614D1D85"/>
    <w:rsid w:val="614DB94E"/>
    <w:rsid w:val="61549A49"/>
    <w:rsid w:val="6157565F"/>
    <w:rsid w:val="615B0064"/>
    <w:rsid w:val="61604AA7"/>
    <w:rsid w:val="616146EB"/>
    <w:rsid w:val="61689847"/>
    <w:rsid w:val="6169F625"/>
    <w:rsid w:val="616C698F"/>
    <w:rsid w:val="616FB858"/>
    <w:rsid w:val="617541C0"/>
    <w:rsid w:val="6176B507"/>
    <w:rsid w:val="61810EC6"/>
    <w:rsid w:val="6181764E"/>
    <w:rsid w:val="6181C735"/>
    <w:rsid w:val="6185029A"/>
    <w:rsid w:val="6186A8EE"/>
    <w:rsid w:val="618709EA"/>
    <w:rsid w:val="61878BE5"/>
    <w:rsid w:val="6188ABC9"/>
    <w:rsid w:val="6188E0FF"/>
    <w:rsid w:val="61915D35"/>
    <w:rsid w:val="61923C64"/>
    <w:rsid w:val="6199A47F"/>
    <w:rsid w:val="619A81F1"/>
    <w:rsid w:val="619E6885"/>
    <w:rsid w:val="61A4BCC3"/>
    <w:rsid w:val="61AAE0EF"/>
    <w:rsid w:val="61ADC474"/>
    <w:rsid w:val="61B5FC9C"/>
    <w:rsid w:val="61B934DB"/>
    <w:rsid w:val="61B9453C"/>
    <w:rsid w:val="61BCC0ED"/>
    <w:rsid w:val="61C6B64B"/>
    <w:rsid w:val="61C7F266"/>
    <w:rsid w:val="61CBE045"/>
    <w:rsid w:val="61D32A7B"/>
    <w:rsid w:val="61D35F36"/>
    <w:rsid w:val="61D980EB"/>
    <w:rsid w:val="61DE75F2"/>
    <w:rsid w:val="61DFF1DD"/>
    <w:rsid w:val="61E17ADE"/>
    <w:rsid w:val="61E2C0D6"/>
    <w:rsid w:val="61E31495"/>
    <w:rsid w:val="61E6F802"/>
    <w:rsid w:val="61F03F9F"/>
    <w:rsid w:val="61F495E3"/>
    <w:rsid w:val="61F6D8ED"/>
    <w:rsid w:val="61F7A9E1"/>
    <w:rsid w:val="61FAB4FA"/>
    <w:rsid w:val="61FB9BDA"/>
    <w:rsid w:val="61FF86EE"/>
    <w:rsid w:val="620D66A9"/>
    <w:rsid w:val="620F3E11"/>
    <w:rsid w:val="6213B7AD"/>
    <w:rsid w:val="6219F49A"/>
    <w:rsid w:val="621C8D90"/>
    <w:rsid w:val="621D5E7F"/>
    <w:rsid w:val="62207BA1"/>
    <w:rsid w:val="6220DB5C"/>
    <w:rsid w:val="622491DB"/>
    <w:rsid w:val="622654F2"/>
    <w:rsid w:val="6228B204"/>
    <w:rsid w:val="6230167A"/>
    <w:rsid w:val="62328DD8"/>
    <w:rsid w:val="623295F2"/>
    <w:rsid w:val="623A66F2"/>
    <w:rsid w:val="623B1F6A"/>
    <w:rsid w:val="623F99CD"/>
    <w:rsid w:val="624179FA"/>
    <w:rsid w:val="62420957"/>
    <w:rsid w:val="624BFDE2"/>
    <w:rsid w:val="62585C0F"/>
    <w:rsid w:val="6259DEBE"/>
    <w:rsid w:val="62651B25"/>
    <w:rsid w:val="626B0B2C"/>
    <w:rsid w:val="626C4B82"/>
    <w:rsid w:val="626DD13B"/>
    <w:rsid w:val="6274F924"/>
    <w:rsid w:val="6277344D"/>
    <w:rsid w:val="6278F17E"/>
    <w:rsid w:val="62799B09"/>
    <w:rsid w:val="627BB624"/>
    <w:rsid w:val="627CDE21"/>
    <w:rsid w:val="627F3FF6"/>
    <w:rsid w:val="6281BFAD"/>
    <w:rsid w:val="62835706"/>
    <w:rsid w:val="62852F78"/>
    <w:rsid w:val="628B7ED2"/>
    <w:rsid w:val="629061DF"/>
    <w:rsid w:val="6294B1BA"/>
    <w:rsid w:val="6296E44C"/>
    <w:rsid w:val="62A01B23"/>
    <w:rsid w:val="62A13092"/>
    <w:rsid w:val="62A32217"/>
    <w:rsid w:val="62A49B95"/>
    <w:rsid w:val="62A575DE"/>
    <w:rsid w:val="62A8F027"/>
    <w:rsid w:val="62AC1F41"/>
    <w:rsid w:val="62B3312A"/>
    <w:rsid w:val="62B4AAF5"/>
    <w:rsid w:val="62BCA3D1"/>
    <w:rsid w:val="62BE7505"/>
    <w:rsid w:val="62BEB464"/>
    <w:rsid w:val="62C17DC7"/>
    <w:rsid w:val="62C2DB9E"/>
    <w:rsid w:val="62C6104F"/>
    <w:rsid w:val="62C95C65"/>
    <w:rsid w:val="62C997C5"/>
    <w:rsid w:val="62D3A2A2"/>
    <w:rsid w:val="62DE0705"/>
    <w:rsid w:val="62E06C0D"/>
    <w:rsid w:val="62E2F4BA"/>
    <w:rsid w:val="62E530EA"/>
    <w:rsid w:val="62E6BD66"/>
    <w:rsid w:val="62EC1AC4"/>
    <w:rsid w:val="62EF28F3"/>
    <w:rsid w:val="62F18286"/>
    <w:rsid w:val="62F3AA6D"/>
    <w:rsid w:val="62F5A095"/>
    <w:rsid w:val="62F5DAA5"/>
    <w:rsid w:val="62F867BA"/>
    <w:rsid w:val="62FA8568"/>
    <w:rsid w:val="62FCE44B"/>
    <w:rsid w:val="62FE7627"/>
    <w:rsid w:val="6306B6B9"/>
    <w:rsid w:val="630B91BF"/>
    <w:rsid w:val="631CD044"/>
    <w:rsid w:val="631E4D70"/>
    <w:rsid w:val="63254608"/>
    <w:rsid w:val="632737F3"/>
    <w:rsid w:val="63273C29"/>
    <w:rsid w:val="6329DF37"/>
    <w:rsid w:val="63398B2B"/>
    <w:rsid w:val="6342C744"/>
    <w:rsid w:val="63470BFB"/>
    <w:rsid w:val="63470D67"/>
    <w:rsid w:val="634E8ACD"/>
    <w:rsid w:val="6350B32B"/>
    <w:rsid w:val="63550949"/>
    <w:rsid w:val="6355E311"/>
    <w:rsid w:val="63573A61"/>
    <w:rsid w:val="635B54EF"/>
    <w:rsid w:val="635F6A23"/>
    <w:rsid w:val="636432A2"/>
    <w:rsid w:val="6365B5F0"/>
    <w:rsid w:val="636727B6"/>
    <w:rsid w:val="636BB922"/>
    <w:rsid w:val="636E5CB4"/>
    <w:rsid w:val="636ED2DB"/>
    <w:rsid w:val="636FC552"/>
    <w:rsid w:val="6371A025"/>
    <w:rsid w:val="637938AB"/>
    <w:rsid w:val="6379F8EB"/>
    <w:rsid w:val="637D128B"/>
    <w:rsid w:val="637FA2C5"/>
    <w:rsid w:val="6382298D"/>
    <w:rsid w:val="6382463D"/>
    <w:rsid w:val="6384E398"/>
    <w:rsid w:val="63869B69"/>
    <w:rsid w:val="638863D5"/>
    <w:rsid w:val="639F2B2A"/>
    <w:rsid w:val="639F417C"/>
    <w:rsid w:val="63A54690"/>
    <w:rsid w:val="63AA1AB6"/>
    <w:rsid w:val="63ABF4BB"/>
    <w:rsid w:val="63ADA392"/>
    <w:rsid w:val="63B11471"/>
    <w:rsid w:val="63B4FF00"/>
    <w:rsid w:val="63C14BD2"/>
    <w:rsid w:val="63C1EC05"/>
    <w:rsid w:val="63C9A084"/>
    <w:rsid w:val="63C9FF93"/>
    <w:rsid w:val="63CD3640"/>
    <w:rsid w:val="63D16CBB"/>
    <w:rsid w:val="63D19A1B"/>
    <w:rsid w:val="63D40679"/>
    <w:rsid w:val="63D4246A"/>
    <w:rsid w:val="63D5532A"/>
    <w:rsid w:val="63D68F3D"/>
    <w:rsid w:val="63D6EB04"/>
    <w:rsid w:val="63D8D6D1"/>
    <w:rsid w:val="63DE9E55"/>
    <w:rsid w:val="63E54506"/>
    <w:rsid w:val="63EF4217"/>
    <w:rsid w:val="63F1DB8F"/>
    <w:rsid w:val="63F2760A"/>
    <w:rsid w:val="63F9C2D4"/>
    <w:rsid w:val="64068F9D"/>
    <w:rsid w:val="6409C682"/>
    <w:rsid w:val="640CD61B"/>
    <w:rsid w:val="641044E4"/>
    <w:rsid w:val="641334CD"/>
    <w:rsid w:val="6415DA0A"/>
    <w:rsid w:val="64185224"/>
    <w:rsid w:val="641F0A40"/>
    <w:rsid w:val="642349E5"/>
    <w:rsid w:val="64252643"/>
    <w:rsid w:val="6426995E"/>
    <w:rsid w:val="642A3151"/>
    <w:rsid w:val="642B97C2"/>
    <w:rsid w:val="64328941"/>
    <w:rsid w:val="6435D491"/>
    <w:rsid w:val="6439D6ED"/>
    <w:rsid w:val="643A783A"/>
    <w:rsid w:val="644411D6"/>
    <w:rsid w:val="6444A6E7"/>
    <w:rsid w:val="6445233A"/>
    <w:rsid w:val="644A5216"/>
    <w:rsid w:val="644C7597"/>
    <w:rsid w:val="644D856A"/>
    <w:rsid w:val="645766F1"/>
    <w:rsid w:val="64587C43"/>
    <w:rsid w:val="6458A58B"/>
    <w:rsid w:val="645BD48F"/>
    <w:rsid w:val="645F42B6"/>
    <w:rsid w:val="645FD0F5"/>
    <w:rsid w:val="6461FB14"/>
    <w:rsid w:val="64627948"/>
    <w:rsid w:val="6462E2A2"/>
    <w:rsid w:val="6467AEC3"/>
    <w:rsid w:val="646D9C8F"/>
    <w:rsid w:val="646DA9D8"/>
    <w:rsid w:val="646EFF8F"/>
    <w:rsid w:val="64760B85"/>
    <w:rsid w:val="64780205"/>
    <w:rsid w:val="647A8EC1"/>
    <w:rsid w:val="647EEBE0"/>
    <w:rsid w:val="647F03C6"/>
    <w:rsid w:val="647F6A4D"/>
    <w:rsid w:val="647FE99B"/>
    <w:rsid w:val="6480B3CC"/>
    <w:rsid w:val="6482288F"/>
    <w:rsid w:val="6484671A"/>
    <w:rsid w:val="6485A537"/>
    <w:rsid w:val="648637A1"/>
    <w:rsid w:val="648676A1"/>
    <w:rsid w:val="648A3378"/>
    <w:rsid w:val="648A7E1E"/>
    <w:rsid w:val="648E1AAD"/>
    <w:rsid w:val="648FB315"/>
    <w:rsid w:val="64901540"/>
    <w:rsid w:val="64978F69"/>
    <w:rsid w:val="64994CEA"/>
    <w:rsid w:val="649D6E54"/>
    <w:rsid w:val="649F1536"/>
    <w:rsid w:val="64A3D3EA"/>
    <w:rsid w:val="64A9A37B"/>
    <w:rsid w:val="64AA804A"/>
    <w:rsid w:val="64B0DD6D"/>
    <w:rsid w:val="64B3F1A3"/>
    <w:rsid w:val="64B7F17D"/>
    <w:rsid w:val="64B8A6C8"/>
    <w:rsid w:val="64BAA355"/>
    <w:rsid w:val="64BB3FFD"/>
    <w:rsid w:val="64C02E07"/>
    <w:rsid w:val="64C12F81"/>
    <w:rsid w:val="64C612FA"/>
    <w:rsid w:val="64C6EF11"/>
    <w:rsid w:val="64C78809"/>
    <w:rsid w:val="64CA579D"/>
    <w:rsid w:val="64CBF404"/>
    <w:rsid w:val="64CC5C8E"/>
    <w:rsid w:val="64CC5CCF"/>
    <w:rsid w:val="64CCE895"/>
    <w:rsid w:val="64D1C0BF"/>
    <w:rsid w:val="64D3531B"/>
    <w:rsid w:val="64D4586D"/>
    <w:rsid w:val="64D75D8B"/>
    <w:rsid w:val="64DDD569"/>
    <w:rsid w:val="64E51706"/>
    <w:rsid w:val="64E6AF7A"/>
    <w:rsid w:val="64EA03CB"/>
    <w:rsid w:val="64EA232E"/>
    <w:rsid w:val="64EB8C5A"/>
    <w:rsid w:val="64F0D057"/>
    <w:rsid w:val="64F5C1A9"/>
    <w:rsid w:val="64F6FB77"/>
    <w:rsid w:val="64FADB90"/>
    <w:rsid w:val="64FEDC5D"/>
    <w:rsid w:val="65054CF1"/>
    <w:rsid w:val="6505A911"/>
    <w:rsid w:val="65074206"/>
    <w:rsid w:val="6510DE33"/>
    <w:rsid w:val="651B893D"/>
    <w:rsid w:val="652F683B"/>
    <w:rsid w:val="653227E0"/>
    <w:rsid w:val="653374CE"/>
    <w:rsid w:val="6533852E"/>
    <w:rsid w:val="6534A6CF"/>
    <w:rsid w:val="6534B571"/>
    <w:rsid w:val="6538193A"/>
    <w:rsid w:val="653CF3A1"/>
    <w:rsid w:val="65405395"/>
    <w:rsid w:val="6543F1FC"/>
    <w:rsid w:val="6544E2CB"/>
    <w:rsid w:val="65466CC7"/>
    <w:rsid w:val="6546DC22"/>
    <w:rsid w:val="654D8C5B"/>
    <w:rsid w:val="6550B2DD"/>
    <w:rsid w:val="6559F52F"/>
    <w:rsid w:val="655F756F"/>
    <w:rsid w:val="6563D193"/>
    <w:rsid w:val="6565AC51"/>
    <w:rsid w:val="65675651"/>
    <w:rsid w:val="656D0401"/>
    <w:rsid w:val="656D4DB2"/>
    <w:rsid w:val="656E056A"/>
    <w:rsid w:val="6573541A"/>
    <w:rsid w:val="6574576B"/>
    <w:rsid w:val="65796BA9"/>
    <w:rsid w:val="65826F61"/>
    <w:rsid w:val="65A26EA7"/>
    <w:rsid w:val="65A3DD56"/>
    <w:rsid w:val="65A43B33"/>
    <w:rsid w:val="65A4FACC"/>
    <w:rsid w:val="65A50A1F"/>
    <w:rsid w:val="65AF22B8"/>
    <w:rsid w:val="65B03317"/>
    <w:rsid w:val="65B0C8F0"/>
    <w:rsid w:val="65B30584"/>
    <w:rsid w:val="65B3C13A"/>
    <w:rsid w:val="65B7DF0A"/>
    <w:rsid w:val="65BE065F"/>
    <w:rsid w:val="65BFEA48"/>
    <w:rsid w:val="65C7845F"/>
    <w:rsid w:val="65CBE48C"/>
    <w:rsid w:val="65CCA81A"/>
    <w:rsid w:val="65CDFA95"/>
    <w:rsid w:val="65D095B9"/>
    <w:rsid w:val="65D60941"/>
    <w:rsid w:val="65D8980B"/>
    <w:rsid w:val="65DE3AF0"/>
    <w:rsid w:val="65DF8993"/>
    <w:rsid w:val="65E3730D"/>
    <w:rsid w:val="65E42D7E"/>
    <w:rsid w:val="65E5CC69"/>
    <w:rsid w:val="65EAE9CA"/>
    <w:rsid w:val="65ED72BD"/>
    <w:rsid w:val="65ED9CBB"/>
    <w:rsid w:val="65F1E3BC"/>
    <w:rsid w:val="65F2C117"/>
    <w:rsid w:val="65FE7FC0"/>
    <w:rsid w:val="66004BCC"/>
    <w:rsid w:val="6606CC57"/>
    <w:rsid w:val="66081363"/>
    <w:rsid w:val="660A0F99"/>
    <w:rsid w:val="660A4B89"/>
    <w:rsid w:val="660A53C4"/>
    <w:rsid w:val="660C2616"/>
    <w:rsid w:val="660F527F"/>
    <w:rsid w:val="660F908B"/>
    <w:rsid w:val="660FA52D"/>
    <w:rsid w:val="66116A55"/>
    <w:rsid w:val="6615CF88"/>
    <w:rsid w:val="661CD3C8"/>
    <w:rsid w:val="661E2EDB"/>
    <w:rsid w:val="66216707"/>
    <w:rsid w:val="662363BD"/>
    <w:rsid w:val="662DE756"/>
    <w:rsid w:val="6635BC62"/>
    <w:rsid w:val="66385B3D"/>
    <w:rsid w:val="663DD2B3"/>
    <w:rsid w:val="663EB506"/>
    <w:rsid w:val="663ECD7A"/>
    <w:rsid w:val="66433D5E"/>
    <w:rsid w:val="66467A04"/>
    <w:rsid w:val="664B8C13"/>
    <w:rsid w:val="664E8080"/>
    <w:rsid w:val="66575BC7"/>
    <w:rsid w:val="665DD0E3"/>
    <w:rsid w:val="66634F05"/>
    <w:rsid w:val="6664A527"/>
    <w:rsid w:val="6665B0E9"/>
    <w:rsid w:val="6666827E"/>
    <w:rsid w:val="6668B739"/>
    <w:rsid w:val="666DC1EB"/>
    <w:rsid w:val="667226B6"/>
    <w:rsid w:val="667A2FE6"/>
    <w:rsid w:val="667D5001"/>
    <w:rsid w:val="66808F7D"/>
    <w:rsid w:val="66820ECC"/>
    <w:rsid w:val="66882F25"/>
    <w:rsid w:val="66889F6F"/>
    <w:rsid w:val="668C5EF2"/>
    <w:rsid w:val="668D2FBB"/>
    <w:rsid w:val="668D316F"/>
    <w:rsid w:val="6691815B"/>
    <w:rsid w:val="6692B7E8"/>
    <w:rsid w:val="669BD191"/>
    <w:rsid w:val="669CA1E7"/>
    <w:rsid w:val="669DFCCC"/>
    <w:rsid w:val="669E3FFE"/>
    <w:rsid w:val="66A5E576"/>
    <w:rsid w:val="66A91C40"/>
    <w:rsid w:val="66AC1314"/>
    <w:rsid w:val="66AC8146"/>
    <w:rsid w:val="66ADD834"/>
    <w:rsid w:val="66B06D8B"/>
    <w:rsid w:val="66B08D15"/>
    <w:rsid w:val="66B23536"/>
    <w:rsid w:val="66B337C0"/>
    <w:rsid w:val="66B38BF7"/>
    <w:rsid w:val="66B441CA"/>
    <w:rsid w:val="66B68E4A"/>
    <w:rsid w:val="66B7C7D6"/>
    <w:rsid w:val="66B9655F"/>
    <w:rsid w:val="66BA065E"/>
    <w:rsid w:val="66BB751E"/>
    <w:rsid w:val="66BD46FB"/>
    <w:rsid w:val="66BE62CF"/>
    <w:rsid w:val="66C099B5"/>
    <w:rsid w:val="66C25FE1"/>
    <w:rsid w:val="66C33277"/>
    <w:rsid w:val="66C3420F"/>
    <w:rsid w:val="66C76882"/>
    <w:rsid w:val="66CAF24C"/>
    <w:rsid w:val="66CAFE46"/>
    <w:rsid w:val="66D07E41"/>
    <w:rsid w:val="66D48FCF"/>
    <w:rsid w:val="66DA3B00"/>
    <w:rsid w:val="66DC321D"/>
    <w:rsid w:val="66E06169"/>
    <w:rsid w:val="66E266BF"/>
    <w:rsid w:val="66EBE28E"/>
    <w:rsid w:val="66EC2061"/>
    <w:rsid w:val="66EDB1B4"/>
    <w:rsid w:val="66F4EEB9"/>
    <w:rsid w:val="66F60026"/>
    <w:rsid w:val="66F7A4C6"/>
    <w:rsid w:val="66F7C753"/>
    <w:rsid w:val="670824EB"/>
    <w:rsid w:val="67090B1A"/>
    <w:rsid w:val="670D529E"/>
    <w:rsid w:val="67154A19"/>
    <w:rsid w:val="671608EC"/>
    <w:rsid w:val="67187FCC"/>
    <w:rsid w:val="6719AD66"/>
    <w:rsid w:val="6719F8BB"/>
    <w:rsid w:val="671DB179"/>
    <w:rsid w:val="67277E17"/>
    <w:rsid w:val="672F799E"/>
    <w:rsid w:val="67303335"/>
    <w:rsid w:val="673123BB"/>
    <w:rsid w:val="67314590"/>
    <w:rsid w:val="673160CF"/>
    <w:rsid w:val="67349E22"/>
    <w:rsid w:val="6736214B"/>
    <w:rsid w:val="67364D53"/>
    <w:rsid w:val="673E13F2"/>
    <w:rsid w:val="673EC325"/>
    <w:rsid w:val="67411534"/>
    <w:rsid w:val="67444C73"/>
    <w:rsid w:val="6745CAA8"/>
    <w:rsid w:val="6749C07D"/>
    <w:rsid w:val="674AB4E7"/>
    <w:rsid w:val="674B7899"/>
    <w:rsid w:val="674C33F7"/>
    <w:rsid w:val="6751367B"/>
    <w:rsid w:val="675139E7"/>
    <w:rsid w:val="6752F709"/>
    <w:rsid w:val="67538D1B"/>
    <w:rsid w:val="6759A3B8"/>
    <w:rsid w:val="675C8A95"/>
    <w:rsid w:val="67638054"/>
    <w:rsid w:val="676CBD2B"/>
    <w:rsid w:val="6772D7CB"/>
    <w:rsid w:val="677485FC"/>
    <w:rsid w:val="6778C67F"/>
    <w:rsid w:val="677AB3DC"/>
    <w:rsid w:val="677E0838"/>
    <w:rsid w:val="678116D5"/>
    <w:rsid w:val="67872745"/>
    <w:rsid w:val="67879DCF"/>
    <w:rsid w:val="678E046A"/>
    <w:rsid w:val="679229D0"/>
    <w:rsid w:val="6794A2CB"/>
    <w:rsid w:val="6794E98C"/>
    <w:rsid w:val="6797AB8B"/>
    <w:rsid w:val="6797D6A5"/>
    <w:rsid w:val="6797ED82"/>
    <w:rsid w:val="679E69AE"/>
    <w:rsid w:val="67A4144E"/>
    <w:rsid w:val="67AA25E6"/>
    <w:rsid w:val="67AAD088"/>
    <w:rsid w:val="67AEBC44"/>
    <w:rsid w:val="67B07D39"/>
    <w:rsid w:val="67B4673C"/>
    <w:rsid w:val="67B7D16B"/>
    <w:rsid w:val="67BAF712"/>
    <w:rsid w:val="67BC0579"/>
    <w:rsid w:val="67BC6F34"/>
    <w:rsid w:val="67BD1484"/>
    <w:rsid w:val="67C04B58"/>
    <w:rsid w:val="67C6B165"/>
    <w:rsid w:val="67CAA5E7"/>
    <w:rsid w:val="67CB3F30"/>
    <w:rsid w:val="67CD8CD6"/>
    <w:rsid w:val="67D0987C"/>
    <w:rsid w:val="67D1729B"/>
    <w:rsid w:val="67DC03A0"/>
    <w:rsid w:val="67DE3F8A"/>
    <w:rsid w:val="67DEFF62"/>
    <w:rsid w:val="67EA2278"/>
    <w:rsid w:val="67EAC1A4"/>
    <w:rsid w:val="67ED819D"/>
    <w:rsid w:val="67F04551"/>
    <w:rsid w:val="67F365AF"/>
    <w:rsid w:val="67F97B42"/>
    <w:rsid w:val="67F97CB3"/>
    <w:rsid w:val="67FAFD1E"/>
    <w:rsid w:val="67FE7B1C"/>
    <w:rsid w:val="67FF88AC"/>
    <w:rsid w:val="68029081"/>
    <w:rsid w:val="6807868E"/>
    <w:rsid w:val="680A0DC8"/>
    <w:rsid w:val="68110CE5"/>
    <w:rsid w:val="6815BCA2"/>
    <w:rsid w:val="68180D63"/>
    <w:rsid w:val="681AACDD"/>
    <w:rsid w:val="681B3F6D"/>
    <w:rsid w:val="681B98C4"/>
    <w:rsid w:val="6820C2CE"/>
    <w:rsid w:val="6824097D"/>
    <w:rsid w:val="6827CCBD"/>
    <w:rsid w:val="6827CFF9"/>
    <w:rsid w:val="6829B178"/>
    <w:rsid w:val="682FA8DC"/>
    <w:rsid w:val="68379B89"/>
    <w:rsid w:val="6838ADC3"/>
    <w:rsid w:val="6839524B"/>
    <w:rsid w:val="683CB542"/>
    <w:rsid w:val="683F9496"/>
    <w:rsid w:val="6840074A"/>
    <w:rsid w:val="6844C1F9"/>
    <w:rsid w:val="6848F624"/>
    <w:rsid w:val="684B2F1D"/>
    <w:rsid w:val="684C362A"/>
    <w:rsid w:val="684FE23B"/>
    <w:rsid w:val="6850F018"/>
    <w:rsid w:val="6853F0F6"/>
    <w:rsid w:val="6861E5F3"/>
    <w:rsid w:val="686A1E69"/>
    <w:rsid w:val="686AA669"/>
    <w:rsid w:val="686AEA4D"/>
    <w:rsid w:val="687361F8"/>
    <w:rsid w:val="6876E024"/>
    <w:rsid w:val="6876F2BD"/>
    <w:rsid w:val="6877E206"/>
    <w:rsid w:val="687D21D5"/>
    <w:rsid w:val="6881DD7D"/>
    <w:rsid w:val="6883B28D"/>
    <w:rsid w:val="688FA81A"/>
    <w:rsid w:val="68926FB2"/>
    <w:rsid w:val="6895534A"/>
    <w:rsid w:val="6895ACEC"/>
    <w:rsid w:val="68A4AB45"/>
    <w:rsid w:val="68A72CEB"/>
    <w:rsid w:val="68A85006"/>
    <w:rsid w:val="68A9DDD3"/>
    <w:rsid w:val="68B16A4F"/>
    <w:rsid w:val="68B89D55"/>
    <w:rsid w:val="68B9237C"/>
    <w:rsid w:val="68C3E210"/>
    <w:rsid w:val="68C3E237"/>
    <w:rsid w:val="68C71D7B"/>
    <w:rsid w:val="68C9580A"/>
    <w:rsid w:val="68CCD475"/>
    <w:rsid w:val="68CDBB85"/>
    <w:rsid w:val="68D1C194"/>
    <w:rsid w:val="68D52542"/>
    <w:rsid w:val="68D66028"/>
    <w:rsid w:val="68D905FB"/>
    <w:rsid w:val="68D92E45"/>
    <w:rsid w:val="68DB3481"/>
    <w:rsid w:val="68E044D2"/>
    <w:rsid w:val="68E5744A"/>
    <w:rsid w:val="68E991B7"/>
    <w:rsid w:val="68EA0D09"/>
    <w:rsid w:val="68EB7A91"/>
    <w:rsid w:val="68F7B61E"/>
    <w:rsid w:val="68FC9940"/>
    <w:rsid w:val="68FCCBEF"/>
    <w:rsid w:val="68FEBDD1"/>
    <w:rsid w:val="68FECD2D"/>
    <w:rsid w:val="6902FF3B"/>
    <w:rsid w:val="69056C4C"/>
    <w:rsid w:val="6905EECE"/>
    <w:rsid w:val="690E51C6"/>
    <w:rsid w:val="69102588"/>
    <w:rsid w:val="6913F250"/>
    <w:rsid w:val="69170F1C"/>
    <w:rsid w:val="69191A5A"/>
    <w:rsid w:val="691BCE1C"/>
    <w:rsid w:val="691F49CE"/>
    <w:rsid w:val="6921DD98"/>
    <w:rsid w:val="6929DB8D"/>
    <w:rsid w:val="692E7A50"/>
    <w:rsid w:val="69332A5C"/>
    <w:rsid w:val="693358BA"/>
    <w:rsid w:val="693445CB"/>
    <w:rsid w:val="694255CC"/>
    <w:rsid w:val="69429ED6"/>
    <w:rsid w:val="69474F39"/>
    <w:rsid w:val="69495AE3"/>
    <w:rsid w:val="694C49B9"/>
    <w:rsid w:val="6952C847"/>
    <w:rsid w:val="6953041B"/>
    <w:rsid w:val="695576FC"/>
    <w:rsid w:val="6959D91E"/>
    <w:rsid w:val="695C02FF"/>
    <w:rsid w:val="695EA080"/>
    <w:rsid w:val="6962621A"/>
    <w:rsid w:val="69629762"/>
    <w:rsid w:val="696864C4"/>
    <w:rsid w:val="6969242A"/>
    <w:rsid w:val="696A8879"/>
    <w:rsid w:val="6973AD89"/>
    <w:rsid w:val="6973FA0B"/>
    <w:rsid w:val="69783290"/>
    <w:rsid w:val="697A709F"/>
    <w:rsid w:val="69835984"/>
    <w:rsid w:val="6984A111"/>
    <w:rsid w:val="698B26BF"/>
    <w:rsid w:val="698C863F"/>
    <w:rsid w:val="698E1278"/>
    <w:rsid w:val="6993B1A6"/>
    <w:rsid w:val="699453F7"/>
    <w:rsid w:val="699B2608"/>
    <w:rsid w:val="699DBDB6"/>
    <w:rsid w:val="699DEC9F"/>
    <w:rsid w:val="69A5FFCD"/>
    <w:rsid w:val="69AF4FEA"/>
    <w:rsid w:val="69B56527"/>
    <w:rsid w:val="69B6BAA1"/>
    <w:rsid w:val="69B765DD"/>
    <w:rsid w:val="69B93054"/>
    <w:rsid w:val="69B9B025"/>
    <w:rsid w:val="69BCAB7D"/>
    <w:rsid w:val="69BF0B8A"/>
    <w:rsid w:val="69C21A7F"/>
    <w:rsid w:val="69C2E775"/>
    <w:rsid w:val="69C43B9B"/>
    <w:rsid w:val="69C9D909"/>
    <w:rsid w:val="69CA323F"/>
    <w:rsid w:val="69D29A32"/>
    <w:rsid w:val="69D4C6AD"/>
    <w:rsid w:val="69D78B61"/>
    <w:rsid w:val="69E01715"/>
    <w:rsid w:val="69E10E8B"/>
    <w:rsid w:val="69E619AC"/>
    <w:rsid w:val="69E6B145"/>
    <w:rsid w:val="69E8DCA1"/>
    <w:rsid w:val="69ED3B2A"/>
    <w:rsid w:val="69F349BA"/>
    <w:rsid w:val="69F4DC20"/>
    <w:rsid w:val="69F67259"/>
    <w:rsid w:val="69FA4431"/>
    <w:rsid w:val="6A007124"/>
    <w:rsid w:val="6A01E903"/>
    <w:rsid w:val="6A0C70BC"/>
    <w:rsid w:val="6A110CF9"/>
    <w:rsid w:val="6A1430F5"/>
    <w:rsid w:val="6A189AA7"/>
    <w:rsid w:val="6A1D95BC"/>
    <w:rsid w:val="6A1F4206"/>
    <w:rsid w:val="6A205654"/>
    <w:rsid w:val="6A26C7CE"/>
    <w:rsid w:val="6A2B2C39"/>
    <w:rsid w:val="6A2B2FD0"/>
    <w:rsid w:val="6A2CBE83"/>
    <w:rsid w:val="6A2E17C0"/>
    <w:rsid w:val="6A30D8E7"/>
    <w:rsid w:val="6A3415E3"/>
    <w:rsid w:val="6A35C438"/>
    <w:rsid w:val="6A3C4B9D"/>
    <w:rsid w:val="6A3E3A9D"/>
    <w:rsid w:val="6A3F6018"/>
    <w:rsid w:val="6A444061"/>
    <w:rsid w:val="6A4551C6"/>
    <w:rsid w:val="6A467315"/>
    <w:rsid w:val="6A498871"/>
    <w:rsid w:val="6A4C0316"/>
    <w:rsid w:val="6A4FD745"/>
    <w:rsid w:val="6A543C0B"/>
    <w:rsid w:val="6A546F4A"/>
    <w:rsid w:val="6A5B91FC"/>
    <w:rsid w:val="6A5DB812"/>
    <w:rsid w:val="6A65DF90"/>
    <w:rsid w:val="6A68525F"/>
    <w:rsid w:val="6A7284C9"/>
    <w:rsid w:val="6A72D56A"/>
    <w:rsid w:val="6A740E68"/>
    <w:rsid w:val="6A75E8A0"/>
    <w:rsid w:val="6A789720"/>
    <w:rsid w:val="6A7B0A11"/>
    <w:rsid w:val="6A80AA4B"/>
    <w:rsid w:val="6A81A573"/>
    <w:rsid w:val="6A825491"/>
    <w:rsid w:val="6A86E9A4"/>
    <w:rsid w:val="6A88D986"/>
    <w:rsid w:val="6A8B89D0"/>
    <w:rsid w:val="6A8BB46B"/>
    <w:rsid w:val="6A8C2335"/>
    <w:rsid w:val="6A8DD1E6"/>
    <w:rsid w:val="6A936FEC"/>
    <w:rsid w:val="6A95890D"/>
    <w:rsid w:val="6A9719BF"/>
    <w:rsid w:val="6A9805BB"/>
    <w:rsid w:val="6AA27B7B"/>
    <w:rsid w:val="6AA50918"/>
    <w:rsid w:val="6AA69CE3"/>
    <w:rsid w:val="6AA81CB6"/>
    <w:rsid w:val="6AB0E982"/>
    <w:rsid w:val="6AB3DCDA"/>
    <w:rsid w:val="6AB42D57"/>
    <w:rsid w:val="6ABD73FB"/>
    <w:rsid w:val="6ABE854C"/>
    <w:rsid w:val="6AC22A82"/>
    <w:rsid w:val="6AC70461"/>
    <w:rsid w:val="6ACEAF6F"/>
    <w:rsid w:val="6AD87D2D"/>
    <w:rsid w:val="6ADB840A"/>
    <w:rsid w:val="6ADFB553"/>
    <w:rsid w:val="6AE4A8CB"/>
    <w:rsid w:val="6AF59C92"/>
    <w:rsid w:val="6AFA3671"/>
    <w:rsid w:val="6AFC1D42"/>
    <w:rsid w:val="6AFF793B"/>
    <w:rsid w:val="6B10B19C"/>
    <w:rsid w:val="6B1169C4"/>
    <w:rsid w:val="6B147704"/>
    <w:rsid w:val="6B177E4A"/>
    <w:rsid w:val="6B196612"/>
    <w:rsid w:val="6B1A400C"/>
    <w:rsid w:val="6B1DA96F"/>
    <w:rsid w:val="6B26B135"/>
    <w:rsid w:val="6B272EE7"/>
    <w:rsid w:val="6B275AC9"/>
    <w:rsid w:val="6B339080"/>
    <w:rsid w:val="6B41437C"/>
    <w:rsid w:val="6B41A072"/>
    <w:rsid w:val="6B46315A"/>
    <w:rsid w:val="6B4AAEC1"/>
    <w:rsid w:val="6B4D2769"/>
    <w:rsid w:val="6B4D4D21"/>
    <w:rsid w:val="6B4ED695"/>
    <w:rsid w:val="6B5427EB"/>
    <w:rsid w:val="6B56675B"/>
    <w:rsid w:val="6B599488"/>
    <w:rsid w:val="6B5D594A"/>
    <w:rsid w:val="6B6E4A09"/>
    <w:rsid w:val="6B6F5F50"/>
    <w:rsid w:val="6B7079BA"/>
    <w:rsid w:val="6B71F0C9"/>
    <w:rsid w:val="6B7A0FCB"/>
    <w:rsid w:val="6B7CDB4D"/>
    <w:rsid w:val="6B7EB45A"/>
    <w:rsid w:val="6B822520"/>
    <w:rsid w:val="6B83DBD2"/>
    <w:rsid w:val="6B8830E5"/>
    <w:rsid w:val="6B8892FC"/>
    <w:rsid w:val="6B8B95E4"/>
    <w:rsid w:val="6B8C29EB"/>
    <w:rsid w:val="6B9157ED"/>
    <w:rsid w:val="6B9642E1"/>
    <w:rsid w:val="6B99C4CA"/>
    <w:rsid w:val="6BA5C04D"/>
    <w:rsid w:val="6BA74219"/>
    <w:rsid w:val="6BAAE021"/>
    <w:rsid w:val="6BAB80DA"/>
    <w:rsid w:val="6BADB2E0"/>
    <w:rsid w:val="6BB10249"/>
    <w:rsid w:val="6BB22871"/>
    <w:rsid w:val="6BB3BEF8"/>
    <w:rsid w:val="6BB7B59B"/>
    <w:rsid w:val="6BBD8261"/>
    <w:rsid w:val="6BBDA314"/>
    <w:rsid w:val="6BC11FEC"/>
    <w:rsid w:val="6BC3AA7F"/>
    <w:rsid w:val="6BC3FF19"/>
    <w:rsid w:val="6BC6E438"/>
    <w:rsid w:val="6BC8CB34"/>
    <w:rsid w:val="6BC98788"/>
    <w:rsid w:val="6BC9AED5"/>
    <w:rsid w:val="6BCA3BCD"/>
    <w:rsid w:val="6BCD972A"/>
    <w:rsid w:val="6BCF0CE1"/>
    <w:rsid w:val="6BDD3ED3"/>
    <w:rsid w:val="6BE7A311"/>
    <w:rsid w:val="6BE8A61D"/>
    <w:rsid w:val="6BEBA461"/>
    <w:rsid w:val="6BED7685"/>
    <w:rsid w:val="6BEEFB40"/>
    <w:rsid w:val="6BF151F0"/>
    <w:rsid w:val="6BF2E905"/>
    <w:rsid w:val="6BF471B2"/>
    <w:rsid w:val="6BF9FD80"/>
    <w:rsid w:val="6BFF037C"/>
    <w:rsid w:val="6C06163F"/>
    <w:rsid w:val="6C06A98B"/>
    <w:rsid w:val="6C09E757"/>
    <w:rsid w:val="6C0AA090"/>
    <w:rsid w:val="6C0AD767"/>
    <w:rsid w:val="6C0D63B8"/>
    <w:rsid w:val="6C101634"/>
    <w:rsid w:val="6C107B4D"/>
    <w:rsid w:val="6C164C36"/>
    <w:rsid w:val="6C16BFD9"/>
    <w:rsid w:val="6C182F65"/>
    <w:rsid w:val="6C19E420"/>
    <w:rsid w:val="6C1C9097"/>
    <w:rsid w:val="6C23BFCD"/>
    <w:rsid w:val="6C27ACD7"/>
    <w:rsid w:val="6C28300B"/>
    <w:rsid w:val="6C317866"/>
    <w:rsid w:val="6C3E8B74"/>
    <w:rsid w:val="6C405B21"/>
    <w:rsid w:val="6C459F7B"/>
    <w:rsid w:val="6C46E4E9"/>
    <w:rsid w:val="6C48638C"/>
    <w:rsid w:val="6C492CCE"/>
    <w:rsid w:val="6C5514F2"/>
    <w:rsid w:val="6C5572CE"/>
    <w:rsid w:val="6C563B4F"/>
    <w:rsid w:val="6C65EFCA"/>
    <w:rsid w:val="6C6B4983"/>
    <w:rsid w:val="6C6C1747"/>
    <w:rsid w:val="6C6C3C47"/>
    <w:rsid w:val="6C6D73E8"/>
    <w:rsid w:val="6C6E3E59"/>
    <w:rsid w:val="6C70A1CD"/>
    <w:rsid w:val="6C72BE66"/>
    <w:rsid w:val="6C72C552"/>
    <w:rsid w:val="6C735CC9"/>
    <w:rsid w:val="6C78A1D9"/>
    <w:rsid w:val="6C7C6039"/>
    <w:rsid w:val="6C7E3B77"/>
    <w:rsid w:val="6C91A6D2"/>
    <w:rsid w:val="6C9BD947"/>
    <w:rsid w:val="6CA037CD"/>
    <w:rsid w:val="6CA0C90D"/>
    <w:rsid w:val="6CA54B89"/>
    <w:rsid w:val="6CAA529F"/>
    <w:rsid w:val="6CAFBC44"/>
    <w:rsid w:val="6CB183FB"/>
    <w:rsid w:val="6CB70A63"/>
    <w:rsid w:val="6CC0687C"/>
    <w:rsid w:val="6CC2E8B8"/>
    <w:rsid w:val="6CC45C25"/>
    <w:rsid w:val="6CC7F8B8"/>
    <w:rsid w:val="6CCA9669"/>
    <w:rsid w:val="6CD77559"/>
    <w:rsid w:val="6CD94CD8"/>
    <w:rsid w:val="6CD99468"/>
    <w:rsid w:val="6CDB8C46"/>
    <w:rsid w:val="6CDCBC3B"/>
    <w:rsid w:val="6CDE25CB"/>
    <w:rsid w:val="6CDE53EF"/>
    <w:rsid w:val="6CDEB6D9"/>
    <w:rsid w:val="6CDF6E15"/>
    <w:rsid w:val="6CE3A2DF"/>
    <w:rsid w:val="6CE5FC6C"/>
    <w:rsid w:val="6CE6AF5F"/>
    <w:rsid w:val="6CE6E4D0"/>
    <w:rsid w:val="6CE8018B"/>
    <w:rsid w:val="6CE83CF0"/>
    <w:rsid w:val="6CEAA75B"/>
    <w:rsid w:val="6CED1364"/>
    <w:rsid w:val="6CF33549"/>
    <w:rsid w:val="6CFEEDFE"/>
    <w:rsid w:val="6D041C9E"/>
    <w:rsid w:val="6D04D8A7"/>
    <w:rsid w:val="6D064D0E"/>
    <w:rsid w:val="6D08D3B3"/>
    <w:rsid w:val="6D09059F"/>
    <w:rsid w:val="6D10855A"/>
    <w:rsid w:val="6D113746"/>
    <w:rsid w:val="6D127F46"/>
    <w:rsid w:val="6D134342"/>
    <w:rsid w:val="6D13A3FE"/>
    <w:rsid w:val="6D160F95"/>
    <w:rsid w:val="6D164E23"/>
    <w:rsid w:val="6D16A0F9"/>
    <w:rsid w:val="6D17250D"/>
    <w:rsid w:val="6D1A6AE1"/>
    <w:rsid w:val="6D1AF13B"/>
    <w:rsid w:val="6D1B41BC"/>
    <w:rsid w:val="6D1DDEAB"/>
    <w:rsid w:val="6D1DE9AB"/>
    <w:rsid w:val="6D21B7DA"/>
    <w:rsid w:val="6D21D4DA"/>
    <w:rsid w:val="6D2235CF"/>
    <w:rsid w:val="6D24AD0C"/>
    <w:rsid w:val="6D256223"/>
    <w:rsid w:val="6D290A58"/>
    <w:rsid w:val="6D30E774"/>
    <w:rsid w:val="6D323B06"/>
    <w:rsid w:val="6D33F794"/>
    <w:rsid w:val="6D3582B5"/>
    <w:rsid w:val="6D3AF7BE"/>
    <w:rsid w:val="6D3B5DCD"/>
    <w:rsid w:val="6D4091A6"/>
    <w:rsid w:val="6D426551"/>
    <w:rsid w:val="6D44E8DE"/>
    <w:rsid w:val="6D459D72"/>
    <w:rsid w:val="6D45FD81"/>
    <w:rsid w:val="6D48711A"/>
    <w:rsid w:val="6D4A269E"/>
    <w:rsid w:val="6D4A4D9A"/>
    <w:rsid w:val="6D5381F1"/>
    <w:rsid w:val="6D55DC0F"/>
    <w:rsid w:val="6D5AEE38"/>
    <w:rsid w:val="6D61AB59"/>
    <w:rsid w:val="6D630E68"/>
    <w:rsid w:val="6D65064C"/>
    <w:rsid w:val="6D67F442"/>
    <w:rsid w:val="6D69AF0C"/>
    <w:rsid w:val="6D6D8F94"/>
    <w:rsid w:val="6D7246EF"/>
    <w:rsid w:val="6D753DBD"/>
    <w:rsid w:val="6D7F41B7"/>
    <w:rsid w:val="6D874A43"/>
    <w:rsid w:val="6D8C3090"/>
    <w:rsid w:val="6D91A5FB"/>
    <w:rsid w:val="6D946B8D"/>
    <w:rsid w:val="6D965216"/>
    <w:rsid w:val="6D97AF2F"/>
    <w:rsid w:val="6D9BE65A"/>
    <w:rsid w:val="6DA099F5"/>
    <w:rsid w:val="6DA35FB0"/>
    <w:rsid w:val="6DA3BE70"/>
    <w:rsid w:val="6DA4B764"/>
    <w:rsid w:val="6DAA532F"/>
    <w:rsid w:val="6DADC33A"/>
    <w:rsid w:val="6DB3ABA1"/>
    <w:rsid w:val="6DB75C07"/>
    <w:rsid w:val="6DB76CA1"/>
    <w:rsid w:val="6DB88069"/>
    <w:rsid w:val="6DC08F65"/>
    <w:rsid w:val="6DC38C1F"/>
    <w:rsid w:val="6DC88790"/>
    <w:rsid w:val="6DCD5410"/>
    <w:rsid w:val="6DCED4B0"/>
    <w:rsid w:val="6DD1B35F"/>
    <w:rsid w:val="6DD4353D"/>
    <w:rsid w:val="6DD4E732"/>
    <w:rsid w:val="6DD7AC64"/>
    <w:rsid w:val="6DDA3BB2"/>
    <w:rsid w:val="6DDAA222"/>
    <w:rsid w:val="6DDCEBCB"/>
    <w:rsid w:val="6DE916B9"/>
    <w:rsid w:val="6DEA9B95"/>
    <w:rsid w:val="6DEAC99A"/>
    <w:rsid w:val="6DF022F7"/>
    <w:rsid w:val="6DF705B5"/>
    <w:rsid w:val="6DF82BC6"/>
    <w:rsid w:val="6DFB3AAC"/>
    <w:rsid w:val="6DFE0626"/>
    <w:rsid w:val="6E000886"/>
    <w:rsid w:val="6E0162B6"/>
    <w:rsid w:val="6E07D5B9"/>
    <w:rsid w:val="6E0F530A"/>
    <w:rsid w:val="6E0F5692"/>
    <w:rsid w:val="6E1038E5"/>
    <w:rsid w:val="6E18E42F"/>
    <w:rsid w:val="6E19192B"/>
    <w:rsid w:val="6E1963F3"/>
    <w:rsid w:val="6E1B4F1C"/>
    <w:rsid w:val="6E1BD3A3"/>
    <w:rsid w:val="6E23ADE7"/>
    <w:rsid w:val="6E24B23D"/>
    <w:rsid w:val="6E2C5920"/>
    <w:rsid w:val="6E2F3B35"/>
    <w:rsid w:val="6E35030D"/>
    <w:rsid w:val="6E37BBB5"/>
    <w:rsid w:val="6E3B19D6"/>
    <w:rsid w:val="6E3CCD29"/>
    <w:rsid w:val="6E40C30A"/>
    <w:rsid w:val="6E446007"/>
    <w:rsid w:val="6E44996F"/>
    <w:rsid w:val="6E4981E7"/>
    <w:rsid w:val="6E4F384E"/>
    <w:rsid w:val="6E558BE2"/>
    <w:rsid w:val="6E5AE6AE"/>
    <w:rsid w:val="6E5B282B"/>
    <w:rsid w:val="6E63F0ED"/>
    <w:rsid w:val="6E642C21"/>
    <w:rsid w:val="6E69D389"/>
    <w:rsid w:val="6E6A7782"/>
    <w:rsid w:val="6E77A119"/>
    <w:rsid w:val="6E781848"/>
    <w:rsid w:val="6E794FC9"/>
    <w:rsid w:val="6E7A7118"/>
    <w:rsid w:val="6E7B471B"/>
    <w:rsid w:val="6E7D9C28"/>
    <w:rsid w:val="6E7E27BB"/>
    <w:rsid w:val="6E7E3255"/>
    <w:rsid w:val="6E80CA05"/>
    <w:rsid w:val="6E822A81"/>
    <w:rsid w:val="6E855EC7"/>
    <w:rsid w:val="6E8E7D95"/>
    <w:rsid w:val="6E972323"/>
    <w:rsid w:val="6E9C9F2A"/>
    <w:rsid w:val="6E9D7F09"/>
    <w:rsid w:val="6E9F1F09"/>
    <w:rsid w:val="6EA22241"/>
    <w:rsid w:val="6EA32E6E"/>
    <w:rsid w:val="6EA4A414"/>
    <w:rsid w:val="6EA862F9"/>
    <w:rsid w:val="6EA99269"/>
    <w:rsid w:val="6EAF2E45"/>
    <w:rsid w:val="6EB31CF2"/>
    <w:rsid w:val="6EB3A0BE"/>
    <w:rsid w:val="6EBACA71"/>
    <w:rsid w:val="6EC0014F"/>
    <w:rsid w:val="6EC4E372"/>
    <w:rsid w:val="6EC5B865"/>
    <w:rsid w:val="6ECB13F9"/>
    <w:rsid w:val="6ECC1BFE"/>
    <w:rsid w:val="6ECC898C"/>
    <w:rsid w:val="6ECD29CB"/>
    <w:rsid w:val="6EDA4D40"/>
    <w:rsid w:val="6EDC54EA"/>
    <w:rsid w:val="6EE2F7D9"/>
    <w:rsid w:val="6EE3ACEA"/>
    <w:rsid w:val="6EE6B002"/>
    <w:rsid w:val="6EEA09E6"/>
    <w:rsid w:val="6EEB64AA"/>
    <w:rsid w:val="6EEB7FD0"/>
    <w:rsid w:val="6EEC50B4"/>
    <w:rsid w:val="6EECE20F"/>
    <w:rsid w:val="6F0550E2"/>
    <w:rsid w:val="6F05D0A1"/>
    <w:rsid w:val="6F0C5057"/>
    <w:rsid w:val="6F0FFDFC"/>
    <w:rsid w:val="6F169E4C"/>
    <w:rsid w:val="6F190140"/>
    <w:rsid w:val="6F1FC995"/>
    <w:rsid w:val="6F23D0B7"/>
    <w:rsid w:val="6F28FC26"/>
    <w:rsid w:val="6F2AAEAA"/>
    <w:rsid w:val="6F34CFDC"/>
    <w:rsid w:val="6F3BD7FA"/>
    <w:rsid w:val="6F410CF0"/>
    <w:rsid w:val="6F433501"/>
    <w:rsid w:val="6F484CA2"/>
    <w:rsid w:val="6F4E8198"/>
    <w:rsid w:val="6F4FA740"/>
    <w:rsid w:val="6F51B6DA"/>
    <w:rsid w:val="6F56DC5E"/>
    <w:rsid w:val="6F56F636"/>
    <w:rsid w:val="6F5706FB"/>
    <w:rsid w:val="6F5C5636"/>
    <w:rsid w:val="6F627E2C"/>
    <w:rsid w:val="6F66935B"/>
    <w:rsid w:val="6F6D70EC"/>
    <w:rsid w:val="6F6F58F1"/>
    <w:rsid w:val="6F7AE9A5"/>
    <w:rsid w:val="6F80AEAC"/>
    <w:rsid w:val="6F824E24"/>
    <w:rsid w:val="6F874A4C"/>
    <w:rsid w:val="6F87C870"/>
    <w:rsid w:val="6F886BE1"/>
    <w:rsid w:val="6F931226"/>
    <w:rsid w:val="6F940245"/>
    <w:rsid w:val="6F95BB80"/>
    <w:rsid w:val="6F9AC9BF"/>
    <w:rsid w:val="6F9C6CBF"/>
    <w:rsid w:val="6FA481E9"/>
    <w:rsid w:val="6FA4A186"/>
    <w:rsid w:val="6FA683C0"/>
    <w:rsid w:val="6FA6EB33"/>
    <w:rsid w:val="6FA77750"/>
    <w:rsid w:val="6FAE9252"/>
    <w:rsid w:val="6FB01191"/>
    <w:rsid w:val="6FC18A30"/>
    <w:rsid w:val="6FC1BDDE"/>
    <w:rsid w:val="6FC2B0B8"/>
    <w:rsid w:val="6FC92AE2"/>
    <w:rsid w:val="6FC981A7"/>
    <w:rsid w:val="6FCA2A25"/>
    <w:rsid w:val="6FCCFC1D"/>
    <w:rsid w:val="6FCDE7CA"/>
    <w:rsid w:val="6FDA01DE"/>
    <w:rsid w:val="6FDE6869"/>
    <w:rsid w:val="6FE19AE2"/>
    <w:rsid w:val="6FE41FDB"/>
    <w:rsid w:val="6FF120A0"/>
    <w:rsid w:val="6FF3CF57"/>
    <w:rsid w:val="6FFBCB1E"/>
    <w:rsid w:val="6FFC731D"/>
    <w:rsid w:val="700359BF"/>
    <w:rsid w:val="70050BD3"/>
    <w:rsid w:val="7005254F"/>
    <w:rsid w:val="700BC279"/>
    <w:rsid w:val="700E9F72"/>
    <w:rsid w:val="700EDE76"/>
    <w:rsid w:val="700F39D1"/>
    <w:rsid w:val="70109738"/>
    <w:rsid w:val="7013B0B0"/>
    <w:rsid w:val="7013C058"/>
    <w:rsid w:val="7013E71B"/>
    <w:rsid w:val="701E365D"/>
    <w:rsid w:val="70205307"/>
    <w:rsid w:val="70240EB8"/>
    <w:rsid w:val="7024C2FA"/>
    <w:rsid w:val="7026E81A"/>
    <w:rsid w:val="7028423D"/>
    <w:rsid w:val="702B386F"/>
    <w:rsid w:val="702E8AF6"/>
    <w:rsid w:val="7031E8D3"/>
    <w:rsid w:val="70321805"/>
    <w:rsid w:val="703479C7"/>
    <w:rsid w:val="7035A7D8"/>
    <w:rsid w:val="703864E2"/>
    <w:rsid w:val="7038C695"/>
    <w:rsid w:val="703B304E"/>
    <w:rsid w:val="703D75D9"/>
    <w:rsid w:val="704B8EF4"/>
    <w:rsid w:val="70514BDF"/>
    <w:rsid w:val="7056C938"/>
    <w:rsid w:val="705A511F"/>
    <w:rsid w:val="705B2B32"/>
    <w:rsid w:val="705B6360"/>
    <w:rsid w:val="70636BC7"/>
    <w:rsid w:val="706BBA45"/>
    <w:rsid w:val="70706B52"/>
    <w:rsid w:val="707722CC"/>
    <w:rsid w:val="7077DD3C"/>
    <w:rsid w:val="7078AFE8"/>
    <w:rsid w:val="707AD391"/>
    <w:rsid w:val="70806E17"/>
    <w:rsid w:val="7086EB14"/>
    <w:rsid w:val="708CF934"/>
    <w:rsid w:val="7091BC94"/>
    <w:rsid w:val="709367E1"/>
    <w:rsid w:val="7093C49D"/>
    <w:rsid w:val="7099B925"/>
    <w:rsid w:val="709C7A0F"/>
    <w:rsid w:val="709EAA9B"/>
    <w:rsid w:val="70ABA07E"/>
    <w:rsid w:val="70ADA4C5"/>
    <w:rsid w:val="70B61B70"/>
    <w:rsid w:val="70B6F118"/>
    <w:rsid w:val="70B9164D"/>
    <w:rsid w:val="70B9F8A0"/>
    <w:rsid w:val="70BBE895"/>
    <w:rsid w:val="70C104C2"/>
    <w:rsid w:val="70C667A9"/>
    <w:rsid w:val="70C98D72"/>
    <w:rsid w:val="70CF951E"/>
    <w:rsid w:val="70D106DE"/>
    <w:rsid w:val="70D7AA69"/>
    <w:rsid w:val="70D96C09"/>
    <w:rsid w:val="70DB59E9"/>
    <w:rsid w:val="70E28234"/>
    <w:rsid w:val="70E32ADA"/>
    <w:rsid w:val="70E9A859"/>
    <w:rsid w:val="70EBA517"/>
    <w:rsid w:val="70F0B76F"/>
    <w:rsid w:val="70F1BA1A"/>
    <w:rsid w:val="70F519DA"/>
    <w:rsid w:val="70FB26C3"/>
    <w:rsid w:val="70FD77EF"/>
    <w:rsid w:val="7100701D"/>
    <w:rsid w:val="710247C4"/>
    <w:rsid w:val="7103FCDC"/>
    <w:rsid w:val="710495B5"/>
    <w:rsid w:val="7108D9C4"/>
    <w:rsid w:val="7109BFDF"/>
    <w:rsid w:val="710B2286"/>
    <w:rsid w:val="710BDC25"/>
    <w:rsid w:val="710EAC1C"/>
    <w:rsid w:val="710EC0DA"/>
    <w:rsid w:val="710EDCCF"/>
    <w:rsid w:val="7110E7E3"/>
    <w:rsid w:val="71128998"/>
    <w:rsid w:val="711B2119"/>
    <w:rsid w:val="711E54F4"/>
    <w:rsid w:val="7128D5F9"/>
    <w:rsid w:val="712F5029"/>
    <w:rsid w:val="712F5FD0"/>
    <w:rsid w:val="71398D13"/>
    <w:rsid w:val="714027E8"/>
    <w:rsid w:val="71436917"/>
    <w:rsid w:val="7144349E"/>
    <w:rsid w:val="71444A31"/>
    <w:rsid w:val="714DFAB2"/>
    <w:rsid w:val="715587AC"/>
    <w:rsid w:val="715923DD"/>
    <w:rsid w:val="715BE78C"/>
    <w:rsid w:val="715BF780"/>
    <w:rsid w:val="715C186B"/>
    <w:rsid w:val="715E8AB0"/>
    <w:rsid w:val="715FA5A8"/>
    <w:rsid w:val="715FA810"/>
    <w:rsid w:val="716950F0"/>
    <w:rsid w:val="7171ADF0"/>
    <w:rsid w:val="7172D655"/>
    <w:rsid w:val="7175B416"/>
    <w:rsid w:val="71763438"/>
    <w:rsid w:val="71773EFF"/>
    <w:rsid w:val="7177C21D"/>
    <w:rsid w:val="71784AA5"/>
    <w:rsid w:val="717D0202"/>
    <w:rsid w:val="717E8F53"/>
    <w:rsid w:val="71814E4C"/>
    <w:rsid w:val="71838384"/>
    <w:rsid w:val="7184B8A9"/>
    <w:rsid w:val="7185D45C"/>
    <w:rsid w:val="7187B6E9"/>
    <w:rsid w:val="718935D1"/>
    <w:rsid w:val="718D7D7A"/>
    <w:rsid w:val="7192E6A5"/>
    <w:rsid w:val="7197E749"/>
    <w:rsid w:val="719AC278"/>
    <w:rsid w:val="71A1B2E6"/>
    <w:rsid w:val="71A2F699"/>
    <w:rsid w:val="71A5BBCA"/>
    <w:rsid w:val="71A5CA9E"/>
    <w:rsid w:val="71A867F5"/>
    <w:rsid w:val="71A9DBE8"/>
    <w:rsid w:val="71AA142A"/>
    <w:rsid w:val="71AB8DF6"/>
    <w:rsid w:val="71AFC277"/>
    <w:rsid w:val="71B05BC6"/>
    <w:rsid w:val="71B0B526"/>
    <w:rsid w:val="71B1606B"/>
    <w:rsid w:val="71BA4DCF"/>
    <w:rsid w:val="71BD76C4"/>
    <w:rsid w:val="71BE33BF"/>
    <w:rsid w:val="71C44E85"/>
    <w:rsid w:val="71C4B883"/>
    <w:rsid w:val="71CBD493"/>
    <w:rsid w:val="71CF1258"/>
    <w:rsid w:val="71D525F7"/>
    <w:rsid w:val="71D59FBA"/>
    <w:rsid w:val="71DB3DA7"/>
    <w:rsid w:val="71DE82D4"/>
    <w:rsid w:val="71DEE4DE"/>
    <w:rsid w:val="71E1445D"/>
    <w:rsid w:val="71E26AEF"/>
    <w:rsid w:val="71E399FF"/>
    <w:rsid w:val="71E3DDFC"/>
    <w:rsid w:val="71E61ED5"/>
    <w:rsid w:val="71EE8BFC"/>
    <w:rsid w:val="71EFEE17"/>
    <w:rsid w:val="71FECC20"/>
    <w:rsid w:val="720173D7"/>
    <w:rsid w:val="7207B3F1"/>
    <w:rsid w:val="7209367E"/>
    <w:rsid w:val="720A44ED"/>
    <w:rsid w:val="720AABA8"/>
    <w:rsid w:val="720BCA6D"/>
    <w:rsid w:val="72129052"/>
    <w:rsid w:val="7215C1BA"/>
    <w:rsid w:val="721738CF"/>
    <w:rsid w:val="7218B062"/>
    <w:rsid w:val="721AF579"/>
    <w:rsid w:val="721C1E22"/>
    <w:rsid w:val="721D7BC5"/>
    <w:rsid w:val="7221EEFE"/>
    <w:rsid w:val="7228FB56"/>
    <w:rsid w:val="722909F7"/>
    <w:rsid w:val="722BA5B0"/>
    <w:rsid w:val="722BB19A"/>
    <w:rsid w:val="723C1CC3"/>
    <w:rsid w:val="723D04E8"/>
    <w:rsid w:val="723E276A"/>
    <w:rsid w:val="723F594F"/>
    <w:rsid w:val="723F5D30"/>
    <w:rsid w:val="7243BE82"/>
    <w:rsid w:val="724BA1FD"/>
    <w:rsid w:val="724C16AF"/>
    <w:rsid w:val="724EAA83"/>
    <w:rsid w:val="725067C1"/>
    <w:rsid w:val="7255280E"/>
    <w:rsid w:val="7259710E"/>
    <w:rsid w:val="725C62EF"/>
    <w:rsid w:val="7260D4D5"/>
    <w:rsid w:val="7264123D"/>
    <w:rsid w:val="7268D7C3"/>
    <w:rsid w:val="726E30FD"/>
    <w:rsid w:val="72700CF6"/>
    <w:rsid w:val="7273819A"/>
    <w:rsid w:val="72751136"/>
    <w:rsid w:val="72764F43"/>
    <w:rsid w:val="7279CE82"/>
    <w:rsid w:val="727A44B9"/>
    <w:rsid w:val="727D63FA"/>
    <w:rsid w:val="727DF95A"/>
    <w:rsid w:val="7281D6F3"/>
    <w:rsid w:val="7282F781"/>
    <w:rsid w:val="72886E40"/>
    <w:rsid w:val="728FE04E"/>
    <w:rsid w:val="72924312"/>
    <w:rsid w:val="72949CFC"/>
    <w:rsid w:val="7297397E"/>
    <w:rsid w:val="729AD611"/>
    <w:rsid w:val="729C721B"/>
    <w:rsid w:val="72A2A3A5"/>
    <w:rsid w:val="72A9D6CB"/>
    <w:rsid w:val="72AD19FC"/>
    <w:rsid w:val="72B2B2D3"/>
    <w:rsid w:val="72B440D0"/>
    <w:rsid w:val="72B62ABE"/>
    <w:rsid w:val="72B991A7"/>
    <w:rsid w:val="72BB6A3E"/>
    <w:rsid w:val="72C40441"/>
    <w:rsid w:val="72C684B3"/>
    <w:rsid w:val="72C6DE34"/>
    <w:rsid w:val="72C781A9"/>
    <w:rsid w:val="72C90026"/>
    <w:rsid w:val="72CFDECD"/>
    <w:rsid w:val="72D072E6"/>
    <w:rsid w:val="72D1BE1F"/>
    <w:rsid w:val="72D38F8C"/>
    <w:rsid w:val="72D44D34"/>
    <w:rsid w:val="72D897D2"/>
    <w:rsid w:val="72DA6BA3"/>
    <w:rsid w:val="72EAA555"/>
    <w:rsid w:val="72EEF017"/>
    <w:rsid w:val="72EF3F82"/>
    <w:rsid w:val="72EFC31F"/>
    <w:rsid w:val="72F75EE6"/>
    <w:rsid w:val="72F93512"/>
    <w:rsid w:val="72F94E1B"/>
    <w:rsid w:val="72F9910A"/>
    <w:rsid w:val="72F9BCD1"/>
    <w:rsid w:val="72F9F543"/>
    <w:rsid w:val="72FBC2DC"/>
    <w:rsid w:val="7300C605"/>
    <w:rsid w:val="730D493A"/>
    <w:rsid w:val="730F0C78"/>
    <w:rsid w:val="73130204"/>
    <w:rsid w:val="7318D0B9"/>
    <w:rsid w:val="731A4E44"/>
    <w:rsid w:val="731A6056"/>
    <w:rsid w:val="7327DC31"/>
    <w:rsid w:val="73295D95"/>
    <w:rsid w:val="732A4D77"/>
    <w:rsid w:val="732AF4FC"/>
    <w:rsid w:val="732BB618"/>
    <w:rsid w:val="732EA328"/>
    <w:rsid w:val="732F05FA"/>
    <w:rsid w:val="73307077"/>
    <w:rsid w:val="7331174C"/>
    <w:rsid w:val="73394272"/>
    <w:rsid w:val="733958CD"/>
    <w:rsid w:val="733F0D30"/>
    <w:rsid w:val="734217CC"/>
    <w:rsid w:val="7342D954"/>
    <w:rsid w:val="73441259"/>
    <w:rsid w:val="7347412D"/>
    <w:rsid w:val="7353F1DD"/>
    <w:rsid w:val="73563A65"/>
    <w:rsid w:val="7356E1EB"/>
    <w:rsid w:val="7356FFCB"/>
    <w:rsid w:val="73612B32"/>
    <w:rsid w:val="73648F2E"/>
    <w:rsid w:val="73653CFC"/>
    <w:rsid w:val="73688AD1"/>
    <w:rsid w:val="736C24E2"/>
    <w:rsid w:val="7370A06A"/>
    <w:rsid w:val="7375622A"/>
    <w:rsid w:val="73764C57"/>
    <w:rsid w:val="73769412"/>
    <w:rsid w:val="737741B0"/>
    <w:rsid w:val="737BE88F"/>
    <w:rsid w:val="7380E4BF"/>
    <w:rsid w:val="73858123"/>
    <w:rsid w:val="738FF7ED"/>
    <w:rsid w:val="7391ECA3"/>
    <w:rsid w:val="7397AFCC"/>
    <w:rsid w:val="7397EE63"/>
    <w:rsid w:val="73986FD0"/>
    <w:rsid w:val="739B5DB1"/>
    <w:rsid w:val="73A07083"/>
    <w:rsid w:val="73A3A2D5"/>
    <w:rsid w:val="73A72BF9"/>
    <w:rsid w:val="73A9E67D"/>
    <w:rsid w:val="73AA3E79"/>
    <w:rsid w:val="73AAC73F"/>
    <w:rsid w:val="73AB81B5"/>
    <w:rsid w:val="73B7AE26"/>
    <w:rsid w:val="73B82C41"/>
    <w:rsid w:val="73C29A92"/>
    <w:rsid w:val="73C32553"/>
    <w:rsid w:val="73C43A70"/>
    <w:rsid w:val="73C46243"/>
    <w:rsid w:val="73C4B611"/>
    <w:rsid w:val="73C565B9"/>
    <w:rsid w:val="73C7EB17"/>
    <w:rsid w:val="73C83751"/>
    <w:rsid w:val="73CB58E8"/>
    <w:rsid w:val="73D54AE2"/>
    <w:rsid w:val="73DD7BA5"/>
    <w:rsid w:val="73DD9553"/>
    <w:rsid w:val="73E0F590"/>
    <w:rsid w:val="73E19D93"/>
    <w:rsid w:val="73E28022"/>
    <w:rsid w:val="73E37615"/>
    <w:rsid w:val="73E43780"/>
    <w:rsid w:val="73E5EB43"/>
    <w:rsid w:val="73E62C02"/>
    <w:rsid w:val="73E7120C"/>
    <w:rsid w:val="73EA0AE9"/>
    <w:rsid w:val="73EF4008"/>
    <w:rsid w:val="73F0A1F3"/>
    <w:rsid w:val="73F26AD6"/>
    <w:rsid w:val="73F37CDC"/>
    <w:rsid w:val="73F9878F"/>
    <w:rsid w:val="73FD43F6"/>
    <w:rsid w:val="7401FFB3"/>
    <w:rsid w:val="7406714A"/>
    <w:rsid w:val="74086675"/>
    <w:rsid w:val="740B0489"/>
    <w:rsid w:val="740FE1D3"/>
    <w:rsid w:val="74128AF5"/>
    <w:rsid w:val="741472A6"/>
    <w:rsid w:val="74152E98"/>
    <w:rsid w:val="741577BA"/>
    <w:rsid w:val="7416E73E"/>
    <w:rsid w:val="74195DA4"/>
    <w:rsid w:val="741ABC37"/>
    <w:rsid w:val="741B80C2"/>
    <w:rsid w:val="7424F348"/>
    <w:rsid w:val="7425A80E"/>
    <w:rsid w:val="7425EDD3"/>
    <w:rsid w:val="742A482A"/>
    <w:rsid w:val="742E51D4"/>
    <w:rsid w:val="742EEBEB"/>
    <w:rsid w:val="7430A167"/>
    <w:rsid w:val="7430F687"/>
    <w:rsid w:val="74328E6B"/>
    <w:rsid w:val="7434BFA9"/>
    <w:rsid w:val="7437E2D2"/>
    <w:rsid w:val="743A0296"/>
    <w:rsid w:val="743C67C7"/>
    <w:rsid w:val="743FE189"/>
    <w:rsid w:val="74430AB7"/>
    <w:rsid w:val="74476D92"/>
    <w:rsid w:val="7453789A"/>
    <w:rsid w:val="745A5AE8"/>
    <w:rsid w:val="745A965D"/>
    <w:rsid w:val="745B1E17"/>
    <w:rsid w:val="745E08E9"/>
    <w:rsid w:val="745E7584"/>
    <w:rsid w:val="74665621"/>
    <w:rsid w:val="7469D325"/>
    <w:rsid w:val="746D2B36"/>
    <w:rsid w:val="74720BFF"/>
    <w:rsid w:val="7474197F"/>
    <w:rsid w:val="7478FD05"/>
    <w:rsid w:val="7483B784"/>
    <w:rsid w:val="7485224A"/>
    <w:rsid w:val="748FA237"/>
    <w:rsid w:val="749158F3"/>
    <w:rsid w:val="7494F5BA"/>
    <w:rsid w:val="74954EC6"/>
    <w:rsid w:val="749677CC"/>
    <w:rsid w:val="7499BD30"/>
    <w:rsid w:val="749D576B"/>
    <w:rsid w:val="749E3374"/>
    <w:rsid w:val="74A0CD41"/>
    <w:rsid w:val="74A405B8"/>
    <w:rsid w:val="74AAFFD6"/>
    <w:rsid w:val="74AED37C"/>
    <w:rsid w:val="74AF1739"/>
    <w:rsid w:val="74B28891"/>
    <w:rsid w:val="74B323F4"/>
    <w:rsid w:val="74B5A791"/>
    <w:rsid w:val="74BBC71F"/>
    <w:rsid w:val="74C030A2"/>
    <w:rsid w:val="74C37131"/>
    <w:rsid w:val="74C7F3BB"/>
    <w:rsid w:val="74CAF760"/>
    <w:rsid w:val="74CD20FE"/>
    <w:rsid w:val="74CE97F4"/>
    <w:rsid w:val="74D06E78"/>
    <w:rsid w:val="74D5A63A"/>
    <w:rsid w:val="74D6CA52"/>
    <w:rsid w:val="74D84DF7"/>
    <w:rsid w:val="74D97D8F"/>
    <w:rsid w:val="74D99B5D"/>
    <w:rsid w:val="74DD0ED6"/>
    <w:rsid w:val="74DF09F7"/>
    <w:rsid w:val="74E85F7C"/>
    <w:rsid w:val="74EC1F29"/>
    <w:rsid w:val="74ECDF31"/>
    <w:rsid w:val="74EEE127"/>
    <w:rsid w:val="74EF2797"/>
    <w:rsid w:val="74F18F4D"/>
    <w:rsid w:val="74F3B317"/>
    <w:rsid w:val="74F4F882"/>
    <w:rsid w:val="74F76854"/>
    <w:rsid w:val="75008584"/>
    <w:rsid w:val="7503F4DF"/>
    <w:rsid w:val="7504BF02"/>
    <w:rsid w:val="750A499F"/>
    <w:rsid w:val="750C37F2"/>
    <w:rsid w:val="750DC3EB"/>
    <w:rsid w:val="7515CD69"/>
    <w:rsid w:val="751B49DE"/>
    <w:rsid w:val="751BB808"/>
    <w:rsid w:val="751BC87D"/>
    <w:rsid w:val="751F9B61"/>
    <w:rsid w:val="75241A9B"/>
    <w:rsid w:val="7527C1BE"/>
    <w:rsid w:val="752CF74A"/>
    <w:rsid w:val="752E15AC"/>
    <w:rsid w:val="75348489"/>
    <w:rsid w:val="753909B7"/>
    <w:rsid w:val="753CDB8B"/>
    <w:rsid w:val="753DE7DC"/>
    <w:rsid w:val="75426D68"/>
    <w:rsid w:val="75467CA6"/>
    <w:rsid w:val="75469292"/>
    <w:rsid w:val="7548D791"/>
    <w:rsid w:val="754A0163"/>
    <w:rsid w:val="754A1B90"/>
    <w:rsid w:val="754C738B"/>
    <w:rsid w:val="754DB21A"/>
    <w:rsid w:val="75518FF9"/>
    <w:rsid w:val="7556212E"/>
    <w:rsid w:val="75580E80"/>
    <w:rsid w:val="7558BA61"/>
    <w:rsid w:val="7560BC1C"/>
    <w:rsid w:val="7561A44F"/>
    <w:rsid w:val="756368C0"/>
    <w:rsid w:val="75685F34"/>
    <w:rsid w:val="75728FE4"/>
    <w:rsid w:val="757A0A8F"/>
    <w:rsid w:val="7580BCF7"/>
    <w:rsid w:val="7586D4C6"/>
    <w:rsid w:val="758971CE"/>
    <w:rsid w:val="758C2A59"/>
    <w:rsid w:val="75901123"/>
    <w:rsid w:val="75948889"/>
    <w:rsid w:val="75966408"/>
    <w:rsid w:val="7597C8C6"/>
    <w:rsid w:val="7599BE21"/>
    <w:rsid w:val="759CD2DF"/>
    <w:rsid w:val="759D6CDB"/>
    <w:rsid w:val="75A00AFB"/>
    <w:rsid w:val="75A3D938"/>
    <w:rsid w:val="75A6105E"/>
    <w:rsid w:val="75A775C4"/>
    <w:rsid w:val="75A8C593"/>
    <w:rsid w:val="75A91070"/>
    <w:rsid w:val="75B211E6"/>
    <w:rsid w:val="75B3488D"/>
    <w:rsid w:val="75B48520"/>
    <w:rsid w:val="75B4F13A"/>
    <w:rsid w:val="75B6E020"/>
    <w:rsid w:val="75B8BD0D"/>
    <w:rsid w:val="75B9D684"/>
    <w:rsid w:val="75C07603"/>
    <w:rsid w:val="75C11A12"/>
    <w:rsid w:val="75C4006A"/>
    <w:rsid w:val="75C507D3"/>
    <w:rsid w:val="75C7B37B"/>
    <w:rsid w:val="75C8E75C"/>
    <w:rsid w:val="75CB192B"/>
    <w:rsid w:val="75D0D3CD"/>
    <w:rsid w:val="75D98005"/>
    <w:rsid w:val="75DD6CF1"/>
    <w:rsid w:val="75E19765"/>
    <w:rsid w:val="75E5E577"/>
    <w:rsid w:val="75E5F111"/>
    <w:rsid w:val="75E6FA94"/>
    <w:rsid w:val="75E9B0BF"/>
    <w:rsid w:val="75ED6E39"/>
    <w:rsid w:val="75EEB593"/>
    <w:rsid w:val="75F3CD66"/>
    <w:rsid w:val="75F6793F"/>
    <w:rsid w:val="7601AC2E"/>
    <w:rsid w:val="76023190"/>
    <w:rsid w:val="760527A9"/>
    <w:rsid w:val="761402C3"/>
    <w:rsid w:val="7615AA8C"/>
    <w:rsid w:val="76163EFA"/>
    <w:rsid w:val="761C2B8E"/>
    <w:rsid w:val="76228B69"/>
    <w:rsid w:val="762309F5"/>
    <w:rsid w:val="76248CB3"/>
    <w:rsid w:val="762BC8EE"/>
    <w:rsid w:val="762BF8D0"/>
    <w:rsid w:val="762FC523"/>
    <w:rsid w:val="7630C84F"/>
    <w:rsid w:val="76322AB9"/>
    <w:rsid w:val="7632813B"/>
    <w:rsid w:val="76328544"/>
    <w:rsid w:val="7635D169"/>
    <w:rsid w:val="76375DD9"/>
    <w:rsid w:val="763E4CE4"/>
    <w:rsid w:val="76403A8A"/>
    <w:rsid w:val="76431D02"/>
    <w:rsid w:val="7644696C"/>
    <w:rsid w:val="76466F12"/>
    <w:rsid w:val="764BAEE2"/>
    <w:rsid w:val="765354A7"/>
    <w:rsid w:val="7657A7A0"/>
    <w:rsid w:val="765AEF66"/>
    <w:rsid w:val="765DCACE"/>
    <w:rsid w:val="7660262A"/>
    <w:rsid w:val="76609934"/>
    <w:rsid w:val="7667544F"/>
    <w:rsid w:val="766A996F"/>
    <w:rsid w:val="766B9E78"/>
    <w:rsid w:val="767573BD"/>
    <w:rsid w:val="7675D7ED"/>
    <w:rsid w:val="7679A613"/>
    <w:rsid w:val="767F1DE4"/>
    <w:rsid w:val="7685F238"/>
    <w:rsid w:val="7686BA18"/>
    <w:rsid w:val="76888237"/>
    <w:rsid w:val="76893B0F"/>
    <w:rsid w:val="768B9D01"/>
    <w:rsid w:val="768DF3E3"/>
    <w:rsid w:val="768F3B57"/>
    <w:rsid w:val="76955922"/>
    <w:rsid w:val="769E8702"/>
    <w:rsid w:val="769ED73E"/>
    <w:rsid w:val="769F0276"/>
    <w:rsid w:val="76A095F5"/>
    <w:rsid w:val="76A21ACB"/>
    <w:rsid w:val="76A53D73"/>
    <w:rsid w:val="76A59F52"/>
    <w:rsid w:val="76A7AFF1"/>
    <w:rsid w:val="76A7D4F9"/>
    <w:rsid w:val="76AA0091"/>
    <w:rsid w:val="76AB45EE"/>
    <w:rsid w:val="76ADD67C"/>
    <w:rsid w:val="76B5E345"/>
    <w:rsid w:val="76B920EC"/>
    <w:rsid w:val="76BB02FE"/>
    <w:rsid w:val="76BD9F1C"/>
    <w:rsid w:val="76BF3485"/>
    <w:rsid w:val="76C2388A"/>
    <w:rsid w:val="76CC5629"/>
    <w:rsid w:val="76D00899"/>
    <w:rsid w:val="76D3ADAD"/>
    <w:rsid w:val="76D93674"/>
    <w:rsid w:val="76DCA91A"/>
    <w:rsid w:val="76DE5FD6"/>
    <w:rsid w:val="76E43D4D"/>
    <w:rsid w:val="76E447AA"/>
    <w:rsid w:val="76E722CF"/>
    <w:rsid w:val="76EDC30C"/>
    <w:rsid w:val="76EE8FFB"/>
    <w:rsid w:val="76EFD7F1"/>
    <w:rsid w:val="7701EEB1"/>
    <w:rsid w:val="77037830"/>
    <w:rsid w:val="77046001"/>
    <w:rsid w:val="770C2A18"/>
    <w:rsid w:val="770D3C17"/>
    <w:rsid w:val="770F23D3"/>
    <w:rsid w:val="771541BA"/>
    <w:rsid w:val="7719DE55"/>
    <w:rsid w:val="771A3EFC"/>
    <w:rsid w:val="771ABA1A"/>
    <w:rsid w:val="771B3758"/>
    <w:rsid w:val="771E6D11"/>
    <w:rsid w:val="771FB48E"/>
    <w:rsid w:val="7721C907"/>
    <w:rsid w:val="772B3C8A"/>
    <w:rsid w:val="772B5586"/>
    <w:rsid w:val="772BE450"/>
    <w:rsid w:val="77337900"/>
    <w:rsid w:val="773ABB67"/>
    <w:rsid w:val="773AE708"/>
    <w:rsid w:val="773ECCBB"/>
    <w:rsid w:val="7745AD65"/>
    <w:rsid w:val="774A388E"/>
    <w:rsid w:val="774CAEC6"/>
    <w:rsid w:val="774FE506"/>
    <w:rsid w:val="7750BB62"/>
    <w:rsid w:val="7750CA20"/>
    <w:rsid w:val="77510B29"/>
    <w:rsid w:val="775B356E"/>
    <w:rsid w:val="775EA672"/>
    <w:rsid w:val="7760539C"/>
    <w:rsid w:val="7760E272"/>
    <w:rsid w:val="776119ED"/>
    <w:rsid w:val="77635EE7"/>
    <w:rsid w:val="7767BA73"/>
    <w:rsid w:val="77691540"/>
    <w:rsid w:val="7769FB9A"/>
    <w:rsid w:val="776BA698"/>
    <w:rsid w:val="776D507D"/>
    <w:rsid w:val="776D8E15"/>
    <w:rsid w:val="776DB9D0"/>
    <w:rsid w:val="776F7906"/>
    <w:rsid w:val="77746AA1"/>
    <w:rsid w:val="777863CF"/>
    <w:rsid w:val="777DD6A8"/>
    <w:rsid w:val="7780D097"/>
    <w:rsid w:val="7780FFB0"/>
    <w:rsid w:val="7781D55A"/>
    <w:rsid w:val="778296FF"/>
    <w:rsid w:val="77848F13"/>
    <w:rsid w:val="7785FA87"/>
    <w:rsid w:val="7789DE14"/>
    <w:rsid w:val="778EDC1F"/>
    <w:rsid w:val="7793455A"/>
    <w:rsid w:val="7795E401"/>
    <w:rsid w:val="779B8A9A"/>
    <w:rsid w:val="779DFD9C"/>
    <w:rsid w:val="779E6740"/>
    <w:rsid w:val="77A02118"/>
    <w:rsid w:val="77A11DA5"/>
    <w:rsid w:val="77A16B04"/>
    <w:rsid w:val="77A1F5A6"/>
    <w:rsid w:val="77A29F9E"/>
    <w:rsid w:val="77B6C1DA"/>
    <w:rsid w:val="77B77E81"/>
    <w:rsid w:val="77BCD3F2"/>
    <w:rsid w:val="77C9482A"/>
    <w:rsid w:val="77D4D76B"/>
    <w:rsid w:val="77D60262"/>
    <w:rsid w:val="77DE46E1"/>
    <w:rsid w:val="77DE5934"/>
    <w:rsid w:val="77DFC348"/>
    <w:rsid w:val="77E05D1E"/>
    <w:rsid w:val="77E0D1BD"/>
    <w:rsid w:val="77E4342F"/>
    <w:rsid w:val="77ECBCAC"/>
    <w:rsid w:val="77EE83BB"/>
    <w:rsid w:val="77F08A6C"/>
    <w:rsid w:val="77F63DC4"/>
    <w:rsid w:val="77F99E67"/>
    <w:rsid w:val="77FB33C6"/>
    <w:rsid w:val="77FCE41F"/>
    <w:rsid w:val="77FD993D"/>
    <w:rsid w:val="78038AD8"/>
    <w:rsid w:val="78052917"/>
    <w:rsid w:val="780613BA"/>
    <w:rsid w:val="78076993"/>
    <w:rsid w:val="78081396"/>
    <w:rsid w:val="780A1F60"/>
    <w:rsid w:val="780E238C"/>
    <w:rsid w:val="7814228E"/>
    <w:rsid w:val="7816C5DF"/>
    <w:rsid w:val="781AF227"/>
    <w:rsid w:val="781B634C"/>
    <w:rsid w:val="7820004B"/>
    <w:rsid w:val="7822AF4E"/>
    <w:rsid w:val="782535E2"/>
    <w:rsid w:val="78283940"/>
    <w:rsid w:val="782F60DF"/>
    <w:rsid w:val="7833D7C4"/>
    <w:rsid w:val="783615D3"/>
    <w:rsid w:val="7836B7E2"/>
    <w:rsid w:val="783AA090"/>
    <w:rsid w:val="78433B1C"/>
    <w:rsid w:val="7843E7B5"/>
    <w:rsid w:val="784468A1"/>
    <w:rsid w:val="7846D88A"/>
    <w:rsid w:val="784DE9BC"/>
    <w:rsid w:val="784ED4DD"/>
    <w:rsid w:val="7850A6FF"/>
    <w:rsid w:val="785EA290"/>
    <w:rsid w:val="785F9E6A"/>
    <w:rsid w:val="78610827"/>
    <w:rsid w:val="7863DF25"/>
    <w:rsid w:val="7866CAEB"/>
    <w:rsid w:val="786BA1AD"/>
    <w:rsid w:val="786C1BEB"/>
    <w:rsid w:val="787348B7"/>
    <w:rsid w:val="787463FF"/>
    <w:rsid w:val="787A4260"/>
    <w:rsid w:val="787A7892"/>
    <w:rsid w:val="787C100B"/>
    <w:rsid w:val="787F1914"/>
    <w:rsid w:val="787FE575"/>
    <w:rsid w:val="78871815"/>
    <w:rsid w:val="788983F7"/>
    <w:rsid w:val="7892C836"/>
    <w:rsid w:val="78939CED"/>
    <w:rsid w:val="789829E4"/>
    <w:rsid w:val="789F74C8"/>
    <w:rsid w:val="78A20209"/>
    <w:rsid w:val="78A7802D"/>
    <w:rsid w:val="78A796AE"/>
    <w:rsid w:val="78AD3528"/>
    <w:rsid w:val="78AE8AE1"/>
    <w:rsid w:val="78B73D5B"/>
    <w:rsid w:val="78BDE640"/>
    <w:rsid w:val="78BFA756"/>
    <w:rsid w:val="78C04E74"/>
    <w:rsid w:val="78C1116A"/>
    <w:rsid w:val="78C5CFD8"/>
    <w:rsid w:val="78CA1D3E"/>
    <w:rsid w:val="78CEEDFE"/>
    <w:rsid w:val="78D00550"/>
    <w:rsid w:val="78D018DA"/>
    <w:rsid w:val="78DC32CB"/>
    <w:rsid w:val="78DCAE33"/>
    <w:rsid w:val="78DD61A4"/>
    <w:rsid w:val="78E59F97"/>
    <w:rsid w:val="78E797C8"/>
    <w:rsid w:val="78E94095"/>
    <w:rsid w:val="78E9D7DE"/>
    <w:rsid w:val="78F750BC"/>
    <w:rsid w:val="78FA4C53"/>
    <w:rsid w:val="78FD9474"/>
    <w:rsid w:val="7909A84D"/>
    <w:rsid w:val="7911CFAC"/>
    <w:rsid w:val="7916F265"/>
    <w:rsid w:val="791DC854"/>
    <w:rsid w:val="79215AFF"/>
    <w:rsid w:val="79244D4F"/>
    <w:rsid w:val="79281AA8"/>
    <w:rsid w:val="792AC9BD"/>
    <w:rsid w:val="7932AA37"/>
    <w:rsid w:val="79376409"/>
    <w:rsid w:val="79384EF0"/>
    <w:rsid w:val="793A31F6"/>
    <w:rsid w:val="79415F44"/>
    <w:rsid w:val="7946044E"/>
    <w:rsid w:val="79472F87"/>
    <w:rsid w:val="7954E1E1"/>
    <w:rsid w:val="795B0179"/>
    <w:rsid w:val="795DAD4A"/>
    <w:rsid w:val="796056E8"/>
    <w:rsid w:val="7961386F"/>
    <w:rsid w:val="797079A3"/>
    <w:rsid w:val="7975742A"/>
    <w:rsid w:val="7977F79D"/>
    <w:rsid w:val="797841FB"/>
    <w:rsid w:val="7979E1C9"/>
    <w:rsid w:val="7982E780"/>
    <w:rsid w:val="7982F4B1"/>
    <w:rsid w:val="7984EEE1"/>
    <w:rsid w:val="798A6860"/>
    <w:rsid w:val="798BFCC4"/>
    <w:rsid w:val="79900C36"/>
    <w:rsid w:val="79931B23"/>
    <w:rsid w:val="7996614A"/>
    <w:rsid w:val="799AC698"/>
    <w:rsid w:val="79A291D7"/>
    <w:rsid w:val="79A568B1"/>
    <w:rsid w:val="79A5D67E"/>
    <w:rsid w:val="79AEE21E"/>
    <w:rsid w:val="79B1C37E"/>
    <w:rsid w:val="79B46FF1"/>
    <w:rsid w:val="79B4CD43"/>
    <w:rsid w:val="79B7074B"/>
    <w:rsid w:val="79C1D7FE"/>
    <w:rsid w:val="79C29F8D"/>
    <w:rsid w:val="79D18441"/>
    <w:rsid w:val="79D4D040"/>
    <w:rsid w:val="79D7EF13"/>
    <w:rsid w:val="79D8FE49"/>
    <w:rsid w:val="79D94B90"/>
    <w:rsid w:val="79D9AA6B"/>
    <w:rsid w:val="79D9C60B"/>
    <w:rsid w:val="79DA7E33"/>
    <w:rsid w:val="79E6ACA2"/>
    <w:rsid w:val="79E8E327"/>
    <w:rsid w:val="79F27E42"/>
    <w:rsid w:val="79FCC309"/>
    <w:rsid w:val="79FF67F2"/>
    <w:rsid w:val="7A032A86"/>
    <w:rsid w:val="7A034B3C"/>
    <w:rsid w:val="7A050E4C"/>
    <w:rsid w:val="7A05403D"/>
    <w:rsid w:val="7A084791"/>
    <w:rsid w:val="7A0A9021"/>
    <w:rsid w:val="7A12F8E7"/>
    <w:rsid w:val="7A134332"/>
    <w:rsid w:val="7A1387F6"/>
    <w:rsid w:val="7A141D8E"/>
    <w:rsid w:val="7A17A63B"/>
    <w:rsid w:val="7A17D0A6"/>
    <w:rsid w:val="7A1C4292"/>
    <w:rsid w:val="7A27EAC8"/>
    <w:rsid w:val="7A336D7E"/>
    <w:rsid w:val="7A3C7F40"/>
    <w:rsid w:val="7A3D1F17"/>
    <w:rsid w:val="7A3EAC8B"/>
    <w:rsid w:val="7A43563A"/>
    <w:rsid w:val="7A44B0ED"/>
    <w:rsid w:val="7A49F61D"/>
    <w:rsid w:val="7A4E401B"/>
    <w:rsid w:val="7A4FAD9F"/>
    <w:rsid w:val="7A544B81"/>
    <w:rsid w:val="7A54EB78"/>
    <w:rsid w:val="7A5590F8"/>
    <w:rsid w:val="7A5CE25A"/>
    <w:rsid w:val="7A5DABC4"/>
    <w:rsid w:val="7A611435"/>
    <w:rsid w:val="7A6494CF"/>
    <w:rsid w:val="7A6AC33E"/>
    <w:rsid w:val="7A6B6D6D"/>
    <w:rsid w:val="7A6D1B83"/>
    <w:rsid w:val="7A6D5E31"/>
    <w:rsid w:val="7A6DB8EE"/>
    <w:rsid w:val="7A738948"/>
    <w:rsid w:val="7A82831B"/>
    <w:rsid w:val="7A82DCB4"/>
    <w:rsid w:val="7A8540A7"/>
    <w:rsid w:val="7A86FD41"/>
    <w:rsid w:val="7A88A23F"/>
    <w:rsid w:val="7A892253"/>
    <w:rsid w:val="7A8A1311"/>
    <w:rsid w:val="7A8B094F"/>
    <w:rsid w:val="7A8C2AAB"/>
    <w:rsid w:val="7A8C5AC7"/>
    <w:rsid w:val="7A920CE1"/>
    <w:rsid w:val="7A96D583"/>
    <w:rsid w:val="7A987FBA"/>
    <w:rsid w:val="7A991445"/>
    <w:rsid w:val="7A998120"/>
    <w:rsid w:val="7A9AE34A"/>
    <w:rsid w:val="7A9FAB79"/>
    <w:rsid w:val="7AA54549"/>
    <w:rsid w:val="7AAEA46C"/>
    <w:rsid w:val="7AB032C5"/>
    <w:rsid w:val="7AB32C37"/>
    <w:rsid w:val="7AB8D14B"/>
    <w:rsid w:val="7ABA0318"/>
    <w:rsid w:val="7ABCC777"/>
    <w:rsid w:val="7ABF9299"/>
    <w:rsid w:val="7AC27645"/>
    <w:rsid w:val="7AC30BBE"/>
    <w:rsid w:val="7ACA0F72"/>
    <w:rsid w:val="7ACA81C5"/>
    <w:rsid w:val="7ACC076A"/>
    <w:rsid w:val="7ADAF126"/>
    <w:rsid w:val="7AE16B50"/>
    <w:rsid w:val="7AE34298"/>
    <w:rsid w:val="7AE3A5EB"/>
    <w:rsid w:val="7AE88435"/>
    <w:rsid w:val="7AEA6709"/>
    <w:rsid w:val="7AECFE82"/>
    <w:rsid w:val="7AEF6C79"/>
    <w:rsid w:val="7AEFB8D2"/>
    <w:rsid w:val="7AFD27BC"/>
    <w:rsid w:val="7B062DA5"/>
    <w:rsid w:val="7B0A0CF6"/>
    <w:rsid w:val="7B114C4D"/>
    <w:rsid w:val="7B1246C9"/>
    <w:rsid w:val="7B15B83B"/>
    <w:rsid w:val="7B16A11C"/>
    <w:rsid w:val="7B18E3F5"/>
    <w:rsid w:val="7B195E3E"/>
    <w:rsid w:val="7B1C2AD9"/>
    <w:rsid w:val="7B1ECAB9"/>
    <w:rsid w:val="7B1FBD02"/>
    <w:rsid w:val="7B21779B"/>
    <w:rsid w:val="7B217C0F"/>
    <w:rsid w:val="7B275FDB"/>
    <w:rsid w:val="7B2A2FB1"/>
    <w:rsid w:val="7B2BF533"/>
    <w:rsid w:val="7B305AE5"/>
    <w:rsid w:val="7B33349B"/>
    <w:rsid w:val="7B3964E0"/>
    <w:rsid w:val="7B3FA1C2"/>
    <w:rsid w:val="7B429D69"/>
    <w:rsid w:val="7B43975D"/>
    <w:rsid w:val="7B4AA742"/>
    <w:rsid w:val="7B4BB133"/>
    <w:rsid w:val="7B4C50E5"/>
    <w:rsid w:val="7B4E79A5"/>
    <w:rsid w:val="7B53F38A"/>
    <w:rsid w:val="7B581FF9"/>
    <w:rsid w:val="7B5DCB4A"/>
    <w:rsid w:val="7B5FAFB5"/>
    <w:rsid w:val="7B635D24"/>
    <w:rsid w:val="7B6F5DBD"/>
    <w:rsid w:val="7B70DE52"/>
    <w:rsid w:val="7B71B55C"/>
    <w:rsid w:val="7B739E02"/>
    <w:rsid w:val="7B743315"/>
    <w:rsid w:val="7B7673B0"/>
    <w:rsid w:val="7B81C291"/>
    <w:rsid w:val="7B844071"/>
    <w:rsid w:val="7B877C1B"/>
    <w:rsid w:val="7B90A552"/>
    <w:rsid w:val="7B91F139"/>
    <w:rsid w:val="7B9212B1"/>
    <w:rsid w:val="7B9506A4"/>
    <w:rsid w:val="7B98605A"/>
    <w:rsid w:val="7B999754"/>
    <w:rsid w:val="7B9DB81E"/>
    <w:rsid w:val="7BA0855C"/>
    <w:rsid w:val="7BA0CF6B"/>
    <w:rsid w:val="7BA533EF"/>
    <w:rsid w:val="7BA709A9"/>
    <w:rsid w:val="7BAB6A69"/>
    <w:rsid w:val="7BADC058"/>
    <w:rsid w:val="7BAE4D96"/>
    <w:rsid w:val="7BB44C31"/>
    <w:rsid w:val="7BB4DDA2"/>
    <w:rsid w:val="7BB52838"/>
    <w:rsid w:val="7BB554C8"/>
    <w:rsid w:val="7BB6FF9C"/>
    <w:rsid w:val="7BB740D6"/>
    <w:rsid w:val="7BB77806"/>
    <w:rsid w:val="7BB8D610"/>
    <w:rsid w:val="7BBFD034"/>
    <w:rsid w:val="7BC0D132"/>
    <w:rsid w:val="7BC16195"/>
    <w:rsid w:val="7BC60EF5"/>
    <w:rsid w:val="7BCA970D"/>
    <w:rsid w:val="7BCFFE9A"/>
    <w:rsid w:val="7BD4A08A"/>
    <w:rsid w:val="7BD696D2"/>
    <w:rsid w:val="7BD76AB3"/>
    <w:rsid w:val="7BDB38CA"/>
    <w:rsid w:val="7BDF425A"/>
    <w:rsid w:val="7BE1D29A"/>
    <w:rsid w:val="7BE1E384"/>
    <w:rsid w:val="7BE21668"/>
    <w:rsid w:val="7BE50714"/>
    <w:rsid w:val="7BEA7574"/>
    <w:rsid w:val="7BEA9A3A"/>
    <w:rsid w:val="7BED79CB"/>
    <w:rsid w:val="7BF1CE14"/>
    <w:rsid w:val="7BF24E8C"/>
    <w:rsid w:val="7C03EFA4"/>
    <w:rsid w:val="7C0894C6"/>
    <w:rsid w:val="7C093C90"/>
    <w:rsid w:val="7C0D21B2"/>
    <w:rsid w:val="7C0F92CE"/>
    <w:rsid w:val="7C109A42"/>
    <w:rsid w:val="7C130992"/>
    <w:rsid w:val="7C13C0F3"/>
    <w:rsid w:val="7C149025"/>
    <w:rsid w:val="7C23CFC8"/>
    <w:rsid w:val="7C269E18"/>
    <w:rsid w:val="7C2C7FA0"/>
    <w:rsid w:val="7C32A1B5"/>
    <w:rsid w:val="7C39A9FF"/>
    <w:rsid w:val="7C4D00E5"/>
    <w:rsid w:val="7C4FFD08"/>
    <w:rsid w:val="7C5271E4"/>
    <w:rsid w:val="7C530B33"/>
    <w:rsid w:val="7C53F1D1"/>
    <w:rsid w:val="7C550745"/>
    <w:rsid w:val="7C5D3E69"/>
    <w:rsid w:val="7C6824F8"/>
    <w:rsid w:val="7C6DF195"/>
    <w:rsid w:val="7C6FAB1F"/>
    <w:rsid w:val="7C716679"/>
    <w:rsid w:val="7C731610"/>
    <w:rsid w:val="7C764DA7"/>
    <w:rsid w:val="7C7A58EC"/>
    <w:rsid w:val="7C7C9814"/>
    <w:rsid w:val="7C80FC0B"/>
    <w:rsid w:val="7C813600"/>
    <w:rsid w:val="7C814310"/>
    <w:rsid w:val="7C829C9E"/>
    <w:rsid w:val="7C8C3F52"/>
    <w:rsid w:val="7C8E0108"/>
    <w:rsid w:val="7C91A2AA"/>
    <w:rsid w:val="7C93192A"/>
    <w:rsid w:val="7C940794"/>
    <w:rsid w:val="7C949E1F"/>
    <w:rsid w:val="7C95EF54"/>
    <w:rsid w:val="7C9B0EEC"/>
    <w:rsid w:val="7C9C8D2C"/>
    <w:rsid w:val="7CA301F3"/>
    <w:rsid w:val="7CA7F224"/>
    <w:rsid w:val="7CA954C7"/>
    <w:rsid w:val="7CB34C2E"/>
    <w:rsid w:val="7CBA5A9C"/>
    <w:rsid w:val="7CBB7E2C"/>
    <w:rsid w:val="7CBDF61A"/>
    <w:rsid w:val="7CBE9E20"/>
    <w:rsid w:val="7CC38556"/>
    <w:rsid w:val="7CC44B37"/>
    <w:rsid w:val="7CCBAACE"/>
    <w:rsid w:val="7CCD03E7"/>
    <w:rsid w:val="7CD12F2D"/>
    <w:rsid w:val="7CD20A39"/>
    <w:rsid w:val="7CD2B949"/>
    <w:rsid w:val="7CDB92B9"/>
    <w:rsid w:val="7CE001EA"/>
    <w:rsid w:val="7CE0E840"/>
    <w:rsid w:val="7CE8D3FC"/>
    <w:rsid w:val="7CEC00A7"/>
    <w:rsid w:val="7CEF4383"/>
    <w:rsid w:val="7CF2CBD8"/>
    <w:rsid w:val="7CF6B605"/>
    <w:rsid w:val="7CFD3920"/>
    <w:rsid w:val="7CFEF711"/>
    <w:rsid w:val="7D0215A7"/>
    <w:rsid w:val="7D03EB27"/>
    <w:rsid w:val="7D08D22D"/>
    <w:rsid w:val="7D09B545"/>
    <w:rsid w:val="7D129817"/>
    <w:rsid w:val="7D17AE7E"/>
    <w:rsid w:val="7D1BB357"/>
    <w:rsid w:val="7D20FF97"/>
    <w:rsid w:val="7D2B772E"/>
    <w:rsid w:val="7D2FD0A5"/>
    <w:rsid w:val="7D2FE918"/>
    <w:rsid w:val="7D31ED11"/>
    <w:rsid w:val="7D38804A"/>
    <w:rsid w:val="7D39B81C"/>
    <w:rsid w:val="7D3DD62B"/>
    <w:rsid w:val="7D43050C"/>
    <w:rsid w:val="7D4380B8"/>
    <w:rsid w:val="7D463E73"/>
    <w:rsid w:val="7D4CACA5"/>
    <w:rsid w:val="7D56DB40"/>
    <w:rsid w:val="7D60D635"/>
    <w:rsid w:val="7D628C27"/>
    <w:rsid w:val="7D658A3D"/>
    <w:rsid w:val="7D69FD2B"/>
    <w:rsid w:val="7D6A957E"/>
    <w:rsid w:val="7D6CA4B7"/>
    <w:rsid w:val="7D6CC51E"/>
    <w:rsid w:val="7D6FE8BB"/>
    <w:rsid w:val="7D712461"/>
    <w:rsid w:val="7D789B79"/>
    <w:rsid w:val="7D7E8394"/>
    <w:rsid w:val="7D7FE09A"/>
    <w:rsid w:val="7D805021"/>
    <w:rsid w:val="7D84D908"/>
    <w:rsid w:val="7D85BAE3"/>
    <w:rsid w:val="7D87AFD5"/>
    <w:rsid w:val="7D8ADB37"/>
    <w:rsid w:val="7D8B20EE"/>
    <w:rsid w:val="7D8E816D"/>
    <w:rsid w:val="7D8E8999"/>
    <w:rsid w:val="7D8EC79E"/>
    <w:rsid w:val="7D92C003"/>
    <w:rsid w:val="7D92D71F"/>
    <w:rsid w:val="7D9547D8"/>
    <w:rsid w:val="7D9BBBF6"/>
    <w:rsid w:val="7D9CE32F"/>
    <w:rsid w:val="7DA2583E"/>
    <w:rsid w:val="7DA2E0BA"/>
    <w:rsid w:val="7DA30900"/>
    <w:rsid w:val="7DA540E3"/>
    <w:rsid w:val="7DA5C9B8"/>
    <w:rsid w:val="7DA89996"/>
    <w:rsid w:val="7DAADE4A"/>
    <w:rsid w:val="7DAC9C3E"/>
    <w:rsid w:val="7DAC9D71"/>
    <w:rsid w:val="7DAD6A52"/>
    <w:rsid w:val="7DB4CF2A"/>
    <w:rsid w:val="7DB59B91"/>
    <w:rsid w:val="7DB61321"/>
    <w:rsid w:val="7DBB6258"/>
    <w:rsid w:val="7DBFA1CC"/>
    <w:rsid w:val="7DC18F26"/>
    <w:rsid w:val="7DC48A5A"/>
    <w:rsid w:val="7DC7EBC7"/>
    <w:rsid w:val="7DCB7624"/>
    <w:rsid w:val="7DCCD54A"/>
    <w:rsid w:val="7DCD1F01"/>
    <w:rsid w:val="7DCD742D"/>
    <w:rsid w:val="7DD07EF4"/>
    <w:rsid w:val="7DD0F3F9"/>
    <w:rsid w:val="7DD40B50"/>
    <w:rsid w:val="7DD565EB"/>
    <w:rsid w:val="7DDAD7F4"/>
    <w:rsid w:val="7DE3E97B"/>
    <w:rsid w:val="7DEFF3A7"/>
    <w:rsid w:val="7DF6D2DE"/>
    <w:rsid w:val="7E07BAA6"/>
    <w:rsid w:val="7E0C8330"/>
    <w:rsid w:val="7E0E8C7A"/>
    <w:rsid w:val="7E1390CD"/>
    <w:rsid w:val="7E188911"/>
    <w:rsid w:val="7E191272"/>
    <w:rsid w:val="7E1B52DD"/>
    <w:rsid w:val="7E1BAC4F"/>
    <w:rsid w:val="7E1BBCC7"/>
    <w:rsid w:val="7E1C06FB"/>
    <w:rsid w:val="7E1C2124"/>
    <w:rsid w:val="7E23391E"/>
    <w:rsid w:val="7E25D15A"/>
    <w:rsid w:val="7E2C568C"/>
    <w:rsid w:val="7E2E4345"/>
    <w:rsid w:val="7E317178"/>
    <w:rsid w:val="7E32630F"/>
    <w:rsid w:val="7E34AC15"/>
    <w:rsid w:val="7E350F32"/>
    <w:rsid w:val="7E3C4A36"/>
    <w:rsid w:val="7E3ECC24"/>
    <w:rsid w:val="7E4123E8"/>
    <w:rsid w:val="7E417DBC"/>
    <w:rsid w:val="7E41EB3B"/>
    <w:rsid w:val="7E432D9C"/>
    <w:rsid w:val="7E442FD8"/>
    <w:rsid w:val="7E47E9CF"/>
    <w:rsid w:val="7E4AC6CA"/>
    <w:rsid w:val="7E4AF716"/>
    <w:rsid w:val="7E4B2712"/>
    <w:rsid w:val="7E4F1854"/>
    <w:rsid w:val="7E4F6070"/>
    <w:rsid w:val="7E5FFBF2"/>
    <w:rsid w:val="7E62C642"/>
    <w:rsid w:val="7E675DDD"/>
    <w:rsid w:val="7E68A3ED"/>
    <w:rsid w:val="7E6E7A9D"/>
    <w:rsid w:val="7E6FE787"/>
    <w:rsid w:val="7E744E46"/>
    <w:rsid w:val="7E751ABB"/>
    <w:rsid w:val="7E762EDF"/>
    <w:rsid w:val="7E8190ED"/>
    <w:rsid w:val="7E819D5C"/>
    <w:rsid w:val="7E88306F"/>
    <w:rsid w:val="7E8A1A02"/>
    <w:rsid w:val="7E8B5E61"/>
    <w:rsid w:val="7E8D17DC"/>
    <w:rsid w:val="7E96F13F"/>
    <w:rsid w:val="7E98BF75"/>
    <w:rsid w:val="7E9DFB23"/>
    <w:rsid w:val="7E9F463B"/>
    <w:rsid w:val="7EA588E8"/>
    <w:rsid w:val="7EB4E982"/>
    <w:rsid w:val="7EB54A71"/>
    <w:rsid w:val="7EB5A7E2"/>
    <w:rsid w:val="7EC3C0C0"/>
    <w:rsid w:val="7EC3CD2E"/>
    <w:rsid w:val="7EC5D9F3"/>
    <w:rsid w:val="7EC63C37"/>
    <w:rsid w:val="7ECD639A"/>
    <w:rsid w:val="7ED9B5EC"/>
    <w:rsid w:val="7EE43061"/>
    <w:rsid w:val="7EE65B9D"/>
    <w:rsid w:val="7EE76C80"/>
    <w:rsid w:val="7EE81D4F"/>
    <w:rsid w:val="7EEBBB5B"/>
    <w:rsid w:val="7EF04FDB"/>
    <w:rsid w:val="7EF0CEE3"/>
    <w:rsid w:val="7EF63B17"/>
    <w:rsid w:val="7EFB51FE"/>
    <w:rsid w:val="7EFCD4D5"/>
    <w:rsid w:val="7EFE75D1"/>
    <w:rsid w:val="7F03ACB8"/>
    <w:rsid w:val="7F04EC2C"/>
    <w:rsid w:val="7F051DBC"/>
    <w:rsid w:val="7F067A73"/>
    <w:rsid w:val="7F100D11"/>
    <w:rsid w:val="7F11789F"/>
    <w:rsid w:val="7F11C2A3"/>
    <w:rsid w:val="7F12B450"/>
    <w:rsid w:val="7F15CB87"/>
    <w:rsid w:val="7F1630A1"/>
    <w:rsid w:val="7F1F748C"/>
    <w:rsid w:val="7F205C03"/>
    <w:rsid w:val="7F219757"/>
    <w:rsid w:val="7F24CCC3"/>
    <w:rsid w:val="7F280F41"/>
    <w:rsid w:val="7F296ACA"/>
    <w:rsid w:val="7F29ACAF"/>
    <w:rsid w:val="7F2B217F"/>
    <w:rsid w:val="7F2D73F1"/>
    <w:rsid w:val="7F2EBBE9"/>
    <w:rsid w:val="7F2F4362"/>
    <w:rsid w:val="7F3182D1"/>
    <w:rsid w:val="7F33B44A"/>
    <w:rsid w:val="7F34CEB5"/>
    <w:rsid w:val="7F369D6A"/>
    <w:rsid w:val="7F36ACD5"/>
    <w:rsid w:val="7F36DE81"/>
    <w:rsid w:val="7F389550"/>
    <w:rsid w:val="7F3C9756"/>
    <w:rsid w:val="7F3EE707"/>
    <w:rsid w:val="7F3F8D5A"/>
    <w:rsid w:val="7F40091B"/>
    <w:rsid w:val="7F40ED01"/>
    <w:rsid w:val="7F42811C"/>
    <w:rsid w:val="7F4515A1"/>
    <w:rsid w:val="7F45B45C"/>
    <w:rsid w:val="7F45C9FB"/>
    <w:rsid w:val="7F46FD8A"/>
    <w:rsid w:val="7F48E956"/>
    <w:rsid w:val="7F48F644"/>
    <w:rsid w:val="7F49A65D"/>
    <w:rsid w:val="7F4E125C"/>
    <w:rsid w:val="7F51797F"/>
    <w:rsid w:val="7F5304B7"/>
    <w:rsid w:val="7F54C08F"/>
    <w:rsid w:val="7F5A9A27"/>
    <w:rsid w:val="7F5B6A0E"/>
    <w:rsid w:val="7F5C6633"/>
    <w:rsid w:val="7F5D493D"/>
    <w:rsid w:val="7F5E4580"/>
    <w:rsid w:val="7F62123C"/>
    <w:rsid w:val="7F63EE85"/>
    <w:rsid w:val="7F641FD9"/>
    <w:rsid w:val="7F69CCA9"/>
    <w:rsid w:val="7F739F0C"/>
    <w:rsid w:val="7F780F3D"/>
    <w:rsid w:val="7F7C92C3"/>
    <w:rsid w:val="7F7CFDBF"/>
    <w:rsid w:val="7F7EF355"/>
    <w:rsid w:val="7F7F5EB0"/>
    <w:rsid w:val="7F85230E"/>
    <w:rsid w:val="7F85EC9C"/>
    <w:rsid w:val="7F8FEB88"/>
    <w:rsid w:val="7F950A53"/>
    <w:rsid w:val="7F96B1B7"/>
    <w:rsid w:val="7FA12D3E"/>
    <w:rsid w:val="7FA3FA16"/>
    <w:rsid w:val="7FA98CB5"/>
    <w:rsid w:val="7FA9F603"/>
    <w:rsid w:val="7FAE1A90"/>
    <w:rsid w:val="7FB4C96E"/>
    <w:rsid w:val="7FB5B189"/>
    <w:rsid w:val="7FB9A1BD"/>
    <w:rsid w:val="7FBAE087"/>
    <w:rsid w:val="7FBCD25B"/>
    <w:rsid w:val="7FBD4362"/>
    <w:rsid w:val="7FC738E4"/>
    <w:rsid w:val="7FCFB564"/>
    <w:rsid w:val="7FD3392E"/>
    <w:rsid w:val="7FD3A399"/>
    <w:rsid w:val="7FD6B421"/>
    <w:rsid w:val="7FD7F126"/>
    <w:rsid w:val="7FE0B593"/>
    <w:rsid w:val="7FE5A765"/>
    <w:rsid w:val="7FE9399F"/>
    <w:rsid w:val="7FF06155"/>
    <w:rsid w:val="7FFBC2DD"/>
    <w:rsid w:val="7FFCA8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5E0C3"/>
  <w14:defaultImageDpi w14:val="32767"/>
  <w15:docId w15:val="{586129CC-6E28-4176-86DA-235F9376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2"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5E"/>
    <w:pPr>
      <w:spacing w:before="120" w:after="120" w:line="240" w:lineRule="auto"/>
    </w:pPr>
    <w:rPr>
      <w:rFonts w:ascii="Arial Nova Light" w:hAnsi="Arial Nova Light"/>
      <w:sz w:val="20"/>
      <w:szCs w:val="24"/>
    </w:rPr>
  </w:style>
  <w:style w:type="paragraph" w:styleId="Heading1">
    <w:name w:val="heading 1"/>
    <w:aliases w:val="EPW H1"/>
    <w:basedOn w:val="Normal"/>
    <w:next w:val="Normal"/>
    <w:link w:val="Heading1Char"/>
    <w:uiPriority w:val="9"/>
    <w:qFormat/>
    <w:rsid w:val="00E358BA"/>
    <w:pPr>
      <w:keepNext/>
      <w:keepLines/>
      <w:pBdr>
        <w:top w:val="single" w:sz="4" w:space="7" w:color="auto"/>
        <w:bottom w:val="single" w:sz="4" w:space="7" w:color="auto"/>
      </w:pBdr>
      <w:spacing w:before="360" w:after="240"/>
      <w:outlineLvl w:val="0"/>
    </w:pPr>
    <w:rPr>
      <w:rFonts w:ascii="Arial Nova" w:eastAsia="Times New Roman" w:hAnsi="Arial Nova" w:cstheme="majorBidi"/>
      <w:b/>
      <w:color w:val="000000" w:themeColor="text1"/>
      <w:sz w:val="36"/>
      <w:szCs w:val="44"/>
      <w:lang w:eastAsia="en-GB"/>
    </w:rPr>
  </w:style>
  <w:style w:type="paragraph" w:styleId="Heading2">
    <w:name w:val="heading 2"/>
    <w:aliases w:val="EPW H2"/>
    <w:basedOn w:val="Heading3"/>
    <w:next w:val="Normal"/>
    <w:link w:val="Heading2Char"/>
    <w:uiPriority w:val="9"/>
    <w:unhideWhenUsed/>
    <w:qFormat/>
    <w:rsid w:val="00A86C84"/>
    <w:pPr>
      <w:outlineLvl w:val="1"/>
    </w:pPr>
    <w:rPr>
      <w:sz w:val="36"/>
      <w:szCs w:val="36"/>
    </w:rPr>
  </w:style>
  <w:style w:type="paragraph" w:styleId="Heading3">
    <w:name w:val="heading 3"/>
    <w:aliases w:val="EPW Heading 3"/>
    <w:basedOn w:val="Normal"/>
    <w:next w:val="Normal"/>
    <w:link w:val="Heading3Char"/>
    <w:uiPriority w:val="9"/>
    <w:unhideWhenUsed/>
    <w:qFormat/>
    <w:rsid w:val="0089538D"/>
    <w:pPr>
      <w:keepNext/>
      <w:keepLines/>
      <w:spacing w:before="240" w:after="240"/>
      <w:outlineLvl w:val="2"/>
    </w:pPr>
    <w:rPr>
      <w:rFonts w:eastAsiaTheme="majorEastAsia" w:cstheme="majorBidi"/>
      <w:sz w:val="32"/>
      <w:szCs w:val="32"/>
    </w:rPr>
  </w:style>
  <w:style w:type="paragraph" w:styleId="Heading4">
    <w:name w:val="heading 4"/>
    <w:aliases w:val="EPW Heading 4"/>
    <w:basedOn w:val="Heading3"/>
    <w:next w:val="Normal"/>
    <w:link w:val="Heading4Char"/>
    <w:uiPriority w:val="9"/>
    <w:unhideWhenUsed/>
    <w:qFormat/>
    <w:rsid w:val="00FD630C"/>
    <w:pPr>
      <w:outlineLvl w:val="3"/>
    </w:pPr>
    <w:rPr>
      <w:b/>
      <w:bCs/>
      <w:sz w:val="24"/>
      <w:lang w:eastAsia="en-AU"/>
    </w:rPr>
  </w:style>
  <w:style w:type="paragraph" w:styleId="Heading5">
    <w:name w:val="heading 5"/>
    <w:basedOn w:val="Normal"/>
    <w:next w:val="Normal"/>
    <w:link w:val="Heading5Char"/>
    <w:uiPriority w:val="9"/>
    <w:unhideWhenUsed/>
    <w:qFormat/>
    <w:rsid w:val="00EB736D"/>
    <w:pPr>
      <w:keepNext/>
      <w:keepLines/>
      <w:outlineLvl w:val="4"/>
    </w:pPr>
    <w:rPr>
      <w:rFonts w:ascii="Arial Nova" w:eastAsiaTheme="majorEastAsia" w:hAnsi="Arial Nova" w:cstheme="majorBidi"/>
      <w:b/>
      <w:color w:val="7F7F7F" w:themeColor="text1" w:themeTint="80"/>
      <w:sz w:val="18"/>
      <w:szCs w:val="18"/>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6E6E6E" w:themeColor="accent1" w:themeShade="7F"/>
    </w:rPr>
  </w:style>
  <w:style w:type="paragraph" w:styleId="Heading8">
    <w:name w:val="heading 8"/>
    <w:basedOn w:val="Normal"/>
    <w:next w:val="Normal"/>
    <w:link w:val="Heading8Char"/>
    <w:uiPriority w:val="9"/>
    <w:semiHidden/>
    <w:unhideWhenUsed/>
    <w:qFormat/>
    <w:rsid w:val="00D1405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aliases w:val="Recommendation,List Paragraph1,List Paragraph11,Bullet point,Bulletr List Paragraph,FooterText,L,List Paragraph2,List Paragraph21,Listeafsnit1,NFP GP Bulleted List,Paragraphe de liste1,Parágrafo da Lista1,bullet point list,1 heading,列出段落"/>
    <w:basedOn w:val="Normal"/>
    <w:link w:val="ListParagraphChar"/>
    <w:uiPriority w:val="34"/>
    <w:qFormat/>
    <w:rsid w:val="00B16FED"/>
    <w:pPr>
      <w:numPr>
        <w:numId w:val="12"/>
      </w:numPr>
      <w:spacing w:after="60"/>
    </w:pPr>
  </w:style>
  <w:style w:type="character" w:customStyle="1" w:styleId="Heading1Char">
    <w:name w:val="Heading 1 Char"/>
    <w:aliases w:val="EPW H1 Char"/>
    <w:basedOn w:val="DefaultParagraphFont"/>
    <w:link w:val="Heading1"/>
    <w:uiPriority w:val="9"/>
    <w:rsid w:val="00A86C84"/>
    <w:rPr>
      <w:rFonts w:ascii="Arial Nova" w:eastAsia="Times New Roman" w:hAnsi="Arial Nova" w:cstheme="majorBidi"/>
      <w:b/>
      <w:color w:val="000000" w:themeColor="text1"/>
      <w:sz w:val="36"/>
      <w:szCs w:val="44"/>
      <w:lang w:eastAsia="en-GB"/>
    </w:rPr>
  </w:style>
  <w:style w:type="character" w:customStyle="1" w:styleId="Heading2Char">
    <w:name w:val="Heading 2 Char"/>
    <w:aliases w:val="EPW H2 Char"/>
    <w:basedOn w:val="DefaultParagraphFont"/>
    <w:link w:val="Heading2"/>
    <w:uiPriority w:val="9"/>
    <w:rsid w:val="00A86C84"/>
    <w:rPr>
      <w:rFonts w:ascii="Arial Nova Light" w:eastAsiaTheme="majorEastAsia" w:hAnsi="Arial Nova Light" w:cstheme="majorBidi"/>
      <w:color w:val="808080" w:themeColor="background1" w:themeShade="80"/>
      <w:sz w:val="36"/>
      <w:szCs w:val="36"/>
    </w:rPr>
  </w:style>
  <w:style w:type="character" w:customStyle="1" w:styleId="Heading3Char">
    <w:name w:val="Heading 3 Char"/>
    <w:aliases w:val="EPW Heading 3 Char"/>
    <w:basedOn w:val="DefaultParagraphFont"/>
    <w:link w:val="Heading3"/>
    <w:uiPriority w:val="9"/>
    <w:rsid w:val="0079274F"/>
    <w:rPr>
      <w:rFonts w:ascii="Arial Nova Light" w:eastAsiaTheme="majorEastAsia" w:hAnsi="Arial Nova Light" w:cstheme="majorBidi"/>
      <w:sz w:val="32"/>
      <w:szCs w:val="32"/>
    </w:rPr>
  </w:style>
  <w:style w:type="character" w:customStyle="1" w:styleId="Heading4Char">
    <w:name w:val="Heading 4 Char"/>
    <w:aliases w:val="EPW Heading 4 Char"/>
    <w:basedOn w:val="DefaultParagraphFont"/>
    <w:link w:val="Heading4"/>
    <w:uiPriority w:val="9"/>
    <w:rsid w:val="00FD630C"/>
    <w:rPr>
      <w:rFonts w:ascii="Arial Nova Light" w:eastAsiaTheme="majorEastAsia" w:hAnsi="Arial Nova Light" w:cstheme="majorBidi"/>
      <w:b/>
      <w:bCs/>
      <w:color w:val="808080" w:themeColor="background1" w:themeShade="80"/>
      <w:sz w:val="24"/>
      <w:szCs w:val="32"/>
      <w:lang w:eastAsia="en-AU"/>
    </w:rPr>
  </w:style>
  <w:style w:type="character" w:customStyle="1" w:styleId="Heading5Char">
    <w:name w:val="Heading 5 Char"/>
    <w:basedOn w:val="DefaultParagraphFont"/>
    <w:link w:val="Heading5"/>
    <w:uiPriority w:val="9"/>
    <w:rsid w:val="00EB736D"/>
    <w:rPr>
      <w:rFonts w:ascii="Arial Nova" w:eastAsiaTheme="majorEastAsia" w:hAnsi="Arial Nova" w:cstheme="majorBidi"/>
      <w:b/>
      <w:color w:val="7F7F7F" w:themeColor="text1" w:themeTint="80"/>
      <w:sz w:val="18"/>
      <w:szCs w:val="18"/>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39"/>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82736F"/>
    <w:pPr>
      <w:spacing w:before="240" w:after="0"/>
      <w:contextualSpacing/>
    </w:pPr>
    <w:rPr>
      <w:rFonts w:eastAsiaTheme="majorEastAsia" w:cstheme="majorBidi"/>
      <w:b/>
      <w:color w:val="C00000"/>
      <w:spacing w:val="-10"/>
      <w:kern w:val="28"/>
      <w:sz w:val="56"/>
      <w:szCs w:val="56"/>
    </w:rPr>
  </w:style>
  <w:style w:type="character" w:customStyle="1" w:styleId="TitleChar">
    <w:name w:val="Title Char"/>
    <w:basedOn w:val="DefaultParagraphFont"/>
    <w:link w:val="Title"/>
    <w:uiPriority w:val="10"/>
    <w:rsid w:val="0082736F"/>
    <w:rPr>
      <w:rFonts w:ascii="Calibri" w:eastAsiaTheme="majorEastAsia" w:hAnsi="Calibri" w:cstheme="majorBidi"/>
      <w:b/>
      <w:color w:val="C00000"/>
      <w:spacing w:val="-10"/>
      <w:kern w:val="28"/>
      <w:sz w:val="56"/>
      <w:szCs w:val="56"/>
    </w:rPr>
  </w:style>
  <w:style w:type="paragraph" w:styleId="Subtitle">
    <w:name w:val="Subtitle"/>
    <w:basedOn w:val="Normal"/>
    <w:next w:val="Normal"/>
    <w:link w:val="SubtitleChar"/>
    <w:uiPriority w:val="11"/>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6E6E6E"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DDDDDD"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rsid w:val="00374805"/>
    <w:pPr>
      <w:pBdr>
        <w:top w:val="single" w:sz="4" w:space="10" w:color="808080" w:themeColor="background1" w:themeShade="80"/>
        <w:bottom w:val="single" w:sz="4" w:space="10" w:color="808080" w:themeColor="background1" w:themeShade="80"/>
      </w:pBdr>
      <w:ind w:left="862" w:right="862"/>
      <w:jc w:val="center"/>
    </w:pPr>
    <w:rPr>
      <w:iCs/>
      <w:color w:val="595959" w:themeColor="text1" w:themeTint="A6"/>
    </w:rPr>
  </w:style>
  <w:style w:type="character" w:customStyle="1" w:styleId="IntenseQuoteChar">
    <w:name w:val="Intense Quote Char"/>
    <w:basedOn w:val="DefaultParagraphFont"/>
    <w:link w:val="IntenseQuote"/>
    <w:uiPriority w:val="30"/>
    <w:rsid w:val="00374805"/>
    <w:rPr>
      <w:rFonts w:ascii="Arial" w:hAnsi="Arial"/>
      <w:iCs/>
      <w:color w:val="595959" w:themeColor="text1" w:themeTint="A6"/>
      <w:sz w:val="20"/>
    </w:rPr>
  </w:style>
  <w:style w:type="character" w:styleId="Hyperlink">
    <w:name w:val="Hyperlink"/>
    <w:basedOn w:val="DefaultParagraphFont"/>
    <w:uiPriority w:val="99"/>
    <w:unhideWhenUsed/>
    <w:rsid w:val="00D219EC"/>
    <w:rPr>
      <w:color w:val="5F5F5F" w:themeColor="hyperlink"/>
      <w:u w:val="single"/>
    </w:rPr>
  </w:style>
  <w:style w:type="character" w:styleId="UnresolvedMention">
    <w:name w:val="Unresolved Mention"/>
    <w:basedOn w:val="DefaultParagraphFont"/>
    <w:uiPriority w:val="99"/>
    <w:unhideWhenUsed/>
    <w:rsid w:val="00D219EC"/>
    <w:rPr>
      <w:color w:val="605E5C"/>
      <w:shd w:val="clear" w:color="auto" w:fill="E1DFDD"/>
    </w:rPr>
  </w:style>
  <w:style w:type="character" w:styleId="IntenseEmphasis">
    <w:name w:val="Intense Emphasis"/>
    <w:basedOn w:val="DefaultParagraphFont"/>
    <w:uiPriority w:val="21"/>
    <w:rsid w:val="00374805"/>
    <w:rPr>
      <w:i/>
      <w:iCs/>
      <w:color w:val="808080" w:themeColor="background1" w:themeShade="80"/>
    </w:rPr>
  </w:style>
  <w:style w:type="character" w:styleId="FollowedHyperlink">
    <w:name w:val="FollowedHyperlink"/>
    <w:basedOn w:val="DefaultParagraphFont"/>
    <w:uiPriority w:val="99"/>
    <w:semiHidden/>
    <w:unhideWhenUsed/>
    <w:rsid w:val="00C975C7"/>
    <w:rPr>
      <w:color w:val="919191" w:themeColor="followedHyperlink"/>
      <w:u w:val="single"/>
    </w:rPr>
  </w:style>
  <w:style w:type="paragraph" w:styleId="TOC1">
    <w:name w:val="toc 1"/>
    <w:basedOn w:val="Normal"/>
    <w:next w:val="Normal"/>
    <w:autoRedefine/>
    <w:uiPriority w:val="39"/>
    <w:unhideWhenUsed/>
    <w:rsid w:val="00222BAD"/>
    <w:pPr>
      <w:tabs>
        <w:tab w:val="right" w:leader="dot" w:pos="9628"/>
      </w:tabs>
      <w:spacing w:after="100"/>
    </w:pPr>
  </w:style>
  <w:style w:type="table" w:customStyle="1" w:styleId="TableGrid0">
    <w:name w:val="TableGrid"/>
    <w:rsid w:val="00890817"/>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Bulletsround">
    <w:name w:val="Bullets round"/>
    <w:basedOn w:val="Normal"/>
    <w:link w:val="BulletsroundChar"/>
    <w:rsid w:val="00E519C4"/>
    <w:pPr>
      <w:numPr>
        <w:numId w:val="1"/>
      </w:numPr>
    </w:pPr>
  </w:style>
  <w:style w:type="paragraph" w:styleId="ListBullet">
    <w:name w:val="List Bullet"/>
    <w:basedOn w:val="Normal"/>
    <w:uiPriority w:val="9"/>
    <w:rsid w:val="00972DB1"/>
    <w:pPr>
      <w:numPr>
        <w:numId w:val="2"/>
      </w:numPr>
      <w:spacing w:before="60" w:after="60" w:line="264" w:lineRule="auto"/>
    </w:pPr>
    <w:rPr>
      <w:rFonts w:ascii="Arial" w:hAnsi="Arial"/>
      <w:sz w:val="19"/>
      <w:szCs w:val="18"/>
    </w:rPr>
  </w:style>
  <w:style w:type="character" w:customStyle="1" w:styleId="BulletsroundChar">
    <w:name w:val="Bullets round Char"/>
    <w:basedOn w:val="DefaultParagraphFont"/>
    <w:link w:val="Bulletsround"/>
    <w:rsid w:val="00E519C4"/>
    <w:rPr>
      <w:rFonts w:ascii="Arial Nova Light" w:hAnsi="Arial Nova Light"/>
      <w:sz w:val="20"/>
      <w:szCs w:val="24"/>
    </w:rPr>
  </w:style>
  <w:style w:type="paragraph" w:customStyle="1" w:styleId="TableListBullet">
    <w:name w:val="Table List Bullet"/>
    <w:basedOn w:val="Normal"/>
    <w:uiPriority w:val="19"/>
    <w:rsid w:val="00972DB1"/>
    <w:pPr>
      <w:numPr>
        <w:numId w:val="3"/>
      </w:numPr>
      <w:tabs>
        <w:tab w:val="left" w:pos="357"/>
      </w:tabs>
      <w:spacing w:before="60" w:after="60" w:line="264" w:lineRule="auto"/>
    </w:pPr>
    <w:rPr>
      <w:rFonts w:ascii="Arial" w:hAnsi="Arial"/>
      <w:sz w:val="19"/>
      <w:szCs w:val="18"/>
    </w:rPr>
  </w:style>
  <w:style w:type="character" w:styleId="CommentReference">
    <w:name w:val="annotation reference"/>
    <w:basedOn w:val="DefaultParagraphFont"/>
    <w:uiPriority w:val="99"/>
    <w:rsid w:val="00972DB1"/>
    <w:rPr>
      <w:sz w:val="16"/>
      <w:szCs w:val="16"/>
    </w:rPr>
  </w:style>
  <w:style w:type="paragraph" w:styleId="CommentText">
    <w:name w:val="annotation text"/>
    <w:basedOn w:val="Normal"/>
    <w:link w:val="CommentTextChar"/>
    <w:uiPriority w:val="99"/>
    <w:rsid w:val="00972DB1"/>
    <w:pPr>
      <w:spacing w:line="264" w:lineRule="auto"/>
    </w:pPr>
    <w:rPr>
      <w:rFonts w:ascii="Arial" w:hAnsi="Arial"/>
      <w:szCs w:val="20"/>
    </w:rPr>
  </w:style>
  <w:style w:type="character" w:customStyle="1" w:styleId="CommentTextChar">
    <w:name w:val="Comment Text Char"/>
    <w:basedOn w:val="DefaultParagraphFont"/>
    <w:link w:val="CommentText"/>
    <w:uiPriority w:val="99"/>
    <w:rsid w:val="00972DB1"/>
    <w:rPr>
      <w:rFonts w:ascii="Arial" w:hAnsi="Arial"/>
      <w:sz w:val="20"/>
      <w:szCs w:val="20"/>
    </w:rPr>
  </w:style>
  <w:style w:type="character" w:customStyle="1" w:styleId="Bold">
    <w:name w:val="Bold"/>
    <w:basedOn w:val="DefaultParagraphFont"/>
    <w:uiPriority w:val="1"/>
    <w:rsid w:val="00972DB1"/>
    <w:rPr>
      <w:b/>
    </w:rPr>
  </w:style>
  <w:style w:type="paragraph" w:styleId="CommentSubject">
    <w:name w:val="annotation subject"/>
    <w:basedOn w:val="CommentText"/>
    <w:next w:val="CommentText"/>
    <w:link w:val="CommentSubjectChar"/>
    <w:uiPriority w:val="99"/>
    <w:semiHidden/>
    <w:unhideWhenUsed/>
    <w:rsid w:val="00972DB1"/>
    <w:pPr>
      <w:spacing w:line="240" w:lineRule="auto"/>
    </w:pPr>
    <w:rPr>
      <w:rFonts w:ascii="Calibri" w:hAnsi="Calibri"/>
      <w:b/>
      <w:bCs/>
    </w:rPr>
  </w:style>
  <w:style w:type="character" w:customStyle="1" w:styleId="CommentSubjectChar">
    <w:name w:val="Comment Subject Char"/>
    <w:basedOn w:val="CommentTextChar"/>
    <w:link w:val="CommentSubject"/>
    <w:uiPriority w:val="99"/>
    <w:semiHidden/>
    <w:rsid w:val="00972DB1"/>
    <w:rPr>
      <w:rFonts w:ascii="Calibri" w:hAnsi="Calibri"/>
      <w:b/>
      <w:bCs/>
      <w:sz w:val="20"/>
      <w:szCs w:val="20"/>
    </w:rPr>
  </w:style>
  <w:style w:type="character" w:styleId="Strong">
    <w:name w:val="Strong"/>
    <w:basedOn w:val="DefaultParagraphFont"/>
    <w:uiPriority w:val="22"/>
    <w:qFormat/>
    <w:rsid w:val="00EC6416"/>
    <w:rPr>
      <w:b/>
      <w:bCs/>
    </w:rPr>
  </w:style>
  <w:style w:type="character" w:customStyle="1" w:styleId="Italics">
    <w:name w:val="Italics"/>
    <w:basedOn w:val="DefaultParagraphFont"/>
    <w:uiPriority w:val="1"/>
    <w:rsid w:val="008C5D28"/>
    <w:rPr>
      <w:i/>
    </w:rPr>
  </w:style>
  <w:style w:type="paragraph" w:styleId="NormalWeb">
    <w:name w:val="Normal (Web)"/>
    <w:basedOn w:val="Normal"/>
    <w:uiPriority w:val="99"/>
    <w:unhideWhenUsed/>
    <w:rsid w:val="008C210E"/>
    <w:pPr>
      <w:spacing w:before="100" w:beforeAutospacing="1" w:after="100" w:afterAutospacing="1"/>
    </w:pPr>
    <w:rPr>
      <w:rFonts w:ascii="Times New Roman" w:eastAsia="Times New Roman" w:hAnsi="Times New Roman" w:cs="Times New Roman"/>
      <w:sz w:val="24"/>
      <w:lang w:eastAsia="en-AU"/>
    </w:rPr>
  </w:style>
  <w:style w:type="paragraph" w:styleId="ListBullet2">
    <w:name w:val="List Bullet 2"/>
    <w:basedOn w:val="Normal"/>
    <w:uiPriority w:val="99"/>
    <w:semiHidden/>
    <w:unhideWhenUsed/>
    <w:rsid w:val="006927C2"/>
    <w:pPr>
      <w:numPr>
        <w:numId w:val="4"/>
      </w:numPr>
      <w:contextualSpacing/>
    </w:pPr>
  </w:style>
  <w:style w:type="paragraph" w:customStyle="1" w:styleId="Sub-bulletpoints">
    <w:name w:val="Sub-bullet points"/>
    <w:basedOn w:val="Bulletsround"/>
    <w:link w:val="Sub-bulletpointsChar"/>
    <w:qFormat/>
    <w:rsid w:val="008D20A5"/>
    <w:pPr>
      <w:numPr>
        <w:ilvl w:val="1"/>
        <w:numId w:val="5"/>
      </w:numPr>
    </w:pPr>
  </w:style>
  <w:style w:type="paragraph" w:customStyle="1" w:styleId="TableListBullet2">
    <w:name w:val="Table List Bullet 2"/>
    <w:basedOn w:val="Normal"/>
    <w:uiPriority w:val="20"/>
    <w:qFormat/>
    <w:rsid w:val="000054E8"/>
    <w:pPr>
      <w:numPr>
        <w:numId w:val="6"/>
      </w:numPr>
      <w:tabs>
        <w:tab w:val="left" w:pos="714"/>
      </w:tabs>
      <w:spacing w:before="60" w:after="60" w:line="264" w:lineRule="auto"/>
    </w:pPr>
    <w:rPr>
      <w:rFonts w:ascii="Arial" w:hAnsi="Arial"/>
      <w:sz w:val="19"/>
      <w:szCs w:val="18"/>
    </w:rPr>
  </w:style>
  <w:style w:type="character" w:customStyle="1" w:styleId="Sub-bulletpointsChar">
    <w:name w:val="Sub-bullet points Char"/>
    <w:basedOn w:val="BulletsroundChar"/>
    <w:link w:val="Sub-bulletpoints"/>
    <w:rsid w:val="008D20A5"/>
    <w:rPr>
      <w:rFonts w:ascii="Arial Nova Light" w:hAnsi="Arial Nova Light"/>
      <w:sz w:val="20"/>
      <w:szCs w:val="24"/>
    </w:rPr>
  </w:style>
  <w:style w:type="paragraph" w:customStyle="1" w:styleId="Default">
    <w:name w:val="Default"/>
    <w:rsid w:val="004B6AD1"/>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Recommendation Char,List Paragraph1 Char,List Paragraph11 Char,Bullet point Char,Bulletr List Paragraph Char,FooterText Char,L Char,List Paragraph2 Char,List Paragraph21 Char,Listeafsnit1 Char,NFP GP Bulleted List Char,1 heading Char"/>
    <w:basedOn w:val="DefaultParagraphFont"/>
    <w:link w:val="ListParagraph"/>
    <w:uiPriority w:val="34"/>
    <w:qFormat/>
    <w:rsid w:val="0084091C"/>
    <w:rPr>
      <w:rFonts w:ascii="Arial Nova Light" w:hAnsi="Arial Nova Light"/>
      <w:sz w:val="20"/>
      <w:szCs w:val="24"/>
    </w:rPr>
  </w:style>
  <w:style w:type="paragraph" w:styleId="BodyText">
    <w:name w:val="Body Text"/>
    <w:basedOn w:val="Normal"/>
    <w:link w:val="BodyTextChar"/>
    <w:uiPriority w:val="1"/>
    <w:qFormat/>
    <w:rsid w:val="00DA6B58"/>
  </w:style>
  <w:style w:type="character" w:customStyle="1" w:styleId="BodyTextChar">
    <w:name w:val="Body Text Char"/>
    <w:basedOn w:val="DefaultParagraphFont"/>
    <w:link w:val="BodyText"/>
    <w:uiPriority w:val="1"/>
    <w:rsid w:val="00DA6B58"/>
    <w:rPr>
      <w:rFonts w:ascii="Arial Nova Light" w:hAnsi="Arial Nova Light"/>
      <w:sz w:val="20"/>
      <w:szCs w:val="24"/>
    </w:rPr>
  </w:style>
  <w:style w:type="paragraph" w:styleId="Caption">
    <w:name w:val="caption"/>
    <w:basedOn w:val="Normal"/>
    <w:next w:val="Normal"/>
    <w:uiPriority w:val="12"/>
    <w:rsid w:val="003E3040"/>
    <w:pPr>
      <w:tabs>
        <w:tab w:val="num" w:pos="680"/>
        <w:tab w:val="left" w:pos="1134"/>
      </w:tabs>
      <w:spacing w:before="60" w:after="60" w:line="264" w:lineRule="auto"/>
      <w:ind w:left="680" w:hanging="340"/>
    </w:pPr>
    <w:rPr>
      <w:rFonts w:ascii="Arial" w:hAnsi="Arial"/>
      <w:b/>
      <w:bCs/>
      <w:sz w:val="19"/>
      <w:szCs w:val="18"/>
    </w:rPr>
  </w:style>
  <w:style w:type="paragraph" w:styleId="TableofFigures">
    <w:name w:val="table of figures"/>
    <w:basedOn w:val="Normal"/>
    <w:next w:val="Normal"/>
    <w:uiPriority w:val="99"/>
    <w:rsid w:val="003E3040"/>
    <w:pPr>
      <w:tabs>
        <w:tab w:val="left" w:pos="1134"/>
        <w:tab w:val="num" w:pos="1701"/>
        <w:tab w:val="right" w:leader="dot" w:pos="4808"/>
      </w:tabs>
      <w:spacing w:line="264" w:lineRule="auto"/>
      <w:ind w:left="1701" w:hanging="340"/>
    </w:pPr>
    <w:rPr>
      <w:rFonts w:ascii="Arial" w:hAnsi="Arial"/>
      <w:sz w:val="19"/>
      <w:szCs w:val="18"/>
    </w:rPr>
  </w:style>
  <w:style w:type="paragraph" w:customStyle="1" w:styleId="TableTextHeading">
    <w:name w:val="Table Text Heading"/>
    <w:basedOn w:val="Normal"/>
    <w:uiPriority w:val="13"/>
    <w:rsid w:val="00E82724"/>
    <w:pPr>
      <w:spacing w:before="60" w:after="60" w:line="264" w:lineRule="auto"/>
      <w:jc w:val="center"/>
    </w:pPr>
    <w:rPr>
      <w:rFonts w:ascii="Arial" w:hAnsi="Arial"/>
      <w:b/>
      <w:sz w:val="19"/>
      <w:szCs w:val="18"/>
    </w:rPr>
  </w:style>
  <w:style w:type="paragraph" w:customStyle="1" w:styleId="TableText">
    <w:name w:val="Table Text"/>
    <w:basedOn w:val="Normal"/>
    <w:uiPriority w:val="14"/>
    <w:rsid w:val="00E82724"/>
    <w:pPr>
      <w:spacing w:before="60" w:after="60" w:line="264" w:lineRule="auto"/>
    </w:pPr>
    <w:rPr>
      <w:rFonts w:ascii="Arial" w:hAnsi="Arial"/>
      <w:sz w:val="19"/>
      <w:szCs w:val="18"/>
    </w:rPr>
  </w:style>
  <w:style w:type="paragraph" w:customStyle="1" w:styleId="TableTextRight">
    <w:name w:val="Table Text Right"/>
    <w:basedOn w:val="Normal"/>
    <w:uiPriority w:val="16"/>
    <w:rsid w:val="00E82724"/>
    <w:pPr>
      <w:spacing w:before="60" w:after="60" w:line="264" w:lineRule="auto"/>
      <w:jc w:val="right"/>
    </w:pPr>
    <w:rPr>
      <w:rFonts w:ascii="Arial" w:hAnsi="Arial"/>
      <w:sz w:val="19"/>
      <w:szCs w:val="18"/>
    </w:rPr>
  </w:style>
  <w:style w:type="paragraph" w:customStyle="1" w:styleId="TableTextBold">
    <w:name w:val="Table Text Bold"/>
    <w:basedOn w:val="Normal"/>
    <w:uiPriority w:val="17"/>
    <w:rsid w:val="00E82724"/>
    <w:pPr>
      <w:spacing w:before="60" w:after="60" w:line="264" w:lineRule="auto"/>
    </w:pPr>
    <w:rPr>
      <w:rFonts w:ascii="Arial" w:hAnsi="Arial"/>
      <w:b/>
      <w:sz w:val="19"/>
      <w:szCs w:val="18"/>
    </w:rPr>
  </w:style>
  <w:style w:type="paragraph" w:customStyle="1" w:styleId="TableTextItalics">
    <w:name w:val="Table Text Italics"/>
    <w:basedOn w:val="TableText"/>
    <w:uiPriority w:val="18"/>
    <w:rsid w:val="00E82724"/>
    <w:rPr>
      <w:i/>
    </w:rPr>
  </w:style>
  <w:style w:type="character" w:customStyle="1" w:styleId="Superscript">
    <w:name w:val="Superscript"/>
    <w:basedOn w:val="DefaultParagraphFont"/>
    <w:uiPriority w:val="1"/>
    <w:rsid w:val="00E82724"/>
    <w:rPr>
      <w:vertAlign w:val="superscript"/>
    </w:rPr>
  </w:style>
  <w:style w:type="paragraph" w:customStyle="1" w:styleId="NoteIndent">
    <w:name w:val="Note Indent"/>
    <w:basedOn w:val="Normal"/>
    <w:uiPriority w:val="22"/>
    <w:rsid w:val="00FF669F"/>
    <w:pPr>
      <w:numPr>
        <w:numId w:val="8"/>
      </w:numPr>
      <w:tabs>
        <w:tab w:val="left" w:pos="357"/>
      </w:tabs>
      <w:spacing w:before="60" w:after="60" w:line="264" w:lineRule="auto"/>
      <w:ind w:left="720"/>
    </w:pPr>
    <w:rPr>
      <w:rFonts w:ascii="Arial" w:hAnsi="Arial"/>
      <w:sz w:val="16"/>
      <w:szCs w:val="18"/>
    </w:rPr>
  </w:style>
  <w:style w:type="paragraph" w:styleId="Revision">
    <w:name w:val="Revision"/>
    <w:hidden/>
    <w:uiPriority w:val="99"/>
    <w:semiHidden/>
    <w:rsid w:val="00CD48DC"/>
    <w:pPr>
      <w:spacing w:after="0" w:line="240" w:lineRule="auto"/>
    </w:pPr>
    <w:rPr>
      <w:rFonts w:ascii="Calibri" w:hAnsi="Calibri"/>
      <w:sz w:val="20"/>
    </w:rPr>
  </w:style>
  <w:style w:type="paragraph" w:customStyle="1" w:styleId="TableParagraph">
    <w:name w:val="Table Paragraph"/>
    <w:basedOn w:val="Normal"/>
    <w:uiPriority w:val="1"/>
    <w:rsid w:val="00820355"/>
    <w:pPr>
      <w:widowControl w:val="0"/>
      <w:autoSpaceDE w:val="0"/>
      <w:autoSpaceDN w:val="0"/>
      <w:spacing w:before="16" w:after="0"/>
      <w:jc w:val="right"/>
    </w:pPr>
    <w:rPr>
      <w:rFonts w:ascii="Arial" w:eastAsia="Arial" w:hAnsi="Arial" w:cs="Arial"/>
      <w:sz w:val="22"/>
      <w:lang w:val="en-US"/>
    </w:rPr>
  </w:style>
  <w:style w:type="paragraph" w:customStyle="1" w:styleId="Introparagraph">
    <w:name w:val="Intro paragraph"/>
    <w:basedOn w:val="Normal"/>
    <w:link w:val="IntroparagraphChar"/>
    <w:qFormat/>
    <w:rsid w:val="00020A52"/>
    <w:pPr>
      <w:suppressAutoHyphens/>
      <w:autoSpaceDE w:val="0"/>
      <w:autoSpaceDN w:val="0"/>
      <w:adjustRightInd w:val="0"/>
      <w:spacing w:before="200" w:after="0" w:line="288" w:lineRule="auto"/>
      <w:textAlignment w:val="center"/>
    </w:pPr>
    <w:rPr>
      <w:rFonts w:ascii="Arial" w:eastAsia="Times New Roman" w:hAnsi="Arial" w:cs="Arial"/>
      <w:color w:val="A70236"/>
      <w:sz w:val="32"/>
      <w:szCs w:val="32"/>
      <w:lang w:val="en-US" w:eastAsia="en-AU"/>
    </w:rPr>
  </w:style>
  <w:style w:type="character" w:customStyle="1" w:styleId="IntroparagraphChar">
    <w:name w:val="Intro paragraph Char"/>
    <w:link w:val="Introparagraph"/>
    <w:rsid w:val="00020A52"/>
    <w:rPr>
      <w:rFonts w:ascii="Arial" w:eastAsia="Times New Roman" w:hAnsi="Arial" w:cs="Arial"/>
      <w:color w:val="A70236"/>
      <w:sz w:val="32"/>
      <w:szCs w:val="32"/>
      <w:lang w:val="en-US" w:eastAsia="en-AU"/>
    </w:rPr>
  </w:style>
  <w:style w:type="table" w:styleId="GridTable4-Accent1">
    <w:name w:val="Grid Table 4 Accent 1"/>
    <w:basedOn w:val="TableNormal"/>
    <w:uiPriority w:val="49"/>
    <w:rsid w:val="00015DB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6">
    <w:name w:val="Grid Table 4 Accent 6"/>
    <w:basedOn w:val="TableNormal"/>
    <w:uiPriority w:val="49"/>
    <w:rsid w:val="00015DB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4-Accent4">
    <w:name w:val="Grid Table 4 Accent 4"/>
    <w:basedOn w:val="TableNormal"/>
    <w:uiPriority w:val="49"/>
    <w:rsid w:val="00015DB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15DB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3">
    <w:name w:val="Grid Table 4 Accent 3"/>
    <w:basedOn w:val="TableNormal"/>
    <w:uiPriority w:val="49"/>
    <w:rsid w:val="00015DB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TOC3">
    <w:name w:val="toc 3"/>
    <w:basedOn w:val="Normal"/>
    <w:next w:val="Normal"/>
    <w:autoRedefine/>
    <w:uiPriority w:val="39"/>
    <w:unhideWhenUsed/>
    <w:rsid w:val="00DF4D01"/>
    <w:pPr>
      <w:tabs>
        <w:tab w:val="right" w:leader="dot" w:pos="10194"/>
      </w:tabs>
      <w:spacing w:before="0" w:after="0"/>
      <w:ind w:left="400"/>
    </w:pPr>
    <w:rPr>
      <w:rFonts w:asciiTheme="minorHAnsi" w:hAnsiTheme="minorHAnsi"/>
      <w:i/>
      <w:iCs/>
      <w:szCs w:val="20"/>
    </w:rPr>
  </w:style>
  <w:style w:type="paragraph" w:styleId="TOC2">
    <w:name w:val="toc 2"/>
    <w:basedOn w:val="Normal"/>
    <w:next w:val="Normal"/>
    <w:autoRedefine/>
    <w:uiPriority w:val="39"/>
    <w:unhideWhenUsed/>
    <w:rsid w:val="00407FC6"/>
    <w:pPr>
      <w:tabs>
        <w:tab w:val="right" w:leader="dot" w:pos="9514"/>
      </w:tabs>
      <w:spacing w:before="0" w:after="0"/>
      <w:ind w:left="200"/>
    </w:pPr>
    <w:rPr>
      <w:rFonts w:asciiTheme="minorHAnsi" w:hAnsiTheme="minorHAnsi"/>
      <w:szCs w:val="20"/>
    </w:rPr>
  </w:style>
  <w:style w:type="paragraph" w:styleId="TOC4">
    <w:name w:val="toc 4"/>
    <w:basedOn w:val="Normal"/>
    <w:next w:val="Normal"/>
    <w:autoRedefine/>
    <w:uiPriority w:val="39"/>
    <w:unhideWhenUsed/>
    <w:rsid w:val="00BC181B"/>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BC181B"/>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BC181B"/>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BC181B"/>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BC181B"/>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BC181B"/>
    <w:pPr>
      <w:spacing w:before="0" w:after="0"/>
      <w:ind w:left="1600"/>
    </w:pPr>
    <w:rPr>
      <w:rFonts w:asciiTheme="minorHAnsi" w:hAnsiTheme="minorHAnsi"/>
      <w:sz w:val="18"/>
      <w:szCs w:val="18"/>
    </w:rPr>
  </w:style>
  <w:style w:type="character" w:styleId="PageNumber">
    <w:name w:val="page number"/>
    <w:basedOn w:val="DefaultParagraphFont"/>
    <w:uiPriority w:val="99"/>
    <w:semiHidden/>
    <w:unhideWhenUsed/>
    <w:rsid w:val="00223EAB"/>
  </w:style>
  <w:style w:type="paragraph" w:customStyle="1" w:styleId="EPWtableheading">
    <w:name w:val="EPW table heading"/>
    <w:basedOn w:val="Normal"/>
    <w:qFormat/>
    <w:rsid w:val="003A0C21"/>
    <w:rPr>
      <w:rFonts w:ascii="Arial Nova" w:hAnsi="Arial Nova" w:cs="Arial"/>
      <w:b/>
      <w:bCs/>
      <w:color w:val="FFFFFF" w:themeColor="background1"/>
    </w:rPr>
  </w:style>
  <w:style w:type="paragraph" w:customStyle="1" w:styleId="Tableheadingmediumandbold">
    <w:name w:val="Table heading medium and bold"/>
    <w:basedOn w:val="Normal"/>
    <w:link w:val="TableheadingmediumandboldChar"/>
    <w:uiPriority w:val="7"/>
    <w:rsid w:val="006473AC"/>
    <w:pPr>
      <w:spacing w:line="264" w:lineRule="auto"/>
    </w:pPr>
    <w:rPr>
      <w:rFonts w:ascii="Arial" w:hAnsi="Arial"/>
      <w:b/>
      <w:sz w:val="19"/>
      <w:szCs w:val="21"/>
    </w:rPr>
  </w:style>
  <w:style w:type="character" w:customStyle="1" w:styleId="TableheadingmediumandboldChar">
    <w:name w:val="Table heading medium and bold Char"/>
    <w:basedOn w:val="DefaultParagraphFont"/>
    <w:link w:val="Tableheadingmediumandbold"/>
    <w:uiPriority w:val="7"/>
    <w:rsid w:val="006473AC"/>
    <w:rPr>
      <w:rFonts w:ascii="Arial" w:hAnsi="Arial"/>
      <w:b/>
      <w:sz w:val="19"/>
      <w:szCs w:val="21"/>
    </w:rPr>
  </w:style>
  <w:style w:type="paragraph" w:customStyle="1" w:styleId="CM103">
    <w:name w:val="CM103"/>
    <w:basedOn w:val="Default"/>
    <w:next w:val="Default"/>
    <w:uiPriority w:val="99"/>
    <w:rsid w:val="007D7E77"/>
    <w:rPr>
      <w:rFonts w:ascii="MetaPro-Norm" w:hAnsi="MetaPro-Norm" w:cstheme="minorBidi"/>
      <w:color w:val="auto"/>
    </w:rPr>
  </w:style>
  <w:style w:type="character" w:customStyle="1" w:styleId="sr-only">
    <w:name w:val="sr-only"/>
    <w:basedOn w:val="DefaultParagraphFont"/>
    <w:rsid w:val="00271E1E"/>
  </w:style>
  <w:style w:type="paragraph" w:customStyle="1" w:styleId="Heading6-AnnualReport">
    <w:name w:val="Heading 6 - Annual Report"/>
    <w:basedOn w:val="Heading3"/>
    <w:link w:val="Heading6-AnnualReportChar"/>
    <w:qFormat/>
    <w:rsid w:val="001C4C67"/>
    <w:pPr>
      <w:ind w:left="1418"/>
      <w:outlineLvl w:val="5"/>
    </w:pPr>
    <w:rPr>
      <w:i/>
      <w:color w:val="808080" w:themeColor="background1" w:themeShade="80"/>
      <w:sz w:val="28"/>
      <w:lang w:eastAsia="en-AU"/>
    </w:rPr>
  </w:style>
  <w:style w:type="character" w:customStyle="1" w:styleId="Heading6-AnnualReportChar">
    <w:name w:val="Heading 6 - Annual Report Char"/>
    <w:basedOn w:val="Heading3Char"/>
    <w:link w:val="Heading6-AnnualReport"/>
    <w:rsid w:val="008327A9"/>
    <w:rPr>
      <w:rFonts w:ascii="Arial Nova Light" w:eastAsiaTheme="majorEastAsia" w:hAnsi="Arial Nova Light" w:cstheme="majorBidi"/>
      <w:i/>
      <w:color w:val="808080" w:themeColor="background1" w:themeShade="80"/>
      <w:sz w:val="28"/>
      <w:szCs w:val="32"/>
      <w:lang w:eastAsia="en-AU"/>
    </w:rPr>
  </w:style>
  <w:style w:type="paragraph" w:customStyle="1" w:styleId="CM48">
    <w:name w:val="CM48"/>
    <w:basedOn w:val="Default"/>
    <w:next w:val="Default"/>
    <w:uiPriority w:val="99"/>
    <w:rsid w:val="00B30248"/>
    <w:pPr>
      <w:spacing w:line="311" w:lineRule="atLeast"/>
    </w:pPr>
    <w:rPr>
      <w:rFonts w:ascii="MetaPro-Bold" w:hAnsi="MetaPro-Bold" w:cstheme="minorBidi"/>
      <w:color w:val="auto"/>
    </w:rPr>
  </w:style>
  <w:style w:type="paragraph" w:customStyle="1" w:styleId="CM49">
    <w:name w:val="CM49"/>
    <w:basedOn w:val="Default"/>
    <w:next w:val="Default"/>
    <w:uiPriority w:val="99"/>
    <w:rsid w:val="00B30248"/>
    <w:pPr>
      <w:spacing w:line="311" w:lineRule="atLeast"/>
    </w:pPr>
    <w:rPr>
      <w:rFonts w:ascii="MetaPro-Bold" w:hAnsi="MetaPro-Bold" w:cstheme="minorBidi"/>
      <w:color w:val="auto"/>
    </w:rPr>
  </w:style>
  <w:style w:type="paragraph" w:customStyle="1" w:styleId="CM50">
    <w:name w:val="CM50"/>
    <w:basedOn w:val="Default"/>
    <w:next w:val="Default"/>
    <w:uiPriority w:val="99"/>
    <w:rsid w:val="00B30248"/>
    <w:pPr>
      <w:spacing w:line="311" w:lineRule="atLeast"/>
    </w:pPr>
    <w:rPr>
      <w:rFonts w:ascii="MetaPro-Bold" w:hAnsi="MetaPro-Bold" w:cstheme="minorBidi"/>
      <w:color w:val="auto"/>
    </w:rPr>
  </w:style>
  <w:style w:type="paragraph" w:styleId="PlainText">
    <w:name w:val="Plain Text"/>
    <w:basedOn w:val="Normal"/>
    <w:link w:val="PlainTextChar"/>
    <w:uiPriority w:val="99"/>
    <w:semiHidden/>
    <w:unhideWhenUsed/>
    <w:rsid w:val="00595E28"/>
    <w:pPr>
      <w:spacing w:before="0" w:after="0"/>
    </w:pPr>
    <w:rPr>
      <w:sz w:val="22"/>
      <w:szCs w:val="21"/>
    </w:rPr>
  </w:style>
  <w:style w:type="character" w:customStyle="1" w:styleId="PlainTextChar">
    <w:name w:val="Plain Text Char"/>
    <w:basedOn w:val="DefaultParagraphFont"/>
    <w:link w:val="PlainText"/>
    <w:uiPriority w:val="99"/>
    <w:semiHidden/>
    <w:rsid w:val="00595E28"/>
    <w:rPr>
      <w:rFonts w:ascii="Calibri" w:hAnsi="Calibri"/>
      <w:szCs w:val="21"/>
    </w:rPr>
  </w:style>
  <w:style w:type="character" w:customStyle="1" w:styleId="normaltextrun">
    <w:name w:val="normaltextrun"/>
    <w:basedOn w:val="DefaultParagraphFont"/>
    <w:rsid w:val="00B81592"/>
  </w:style>
  <w:style w:type="character" w:customStyle="1" w:styleId="eop">
    <w:name w:val="eop"/>
    <w:basedOn w:val="DefaultParagraphFont"/>
    <w:rsid w:val="00B81592"/>
  </w:style>
  <w:style w:type="character" w:styleId="Mention">
    <w:name w:val="Mention"/>
    <w:basedOn w:val="DefaultParagraphFont"/>
    <w:uiPriority w:val="99"/>
    <w:unhideWhenUsed/>
    <w:rsid w:val="0048553C"/>
    <w:rPr>
      <w:color w:val="2B579A"/>
      <w:shd w:val="clear" w:color="auto" w:fill="E1DFDD"/>
    </w:rPr>
  </w:style>
  <w:style w:type="paragraph" w:customStyle="1" w:styleId="Text">
    <w:name w:val="Text"/>
    <w:basedOn w:val="Normal"/>
    <w:rsid w:val="00C854A0"/>
    <w:pPr>
      <w:tabs>
        <w:tab w:val="num" w:pos="1713"/>
      </w:tabs>
    </w:pPr>
    <w:rPr>
      <w:rFonts w:ascii="Arial" w:eastAsia="Times New Roman" w:hAnsi="Arial" w:cs="Times New Roman"/>
      <w:szCs w:val="20"/>
      <w:lang w:eastAsia="en-AU"/>
    </w:rPr>
  </w:style>
  <w:style w:type="paragraph" w:styleId="NoSpacing">
    <w:name w:val="No Spacing"/>
    <w:uiPriority w:val="1"/>
    <w:rsid w:val="00501CDA"/>
    <w:pPr>
      <w:spacing w:after="0" w:line="240" w:lineRule="auto"/>
    </w:pPr>
    <w:rPr>
      <w:rFonts w:ascii="Calibri" w:hAnsi="Calibri"/>
      <w:sz w:val="20"/>
    </w:rPr>
  </w:style>
  <w:style w:type="character" w:customStyle="1" w:styleId="bold0">
    <w:name w:val="bold"/>
    <w:uiPriority w:val="99"/>
    <w:rsid w:val="008651DD"/>
    <w:rPr>
      <w:rFonts w:ascii="MetaBoldLF-Roman" w:hAnsi="MetaBoldLF-Roman" w:cs="MetaBoldLF-Roman"/>
    </w:rPr>
  </w:style>
  <w:style w:type="paragraph" w:customStyle="1" w:styleId="EPWChapterheading">
    <w:name w:val="EPW Chapter heading"/>
    <w:link w:val="EPWChapterheadingChar"/>
    <w:autoRedefine/>
    <w:qFormat/>
    <w:rsid w:val="007F6753"/>
    <w:pPr>
      <w:spacing w:after="360" w:line="240" w:lineRule="auto"/>
    </w:pPr>
    <w:rPr>
      <w:rFonts w:ascii="Arial Nova Light" w:eastAsia="Times New Roman" w:hAnsi="Arial Nova Light" w:cstheme="majorBidi"/>
      <w:b/>
      <w:color w:val="000000" w:themeColor="text1"/>
      <w:sz w:val="60"/>
      <w:szCs w:val="64"/>
      <w:lang w:eastAsia="en-GB"/>
    </w:rPr>
  </w:style>
  <w:style w:type="character" w:customStyle="1" w:styleId="EPWChapterheadingChar">
    <w:name w:val="EPW Chapter heading Char"/>
    <w:basedOn w:val="DefaultParagraphFont"/>
    <w:link w:val="EPWChapterheading"/>
    <w:rsid w:val="00A86C84"/>
    <w:rPr>
      <w:rFonts w:ascii="Arial Nova Light" w:eastAsia="Times New Roman" w:hAnsi="Arial Nova Light" w:cstheme="majorBidi"/>
      <w:b/>
      <w:color w:val="000000" w:themeColor="text1"/>
      <w:sz w:val="60"/>
      <w:szCs w:val="64"/>
      <w:lang w:eastAsia="en-GB"/>
    </w:rPr>
  </w:style>
  <w:style w:type="paragraph" w:customStyle="1" w:styleId="BasicParagraph">
    <w:name w:val="[Basic Paragraph]"/>
    <w:basedOn w:val="Normal"/>
    <w:uiPriority w:val="99"/>
    <w:rsid w:val="006C3042"/>
    <w:pPr>
      <w:autoSpaceDE w:val="0"/>
      <w:autoSpaceDN w:val="0"/>
      <w:adjustRightInd w:val="0"/>
      <w:spacing w:before="0" w:after="0" w:line="220" w:lineRule="atLeast"/>
      <w:textAlignment w:val="center"/>
    </w:pPr>
    <w:rPr>
      <w:rFonts w:ascii="MetaPro-Norm" w:hAnsi="MetaPro-Norm" w:cs="MetaPro-Norm"/>
      <w:color w:val="000000"/>
      <w:sz w:val="18"/>
      <w:szCs w:val="18"/>
      <w:lang w:val="en-US"/>
    </w:rPr>
  </w:style>
  <w:style w:type="paragraph" w:customStyle="1" w:styleId="ColorfulList-Accent11">
    <w:name w:val="Colorful List - Accent 11"/>
    <w:basedOn w:val="Normal"/>
    <w:uiPriority w:val="34"/>
    <w:rsid w:val="00F6219C"/>
    <w:pPr>
      <w:spacing w:before="0" w:after="200" w:line="276" w:lineRule="auto"/>
      <w:ind w:left="720"/>
      <w:contextualSpacing/>
    </w:pPr>
    <w:rPr>
      <w:rFonts w:ascii="Calibri" w:hAnsi="Calibri" w:cs="Calibri"/>
      <w:sz w:val="22"/>
      <w:szCs w:val="22"/>
      <w:lang w:eastAsia="en-AU"/>
    </w:rPr>
  </w:style>
  <w:style w:type="character" w:customStyle="1" w:styleId="ui-provider">
    <w:name w:val="ui-provider"/>
    <w:basedOn w:val="DefaultParagraphFont"/>
    <w:rsid w:val="00E87775"/>
  </w:style>
  <w:style w:type="paragraph" w:styleId="Quote">
    <w:name w:val="Quote"/>
    <w:basedOn w:val="Normal"/>
    <w:next w:val="Normal"/>
    <w:link w:val="QuoteChar"/>
    <w:uiPriority w:val="29"/>
    <w:qFormat/>
    <w:rsid w:val="00C7127F"/>
    <w:pPr>
      <w:spacing w:before="200" w:after="160"/>
      <w:ind w:left="864" w:right="864"/>
      <w:jc w:val="center"/>
    </w:pPr>
    <w:rPr>
      <w:i/>
      <w:iCs/>
      <w:color w:val="404040" w:themeColor="text1" w:themeTint="BF"/>
      <w:sz w:val="24"/>
      <w:szCs w:val="32"/>
      <w:lang w:val="en-US"/>
    </w:rPr>
  </w:style>
  <w:style w:type="character" w:customStyle="1" w:styleId="QuoteChar">
    <w:name w:val="Quote Char"/>
    <w:basedOn w:val="DefaultParagraphFont"/>
    <w:link w:val="Quote"/>
    <w:uiPriority w:val="29"/>
    <w:rsid w:val="00C7127F"/>
    <w:rPr>
      <w:rFonts w:ascii="Arial Nova Light" w:hAnsi="Arial Nova Light"/>
      <w:i/>
      <w:iCs/>
      <w:color w:val="404040" w:themeColor="text1" w:themeTint="BF"/>
      <w:sz w:val="24"/>
      <w:szCs w:val="32"/>
      <w:lang w:val="en-US"/>
    </w:rPr>
  </w:style>
  <w:style w:type="paragraph" w:customStyle="1" w:styleId="EPWHeading7-OurContribution">
    <w:name w:val="EPW Heading 7 - Our Contribution"/>
    <w:basedOn w:val="Heading6-AnnualReport"/>
    <w:link w:val="EPWHeading7-OurContributionChar"/>
    <w:qFormat/>
    <w:rsid w:val="00D83FC9"/>
    <w:pPr>
      <w:keepNext w:val="0"/>
      <w:spacing w:after="360"/>
      <w:ind w:left="0"/>
      <w:outlineLvl w:val="6"/>
    </w:pPr>
    <w:rPr>
      <w:i w:val="0"/>
      <w:iCs/>
      <w:sz w:val="20"/>
      <w:lang w:val="en-US"/>
    </w:rPr>
  </w:style>
  <w:style w:type="character" w:customStyle="1" w:styleId="EPWHeading7-OurContributionChar">
    <w:name w:val="EPW Heading 7 - Our Contribution Char"/>
    <w:basedOn w:val="Heading6-AnnualReportChar"/>
    <w:link w:val="EPWHeading7-OurContribution"/>
    <w:rsid w:val="00D626DA"/>
    <w:rPr>
      <w:rFonts w:ascii="Arial Nova Light" w:eastAsiaTheme="majorEastAsia" w:hAnsi="Arial Nova Light" w:cstheme="majorBidi"/>
      <w:i w:val="0"/>
      <w:iCs/>
      <w:color w:val="808080" w:themeColor="background1" w:themeShade="80"/>
      <w:sz w:val="20"/>
      <w:szCs w:val="32"/>
      <w:lang w:val="en-US" w:eastAsia="en-AU"/>
    </w:rPr>
  </w:style>
  <w:style w:type="paragraph" w:styleId="FootnoteText">
    <w:name w:val="footnote text"/>
    <w:basedOn w:val="Normal"/>
    <w:link w:val="FootnoteTextChar"/>
    <w:uiPriority w:val="99"/>
    <w:semiHidden/>
    <w:unhideWhenUsed/>
    <w:rsid w:val="009679F8"/>
    <w:pPr>
      <w:spacing w:before="0" w:after="0"/>
    </w:pPr>
    <w:rPr>
      <w:szCs w:val="20"/>
    </w:rPr>
  </w:style>
  <w:style w:type="character" w:customStyle="1" w:styleId="FootnoteTextChar">
    <w:name w:val="Footnote Text Char"/>
    <w:basedOn w:val="DefaultParagraphFont"/>
    <w:link w:val="FootnoteText"/>
    <w:uiPriority w:val="99"/>
    <w:semiHidden/>
    <w:rsid w:val="009679F8"/>
    <w:rPr>
      <w:rFonts w:ascii="Arial Nova Light" w:hAnsi="Arial Nova Light"/>
      <w:sz w:val="20"/>
      <w:szCs w:val="20"/>
    </w:rPr>
  </w:style>
  <w:style w:type="character" w:styleId="FootnoteReference">
    <w:name w:val="footnote reference"/>
    <w:basedOn w:val="DefaultParagraphFont"/>
    <w:uiPriority w:val="99"/>
    <w:semiHidden/>
    <w:unhideWhenUsed/>
    <w:rsid w:val="009679F8"/>
    <w:rPr>
      <w:vertAlign w:val="superscript"/>
    </w:rPr>
  </w:style>
  <w:style w:type="numbering" w:customStyle="1" w:styleId="CurrentList1">
    <w:name w:val="Current List1"/>
    <w:uiPriority w:val="99"/>
    <w:rsid w:val="00770740"/>
    <w:pPr>
      <w:numPr>
        <w:numId w:val="17"/>
      </w:numPr>
    </w:pPr>
  </w:style>
  <w:style w:type="table" w:customStyle="1" w:styleId="TableGrid1">
    <w:name w:val="Table Grid1"/>
    <w:basedOn w:val="TableNormal"/>
    <w:next w:val="TableGrid"/>
    <w:uiPriority w:val="39"/>
    <w:rsid w:val="0072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uiPriority w:val="22"/>
    <w:rsid w:val="00D90DD8"/>
    <w:pPr>
      <w:spacing w:before="60" w:after="60" w:line="264" w:lineRule="auto"/>
      <w:ind w:left="360" w:hanging="360"/>
    </w:pPr>
    <w:rPr>
      <w:rFonts w:ascii="Arial" w:hAnsi="Arial" w:cs="Arial"/>
      <w:sz w:val="16"/>
      <w:szCs w:val="16"/>
    </w:rPr>
  </w:style>
  <w:style w:type="paragraph" w:customStyle="1" w:styleId="DECHeading1">
    <w:name w:val="DEC Heading 1"/>
    <w:basedOn w:val="Heading1"/>
    <w:rsid w:val="00D90DD8"/>
  </w:style>
  <w:style w:type="paragraph" w:customStyle="1" w:styleId="DECheading11">
    <w:name w:val="DEC heading 1.1"/>
    <w:basedOn w:val="Heading1"/>
    <w:qFormat/>
    <w:rsid w:val="00D90DD8"/>
    <w:pPr>
      <w:pBdr>
        <w:top w:val="none" w:sz="0" w:space="0" w:color="auto"/>
        <w:bottom w:val="none" w:sz="0" w:space="0" w:color="auto"/>
      </w:pBdr>
    </w:pPr>
    <w:rPr>
      <w:b w:val="0"/>
      <w:sz w:val="40"/>
    </w:rPr>
  </w:style>
  <w:style w:type="paragraph" w:customStyle="1" w:styleId="DECHeading2">
    <w:name w:val="DEC Heading 2"/>
    <w:basedOn w:val="Heading2"/>
    <w:qFormat/>
    <w:rsid w:val="00D90DD8"/>
    <w:pPr>
      <w:keepNext w:val="0"/>
      <w:keepLines w:val="0"/>
      <w:spacing w:before="40"/>
    </w:pPr>
    <w:rPr>
      <w:color w:val="000000" w:themeColor="text1"/>
    </w:rPr>
  </w:style>
  <w:style w:type="paragraph" w:styleId="TOCHeading">
    <w:name w:val="TOC Heading"/>
    <w:basedOn w:val="Heading1"/>
    <w:next w:val="Normal"/>
    <w:uiPriority w:val="39"/>
    <w:unhideWhenUsed/>
    <w:qFormat/>
    <w:rsid w:val="00D90DD8"/>
    <w:pPr>
      <w:pBdr>
        <w:top w:val="none" w:sz="0" w:space="0" w:color="auto"/>
        <w:bottom w:val="none" w:sz="0" w:space="0" w:color="auto"/>
      </w:pBdr>
      <w:spacing w:before="240" w:after="0" w:line="259" w:lineRule="auto"/>
      <w:outlineLvl w:val="9"/>
    </w:pPr>
    <w:rPr>
      <w:rFonts w:asciiTheme="majorHAnsi" w:eastAsiaTheme="majorEastAsia" w:hAnsiTheme="majorHAnsi"/>
      <w:b w:val="0"/>
      <w:color w:val="A5A5A5" w:themeColor="accent1" w:themeShade="BF"/>
      <w:sz w:val="32"/>
      <w:szCs w:val="32"/>
      <w:lang w:val="en-US" w:eastAsia="en-US"/>
    </w:rPr>
  </w:style>
  <w:style w:type="paragraph" w:customStyle="1" w:styleId="DECTableheader">
    <w:name w:val="DEC Table header"/>
    <w:basedOn w:val="EPWtableheading"/>
    <w:qFormat/>
    <w:rsid w:val="00D90DD8"/>
    <w:rPr>
      <w:b w:val="0"/>
      <w:bCs w:val="0"/>
    </w:rPr>
  </w:style>
  <w:style w:type="paragraph" w:customStyle="1" w:styleId="DECHeading3">
    <w:name w:val="DEC Heading 3"/>
    <w:basedOn w:val="Heading3"/>
    <w:qFormat/>
    <w:rsid w:val="00D90DD8"/>
    <w:rPr>
      <w:rFonts w:ascii="Arial Nova" w:hAnsi="Arial Nova"/>
      <w:color w:val="000000" w:themeColor="text1"/>
      <w:sz w:val="28"/>
      <w:szCs w:val="24"/>
    </w:rPr>
  </w:style>
  <w:style w:type="paragraph" w:customStyle="1" w:styleId="DECNotes">
    <w:name w:val="DEC Notes"/>
    <w:basedOn w:val="Normal"/>
    <w:qFormat/>
    <w:rsid w:val="00D90DD8"/>
    <w:rPr>
      <w:rFonts w:cs="Arial"/>
      <w:color w:val="000000"/>
      <w:sz w:val="16"/>
      <w:szCs w:val="16"/>
    </w:rPr>
  </w:style>
  <w:style w:type="paragraph" w:customStyle="1" w:styleId="DECHeading4">
    <w:name w:val="DEC Heading 4"/>
    <w:basedOn w:val="Heading4"/>
    <w:qFormat/>
    <w:rsid w:val="00D90DD8"/>
    <w:pPr>
      <w:spacing w:after="120"/>
    </w:pPr>
    <w:rPr>
      <w:rFonts w:ascii="Arial Nova" w:hAnsi="Arial Nova"/>
      <w:bCs w:val="0"/>
      <w:iCs/>
      <w:color w:val="000000" w:themeColor="text1"/>
      <w:sz w:val="21"/>
      <w:szCs w:val="24"/>
      <w:lang w:eastAsia="en-US"/>
    </w:rPr>
  </w:style>
  <w:style w:type="paragraph" w:customStyle="1" w:styleId="DECChapterHeading">
    <w:name w:val="DEC Chapter Heading"/>
    <w:basedOn w:val="DECHeading2"/>
    <w:qFormat/>
    <w:rsid w:val="00D90DD8"/>
    <w:rPr>
      <w:b/>
      <w:bCs/>
      <w:sz w:val="60"/>
      <w:szCs w:val="60"/>
    </w:rPr>
  </w:style>
  <w:style w:type="paragraph" w:customStyle="1" w:styleId="SDSNotes">
    <w:name w:val="SDS Notes"/>
    <w:basedOn w:val="Normal"/>
    <w:link w:val="SDSNotesChar"/>
    <w:qFormat/>
    <w:rsid w:val="00D90DD8"/>
    <w:pPr>
      <w:autoSpaceDE w:val="0"/>
      <w:autoSpaceDN w:val="0"/>
      <w:adjustRightInd w:val="0"/>
    </w:pPr>
    <w:rPr>
      <w:rFonts w:cs="Arial"/>
      <w:color w:val="000000" w:themeColor="text1"/>
      <w:sz w:val="16"/>
      <w:szCs w:val="16"/>
    </w:rPr>
  </w:style>
  <w:style w:type="character" w:customStyle="1" w:styleId="SDSNotesChar">
    <w:name w:val="SDS Notes Char"/>
    <w:basedOn w:val="DefaultParagraphFont"/>
    <w:link w:val="SDSNotes"/>
    <w:rsid w:val="00D90DD8"/>
    <w:rPr>
      <w:rFonts w:ascii="Arial Nova Light" w:hAnsi="Arial Nova Light" w:cs="Arial"/>
      <w:color w:val="000000" w:themeColor="text1"/>
      <w:sz w:val="16"/>
      <w:szCs w:val="16"/>
    </w:rPr>
  </w:style>
  <w:style w:type="paragraph" w:customStyle="1" w:styleId="paragraph">
    <w:name w:val="paragraph"/>
    <w:basedOn w:val="Normal"/>
    <w:rsid w:val="004213D5"/>
    <w:pPr>
      <w:spacing w:before="100" w:beforeAutospacing="1" w:after="100" w:afterAutospacing="1"/>
    </w:pPr>
    <w:rPr>
      <w:rFonts w:ascii="Times New Roman" w:eastAsia="Times New Roman" w:hAnsi="Times New Roman" w:cs="Times New Roman"/>
      <w:sz w:val="24"/>
      <w:lang w:eastAsia="en-AU"/>
    </w:rPr>
  </w:style>
  <w:style w:type="paragraph" w:customStyle="1" w:styleId="xmsolistparagraph">
    <w:name w:val="x_msolistparagraph"/>
    <w:basedOn w:val="Normal"/>
    <w:rsid w:val="003D10B0"/>
    <w:pPr>
      <w:spacing w:before="0" w:after="0"/>
      <w:ind w:left="720"/>
    </w:pPr>
    <w:rPr>
      <w:rFonts w:ascii="Calibri" w:hAnsi="Calibri" w:cs="Calibri"/>
      <w:sz w:val="22"/>
      <w:szCs w:val="22"/>
      <w:lang w:eastAsia="en-AU"/>
    </w:rPr>
  </w:style>
  <w:style w:type="character" w:customStyle="1" w:styleId="Heading8Char">
    <w:name w:val="Heading 8 Char"/>
    <w:basedOn w:val="DefaultParagraphFont"/>
    <w:link w:val="Heading8"/>
    <w:uiPriority w:val="9"/>
    <w:semiHidden/>
    <w:rsid w:val="00D1405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59">
      <w:bodyDiv w:val="1"/>
      <w:marLeft w:val="0"/>
      <w:marRight w:val="0"/>
      <w:marTop w:val="0"/>
      <w:marBottom w:val="0"/>
      <w:divBdr>
        <w:top w:val="none" w:sz="0" w:space="0" w:color="auto"/>
        <w:left w:val="none" w:sz="0" w:space="0" w:color="auto"/>
        <w:bottom w:val="none" w:sz="0" w:space="0" w:color="auto"/>
        <w:right w:val="none" w:sz="0" w:space="0" w:color="auto"/>
      </w:divBdr>
    </w:div>
    <w:div w:id="40793813">
      <w:bodyDiv w:val="1"/>
      <w:marLeft w:val="0"/>
      <w:marRight w:val="0"/>
      <w:marTop w:val="0"/>
      <w:marBottom w:val="0"/>
      <w:divBdr>
        <w:top w:val="none" w:sz="0" w:space="0" w:color="auto"/>
        <w:left w:val="none" w:sz="0" w:space="0" w:color="auto"/>
        <w:bottom w:val="none" w:sz="0" w:space="0" w:color="auto"/>
        <w:right w:val="none" w:sz="0" w:space="0" w:color="auto"/>
      </w:divBdr>
    </w:div>
    <w:div w:id="51731692">
      <w:bodyDiv w:val="1"/>
      <w:marLeft w:val="0"/>
      <w:marRight w:val="0"/>
      <w:marTop w:val="0"/>
      <w:marBottom w:val="0"/>
      <w:divBdr>
        <w:top w:val="none" w:sz="0" w:space="0" w:color="auto"/>
        <w:left w:val="none" w:sz="0" w:space="0" w:color="auto"/>
        <w:bottom w:val="none" w:sz="0" w:space="0" w:color="auto"/>
        <w:right w:val="none" w:sz="0" w:space="0" w:color="auto"/>
      </w:divBdr>
    </w:div>
    <w:div w:id="64569051">
      <w:bodyDiv w:val="1"/>
      <w:marLeft w:val="0"/>
      <w:marRight w:val="0"/>
      <w:marTop w:val="0"/>
      <w:marBottom w:val="0"/>
      <w:divBdr>
        <w:top w:val="none" w:sz="0" w:space="0" w:color="auto"/>
        <w:left w:val="none" w:sz="0" w:space="0" w:color="auto"/>
        <w:bottom w:val="none" w:sz="0" w:space="0" w:color="auto"/>
        <w:right w:val="none" w:sz="0" w:space="0" w:color="auto"/>
      </w:divBdr>
    </w:div>
    <w:div w:id="73480536">
      <w:bodyDiv w:val="1"/>
      <w:marLeft w:val="0"/>
      <w:marRight w:val="0"/>
      <w:marTop w:val="0"/>
      <w:marBottom w:val="0"/>
      <w:divBdr>
        <w:top w:val="none" w:sz="0" w:space="0" w:color="auto"/>
        <w:left w:val="none" w:sz="0" w:space="0" w:color="auto"/>
        <w:bottom w:val="none" w:sz="0" w:space="0" w:color="auto"/>
        <w:right w:val="none" w:sz="0" w:space="0" w:color="auto"/>
      </w:divBdr>
    </w:div>
    <w:div w:id="87233358">
      <w:bodyDiv w:val="1"/>
      <w:marLeft w:val="0"/>
      <w:marRight w:val="0"/>
      <w:marTop w:val="0"/>
      <w:marBottom w:val="0"/>
      <w:divBdr>
        <w:top w:val="none" w:sz="0" w:space="0" w:color="auto"/>
        <w:left w:val="none" w:sz="0" w:space="0" w:color="auto"/>
        <w:bottom w:val="none" w:sz="0" w:space="0" w:color="auto"/>
        <w:right w:val="none" w:sz="0" w:space="0" w:color="auto"/>
      </w:divBdr>
    </w:div>
    <w:div w:id="105658670">
      <w:bodyDiv w:val="1"/>
      <w:marLeft w:val="0"/>
      <w:marRight w:val="0"/>
      <w:marTop w:val="0"/>
      <w:marBottom w:val="0"/>
      <w:divBdr>
        <w:top w:val="none" w:sz="0" w:space="0" w:color="auto"/>
        <w:left w:val="none" w:sz="0" w:space="0" w:color="auto"/>
        <w:bottom w:val="none" w:sz="0" w:space="0" w:color="auto"/>
        <w:right w:val="none" w:sz="0" w:space="0" w:color="auto"/>
      </w:divBdr>
    </w:div>
    <w:div w:id="112096021">
      <w:bodyDiv w:val="1"/>
      <w:marLeft w:val="0"/>
      <w:marRight w:val="0"/>
      <w:marTop w:val="0"/>
      <w:marBottom w:val="0"/>
      <w:divBdr>
        <w:top w:val="none" w:sz="0" w:space="0" w:color="auto"/>
        <w:left w:val="none" w:sz="0" w:space="0" w:color="auto"/>
        <w:bottom w:val="none" w:sz="0" w:space="0" w:color="auto"/>
        <w:right w:val="none" w:sz="0" w:space="0" w:color="auto"/>
      </w:divBdr>
    </w:div>
    <w:div w:id="113867632">
      <w:bodyDiv w:val="1"/>
      <w:marLeft w:val="0"/>
      <w:marRight w:val="0"/>
      <w:marTop w:val="0"/>
      <w:marBottom w:val="0"/>
      <w:divBdr>
        <w:top w:val="none" w:sz="0" w:space="0" w:color="auto"/>
        <w:left w:val="none" w:sz="0" w:space="0" w:color="auto"/>
        <w:bottom w:val="none" w:sz="0" w:space="0" w:color="auto"/>
        <w:right w:val="none" w:sz="0" w:space="0" w:color="auto"/>
      </w:divBdr>
    </w:div>
    <w:div w:id="129980863">
      <w:bodyDiv w:val="1"/>
      <w:marLeft w:val="0"/>
      <w:marRight w:val="0"/>
      <w:marTop w:val="0"/>
      <w:marBottom w:val="0"/>
      <w:divBdr>
        <w:top w:val="none" w:sz="0" w:space="0" w:color="auto"/>
        <w:left w:val="none" w:sz="0" w:space="0" w:color="auto"/>
        <w:bottom w:val="none" w:sz="0" w:space="0" w:color="auto"/>
        <w:right w:val="none" w:sz="0" w:space="0" w:color="auto"/>
      </w:divBdr>
    </w:div>
    <w:div w:id="137842654">
      <w:bodyDiv w:val="1"/>
      <w:marLeft w:val="0"/>
      <w:marRight w:val="0"/>
      <w:marTop w:val="0"/>
      <w:marBottom w:val="0"/>
      <w:divBdr>
        <w:top w:val="none" w:sz="0" w:space="0" w:color="auto"/>
        <w:left w:val="none" w:sz="0" w:space="0" w:color="auto"/>
        <w:bottom w:val="none" w:sz="0" w:space="0" w:color="auto"/>
        <w:right w:val="none" w:sz="0" w:space="0" w:color="auto"/>
      </w:divBdr>
    </w:div>
    <w:div w:id="183985605">
      <w:bodyDiv w:val="1"/>
      <w:marLeft w:val="0"/>
      <w:marRight w:val="0"/>
      <w:marTop w:val="0"/>
      <w:marBottom w:val="0"/>
      <w:divBdr>
        <w:top w:val="none" w:sz="0" w:space="0" w:color="auto"/>
        <w:left w:val="none" w:sz="0" w:space="0" w:color="auto"/>
        <w:bottom w:val="none" w:sz="0" w:space="0" w:color="auto"/>
        <w:right w:val="none" w:sz="0" w:space="0" w:color="auto"/>
      </w:divBdr>
    </w:div>
    <w:div w:id="258757851">
      <w:bodyDiv w:val="1"/>
      <w:marLeft w:val="0"/>
      <w:marRight w:val="0"/>
      <w:marTop w:val="0"/>
      <w:marBottom w:val="0"/>
      <w:divBdr>
        <w:top w:val="none" w:sz="0" w:space="0" w:color="auto"/>
        <w:left w:val="none" w:sz="0" w:space="0" w:color="auto"/>
        <w:bottom w:val="none" w:sz="0" w:space="0" w:color="auto"/>
        <w:right w:val="none" w:sz="0" w:space="0" w:color="auto"/>
      </w:divBdr>
    </w:div>
    <w:div w:id="262569913">
      <w:bodyDiv w:val="1"/>
      <w:marLeft w:val="0"/>
      <w:marRight w:val="0"/>
      <w:marTop w:val="0"/>
      <w:marBottom w:val="0"/>
      <w:divBdr>
        <w:top w:val="none" w:sz="0" w:space="0" w:color="auto"/>
        <w:left w:val="none" w:sz="0" w:space="0" w:color="auto"/>
        <w:bottom w:val="none" w:sz="0" w:space="0" w:color="auto"/>
        <w:right w:val="none" w:sz="0" w:space="0" w:color="auto"/>
      </w:divBdr>
    </w:div>
    <w:div w:id="265580082">
      <w:bodyDiv w:val="1"/>
      <w:marLeft w:val="0"/>
      <w:marRight w:val="0"/>
      <w:marTop w:val="0"/>
      <w:marBottom w:val="0"/>
      <w:divBdr>
        <w:top w:val="none" w:sz="0" w:space="0" w:color="auto"/>
        <w:left w:val="none" w:sz="0" w:space="0" w:color="auto"/>
        <w:bottom w:val="none" w:sz="0" w:space="0" w:color="auto"/>
        <w:right w:val="none" w:sz="0" w:space="0" w:color="auto"/>
      </w:divBdr>
    </w:div>
    <w:div w:id="270747478">
      <w:bodyDiv w:val="1"/>
      <w:marLeft w:val="0"/>
      <w:marRight w:val="0"/>
      <w:marTop w:val="0"/>
      <w:marBottom w:val="0"/>
      <w:divBdr>
        <w:top w:val="none" w:sz="0" w:space="0" w:color="auto"/>
        <w:left w:val="none" w:sz="0" w:space="0" w:color="auto"/>
        <w:bottom w:val="none" w:sz="0" w:space="0" w:color="auto"/>
        <w:right w:val="none" w:sz="0" w:space="0" w:color="auto"/>
      </w:divBdr>
    </w:div>
    <w:div w:id="279386582">
      <w:bodyDiv w:val="1"/>
      <w:marLeft w:val="0"/>
      <w:marRight w:val="0"/>
      <w:marTop w:val="0"/>
      <w:marBottom w:val="0"/>
      <w:divBdr>
        <w:top w:val="none" w:sz="0" w:space="0" w:color="auto"/>
        <w:left w:val="none" w:sz="0" w:space="0" w:color="auto"/>
        <w:bottom w:val="none" w:sz="0" w:space="0" w:color="auto"/>
        <w:right w:val="none" w:sz="0" w:space="0" w:color="auto"/>
      </w:divBdr>
    </w:div>
    <w:div w:id="301470701">
      <w:bodyDiv w:val="1"/>
      <w:marLeft w:val="0"/>
      <w:marRight w:val="0"/>
      <w:marTop w:val="0"/>
      <w:marBottom w:val="0"/>
      <w:divBdr>
        <w:top w:val="none" w:sz="0" w:space="0" w:color="auto"/>
        <w:left w:val="none" w:sz="0" w:space="0" w:color="auto"/>
        <w:bottom w:val="none" w:sz="0" w:space="0" w:color="auto"/>
        <w:right w:val="none" w:sz="0" w:space="0" w:color="auto"/>
      </w:divBdr>
    </w:div>
    <w:div w:id="338235227">
      <w:bodyDiv w:val="1"/>
      <w:marLeft w:val="0"/>
      <w:marRight w:val="0"/>
      <w:marTop w:val="0"/>
      <w:marBottom w:val="0"/>
      <w:divBdr>
        <w:top w:val="none" w:sz="0" w:space="0" w:color="auto"/>
        <w:left w:val="none" w:sz="0" w:space="0" w:color="auto"/>
        <w:bottom w:val="none" w:sz="0" w:space="0" w:color="auto"/>
        <w:right w:val="none" w:sz="0" w:space="0" w:color="auto"/>
      </w:divBdr>
    </w:div>
    <w:div w:id="354311432">
      <w:bodyDiv w:val="1"/>
      <w:marLeft w:val="0"/>
      <w:marRight w:val="0"/>
      <w:marTop w:val="0"/>
      <w:marBottom w:val="0"/>
      <w:divBdr>
        <w:top w:val="none" w:sz="0" w:space="0" w:color="auto"/>
        <w:left w:val="none" w:sz="0" w:space="0" w:color="auto"/>
        <w:bottom w:val="none" w:sz="0" w:space="0" w:color="auto"/>
        <w:right w:val="none" w:sz="0" w:space="0" w:color="auto"/>
      </w:divBdr>
    </w:div>
    <w:div w:id="355741439">
      <w:bodyDiv w:val="1"/>
      <w:marLeft w:val="0"/>
      <w:marRight w:val="0"/>
      <w:marTop w:val="0"/>
      <w:marBottom w:val="0"/>
      <w:divBdr>
        <w:top w:val="none" w:sz="0" w:space="0" w:color="auto"/>
        <w:left w:val="none" w:sz="0" w:space="0" w:color="auto"/>
        <w:bottom w:val="none" w:sz="0" w:space="0" w:color="auto"/>
        <w:right w:val="none" w:sz="0" w:space="0" w:color="auto"/>
      </w:divBdr>
    </w:div>
    <w:div w:id="372075156">
      <w:bodyDiv w:val="1"/>
      <w:marLeft w:val="0"/>
      <w:marRight w:val="0"/>
      <w:marTop w:val="0"/>
      <w:marBottom w:val="0"/>
      <w:divBdr>
        <w:top w:val="none" w:sz="0" w:space="0" w:color="auto"/>
        <w:left w:val="none" w:sz="0" w:space="0" w:color="auto"/>
        <w:bottom w:val="none" w:sz="0" w:space="0" w:color="auto"/>
        <w:right w:val="none" w:sz="0" w:space="0" w:color="auto"/>
      </w:divBdr>
    </w:div>
    <w:div w:id="381368147">
      <w:bodyDiv w:val="1"/>
      <w:marLeft w:val="0"/>
      <w:marRight w:val="0"/>
      <w:marTop w:val="0"/>
      <w:marBottom w:val="0"/>
      <w:divBdr>
        <w:top w:val="none" w:sz="0" w:space="0" w:color="auto"/>
        <w:left w:val="none" w:sz="0" w:space="0" w:color="auto"/>
        <w:bottom w:val="none" w:sz="0" w:space="0" w:color="auto"/>
        <w:right w:val="none" w:sz="0" w:space="0" w:color="auto"/>
      </w:divBdr>
    </w:div>
    <w:div w:id="388462605">
      <w:bodyDiv w:val="1"/>
      <w:marLeft w:val="0"/>
      <w:marRight w:val="0"/>
      <w:marTop w:val="0"/>
      <w:marBottom w:val="0"/>
      <w:divBdr>
        <w:top w:val="none" w:sz="0" w:space="0" w:color="auto"/>
        <w:left w:val="none" w:sz="0" w:space="0" w:color="auto"/>
        <w:bottom w:val="none" w:sz="0" w:space="0" w:color="auto"/>
        <w:right w:val="none" w:sz="0" w:space="0" w:color="auto"/>
      </w:divBdr>
    </w:div>
    <w:div w:id="389840373">
      <w:bodyDiv w:val="1"/>
      <w:marLeft w:val="0"/>
      <w:marRight w:val="0"/>
      <w:marTop w:val="0"/>
      <w:marBottom w:val="0"/>
      <w:divBdr>
        <w:top w:val="none" w:sz="0" w:space="0" w:color="auto"/>
        <w:left w:val="none" w:sz="0" w:space="0" w:color="auto"/>
        <w:bottom w:val="none" w:sz="0" w:space="0" w:color="auto"/>
        <w:right w:val="none" w:sz="0" w:space="0" w:color="auto"/>
      </w:divBdr>
    </w:div>
    <w:div w:id="414202605">
      <w:bodyDiv w:val="1"/>
      <w:marLeft w:val="0"/>
      <w:marRight w:val="0"/>
      <w:marTop w:val="0"/>
      <w:marBottom w:val="0"/>
      <w:divBdr>
        <w:top w:val="none" w:sz="0" w:space="0" w:color="auto"/>
        <w:left w:val="none" w:sz="0" w:space="0" w:color="auto"/>
        <w:bottom w:val="none" w:sz="0" w:space="0" w:color="auto"/>
        <w:right w:val="none" w:sz="0" w:space="0" w:color="auto"/>
      </w:divBdr>
    </w:div>
    <w:div w:id="426386819">
      <w:bodyDiv w:val="1"/>
      <w:marLeft w:val="0"/>
      <w:marRight w:val="0"/>
      <w:marTop w:val="0"/>
      <w:marBottom w:val="0"/>
      <w:divBdr>
        <w:top w:val="none" w:sz="0" w:space="0" w:color="auto"/>
        <w:left w:val="none" w:sz="0" w:space="0" w:color="auto"/>
        <w:bottom w:val="none" w:sz="0" w:space="0" w:color="auto"/>
        <w:right w:val="none" w:sz="0" w:space="0" w:color="auto"/>
      </w:divBdr>
    </w:div>
    <w:div w:id="441919948">
      <w:bodyDiv w:val="1"/>
      <w:marLeft w:val="0"/>
      <w:marRight w:val="0"/>
      <w:marTop w:val="0"/>
      <w:marBottom w:val="0"/>
      <w:divBdr>
        <w:top w:val="none" w:sz="0" w:space="0" w:color="auto"/>
        <w:left w:val="none" w:sz="0" w:space="0" w:color="auto"/>
        <w:bottom w:val="none" w:sz="0" w:space="0" w:color="auto"/>
        <w:right w:val="none" w:sz="0" w:space="0" w:color="auto"/>
      </w:divBdr>
    </w:div>
    <w:div w:id="444931736">
      <w:bodyDiv w:val="1"/>
      <w:marLeft w:val="0"/>
      <w:marRight w:val="0"/>
      <w:marTop w:val="0"/>
      <w:marBottom w:val="0"/>
      <w:divBdr>
        <w:top w:val="none" w:sz="0" w:space="0" w:color="auto"/>
        <w:left w:val="none" w:sz="0" w:space="0" w:color="auto"/>
        <w:bottom w:val="none" w:sz="0" w:space="0" w:color="auto"/>
        <w:right w:val="none" w:sz="0" w:space="0" w:color="auto"/>
      </w:divBdr>
    </w:div>
    <w:div w:id="445153074">
      <w:bodyDiv w:val="1"/>
      <w:marLeft w:val="0"/>
      <w:marRight w:val="0"/>
      <w:marTop w:val="0"/>
      <w:marBottom w:val="0"/>
      <w:divBdr>
        <w:top w:val="none" w:sz="0" w:space="0" w:color="auto"/>
        <w:left w:val="none" w:sz="0" w:space="0" w:color="auto"/>
        <w:bottom w:val="none" w:sz="0" w:space="0" w:color="auto"/>
        <w:right w:val="none" w:sz="0" w:space="0" w:color="auto"/>
      </w:divBdr>
    </w:div>
    <w:div w:id="449514361">
      <w:bodyDiv w:val="1"/>
      <w:marLeft w:val="0"/>
      <w:marRight w:val="0"/>
      <w:marTop w:val="0"/>
      <w:marBottom w:val="0"/>
      <w:divBdr>
        <w:top w:val="none" w:sz="0" w:space="0" w:color="auto"/>
        <w:left w:val="none" w:sz="0" w:space="0" w:color="auto"/>
        <w:bottom w:val="none" w:sz="0" w:space="0" w:color="auto"/>
        <w:right w:val="none" w:sz="0" w:space="0" w:color="auto"/>
      </w:divBdr>
    </w:div>
    <w:div w:id="462501842">
      <w:bodyDiv w:val="1"/>
      <w:marLeft w:val="0"/>
      <w:marRight w:val="0"/>
      <w:marTop w:val="0"/>
      <w:marBottom w:val="0"/>
      <w:divBdr>
        <w:top w:val="none" w:sz="0" w:space="0" w:color="auto"/>
        <w:left w:val="none" w:sz="0" w:space="0" w:color="auto"/>
        <w:bottom w:val="none" w:sz="0" w:space="0" w:color="auto"/>
        <w:right w:val="none" w:sz="0" w:space="0" w:color="auto"/>
      </w:divBdr>
    </w:div>
    <w:div w:id="464857423">
      <w:bodyDiv w:val="1"/>
      <w:marLeft w:val="0"/>
      <w:marRight w:val="0"/>
      <w:marTop w:val="0"/>
      <w:marBottom w:val="0"/>
      <w:divBdr>
        <w:top w:val="none" w:sz="0" w:space="0" w:color="auto"/>
        <w:left w:val="none" w:sz="0" w:space="0" w:color="auto"/>
        <w:bottom w:val="none" w:sz="0" w:space="0" w:color="auto"/>
        <w:right w:val="none" w:sz="0" w:space="0" w:color="auto"/>
      </w:divBdr>
    </w:div>
    <w:div w:id="495918274">
      <w:bodyDiv w:val="1"/>
      <w:marLeft w:val="0"/>
      <w:marRight w:val="0"/>
      <w:marTop w:val="0"/>
      <w:marBottom w:val="0"/>
      <w:divBdr>
        <w:top w:val="none" w:sz="0" w:space="0" w:color="auto"/>
        <w:left w:val="none" w:sz="0" w:space="0" w:color="auto"/>
        <w:bottom w:val="none" w:sz="0" w:space="0" w:color="auto"/>
        <w:right w:val="none" w:sz="0" w:space="0" w:color="auto"/>
      </w:divBdr>
    </w:div>
    <w:div w:id="502477156">
      <w:bodyDiv w:val="1"/>
      <w:marLeft w:val="0"/>
      <w:marRight w:val="0"/>
      <w:marTop w:val="0"/>
      <w:marBottom w:val="0"/>
      <w:divBdr>
        <w:top w:val="none" w:sz="0" w:space="0" w:color="auto"/>
        <w:left w:val="none" w:sz="0" w:space="0" w:color="auto"/>
        <w:bottom w:val="none" w:sz="0" w:space="0" w:color="auto"/>
        <w:right w:val="none" w:sz="0" w:space="0" w:color="auto"/>
      </w:divBdr>
    </w:div>
    <w:div w:id="519659687">
      <w:bodyDiv w:val="1"/>
      <w:marLeft w:val="0"/>
      <w:marRight w:val="0"/>
      <w:marTop w:val="0"/>
      <w:marBottom w:val="0"/>
      <w:divBdr>
        <w:top w:val="none" w:sz="0" w:space="0" w:color="auto"/>
        <w:left w:val="none" w:sz="0" w:space="0" w:color="auto"/>
        <w:bottom w:val="none" w:sz="0" w:space="0" w:color="auto"/>
        <w:right w:val="none" w:sz="0" w:space="0" w:color="auto"/>
      </w:divBdr>
    </w:div>
    <w:div w:id="521557110">
      <w:bodyDiv w:val="1"/>
      <w:marLeft w:val="0"/>
      <w:marRight w:val="0"/>
      <w:marTop w:val="0"/>
      <w:marBottom w:val="0"/>
      <w:divBdr>
        <w:top w:val="none" w:sz="0" w:space="0" w:color="auto"/>
        <w:left w:val="none" w:sz="0" w:space="0" w:color="auto"/>
        <w:bottom w:val="none" w:sz="0" w:space="0" w:color="auto"/>
        <w:right w:val="none" w:sz="0" w:space="0" w:color="auto"/>
      </w:divBdr>
    </w:div>
    <w:div w:id="540172403">
      <w:bodyDiv w:val="1"/>
      <w:marLeft w:val="0"/>
      <w:marRight w:val="0"/>
      <w:marTop w:val="0"/>
      <w:marBottom w:val="0"/>
      <w:divBdr>
        <w:top w:val="none" w:sz="0" w:space="0" w:color="auto"/>
        <w:left w:val="none" w:sz="0" w:space="0" w:color="auto"/>
        <w:bottom w:val="none" w:sz="0" w:space="0" w:color="auto"/>
        <w:right w:val="none" w:sz="0" w:space="0" w:color="auto"/>
      </w:divBdr>
      <w:divsChild>
        <w:div w:id="266238578">
          <w:marLeft w:val="0"/>
          <w:marRight w:val="0"/>
          <w:marTop w:val="0"/>
          <w:marBottom w:val="336"/>
          <w:divBdr>
            <w:top w:val="none" w:sz="0" w:space="0" w:color="auto"/>
            <w:left w:val="none" w:sz="0" w:space="0" w:color="auto"/>
            <w:bottom w:val="none" w:sz="0" w:space="0" w:color="auto"/>
            <w:right w:val="none" w:sz="0" w:space="0" w:color="auto"/>
          </w:divBdr>
        </w:div>
        <w:div w:id="1684627697">
          <w:marLeft w:val="0"/>
          <w:marRight w:val="0"/>
          <w:marTop w:val="0"/>
          <w:marBottom w:val="336"/>
          <w:divBdr>
            <w:top w:val="none" w:sz="0" w:space="0" w:color="auto"/>
            <w:left w:val="none" w:sz="0" w:space="0" w:color="auto"/>
            <w:bottom w:val="none" w:sz="0" w:space="0" w:color="auto"/>
            <w:right w:val="none" w:sz="0" w:space="0" w:color="auto"/>
          </w:divBdr>
        </w:div>
      </w:divsChild>
    </w:div>
    <w:div w:id="571160608">
      <w:bodyDiv w:val="1"/>
      <w:marLeft w:val="0"/>
      <w:marRight w:val="0"/>
      <w:marTop w:val="0"/>
      <w:marBottom w:val="0"/>
      <w:divBdr>
        <w:top w:val="none" w:sz="0" w:space="0" w:color="auto"/>
        <w:left w:val="none" w:sz="0" w:space="0" w:color="auto"/>
        <w:bottom w:val="none" w:sz="0" w:space="0" w:color="auto"/>
        <w:right w:val="none" w:sz="0" w:space="0" w:color="auto"/>
      </w:divBdr>
    </w:div>
    <w:div w:id="580915259">
      <w:bodyDiv w:val="1"/>
      <w:marLeft w:val="0"/>
      <w:marRight w:val="0"/>
      <w:marTop w:val="0"/>
      <w:marBottom w:val="0"/>
      <w:divBdr>
        <w:top w:val="none" w:sz="0" w:space="0" w:color="auto"/>
        <w:left w:val="none" w:sz="0" w:space="0" w:color="auto"/>
        <w:bottom w:val="none" w:sz="0" w:space="0" w:color="auto"/>
        <w:right w:val="none" w:sz="0" w:space="0" w:color="auto"/>
      </w:divBdr>
    </w:div>
    <w:div w:id="584463401">
      <w:bodyDiv w:val="1"/>
      <w:marLeft w:val="0"/>
      <w:marRight w:val="0"/>
      <w:marTop w:val="0"/>
      <w:marBottom w:val="0"/>
      <w:divBdr>
        <w:top w:val="none" w:sz="0" w:space="0" w:color="auto"/>
        <w:left w:val="none" w:sz="0" w:space="0" w:color="auto"/>
        <w:bottom w:val="none" w:sz="0" w:space="0" w:color="auto"/>
        <w:right w:val="none" w:sz="0" w:space="0" w:color="auto"/>
      </w:divBdr>
    </w:div>
    <w:div w:id="598103063">
      <w:bodyDiv w:val="1"/>
      <w:marLeft w:val="0"/>
      <w:marRight w:val="0"/>
      <w:marTop w:val="0"/>
      <w:marBottom w:val="0"/>
      <w:divBdr>
        <w:top w:val="none" w:sz="0" w:space="0" w:color="auto"/>
        <w:left w:val="none" w:sz="0" w:space="0" w:color="auto"/>
        <w:bottom w:val="none" w:sz="0" w:space="0" w:color="auto"/>
        <w:right w:val="none" w:sz="0" w:space="0" w:color="auto"/>
      </w:divBdr>
    </w:div>
    <w:div w:id="601496404">
      <w:bodyDiv w:val="1"/>
      <w:marLeft w:val="0"/>
      <w:marRight w:val="0"/>
      <w:marTop w:val="0"/>
      <w:marBottom w:val="0"/>
      <w:divBdr>
        <w:top w:val="none" w:sz="0" w:space="0" w:color="auto"/>
        <w:left w:val="none" w:sz="0" w:space="0" w:color="auto"/>
        <w:bottom w:val="none" w:sz="0" w:space="0" w:color="auto"/>
        <w:right w:val="none" w:sz="0" w:space="0" w:color="auto"/>
      </w:divBdr>
    </w:div>
    <w:div w:id="602154279">
      <w:bodyDiv w:val="1"/>
      <w:marLeft w:val="0"/>
      <w:marRight w:val="0"/>
      <w:marTop w:val="0"/>
      <w:marBottom w:val="0"/>
      <w:divBdr>
        <w:top w:val="none" w:sz="0" w:space="0" w:color="auto"/>
        <w:left w:val="none" w:sz="0" w:space="0" w:color="auto"/>
        <w:bottom w:val="none" w:sz="0" w:space="0" w:color="auto"/>
        <w:right w:val="none" w:sz="0" w:space="0" w:color="auto"/>
      </w:divBdr>
    </w:div>
    <w:div w:id="603266702">
      <w:bodyDiv w:val="1"/>
      <w:marLeft w:val="0"/>
      <w:marRight w:val="0"/>
      <w:marTop w:val="0"/>
      <w:marBottom w:val="0"/>
      <w:divBdr>
        <w:top w:val="none" w:sz="0" w:space="0" w:color="auto"/>
        <w:left w:val="none" w:sz="0" w:space="0" w:color="auto"/>
        <w:bottom w:val="none" w:sz="0" w:space="0" w:color="auto"/>
        <w:right w:val="none" w:sz="0" w:space="0" w:color="auto"/>
      </w:divBdr>
    </w:div>
    <w:div w:id="664894220">
      <w:bodyDiv w:val="1"/>
      <w:marLeft w:val="0"/>
      <w:marRight w:val="0"/>
      <w:marTop w:val="0"/>
      <w:marBottom w:val="0"/>
      <w:divBdr>
        <w:top w:val="none" w:sz="0" w:space="0" w:color="auto"/>
        <w:left w:val="none" w:sz="0" w:space="0" w:color="auto"/>
        <w:bottom w:val="none" w:sz="0" w:space="0" w:color="auto"/>
        <w:right w:val="none" w:sz="0" w:space="0" w:color="auto"/>
      </w:divBdr>
    </w:div>
    <w:div w:id="695278759">
      <w:bodyDiv w:val="1"/>
      <w:marLeft w:val="0"/>
      <w:marRight w:val="0"/>
      <w:marTop w:val="0"/>
      <w:marBottom w:val="0"/>
      <w:divBdr>
        <w:top w:val="none" w:sz="0" w:space="0" w:color="auto"/>
        <w:left w:val="none" w:sz="0" w:space="0" w:color="auto"/>
        <w:bottom w:val="none" w:sz="0" w:space="0" w:color="auto"/>
        <w:right w:val="none" w:sz="0" w:space="0" w:color="auto"/>
      </w:divBdr>
    </w:div>
    <w:div w:id="695350805">
      <w:bodyDiv w:val="1"/>
      <w:marLeft w:val="0"/>
      <w:marRight w:val="0"/>
      <w:marTop w:val="0"/>
      <w:marBottom w:val="0"/>
      <w:divBdr>
        <w:top w:val="none" w:sz="0" w:space="0" w:color="auto"/>
        <w:left w:val="none" w:sz="0" w:space="0" w:color="auto"/>
        <w:bottom w:val="none" w:sz="0" w:space="0" w:color="auto"/>
        <w:right w:val="none" w:sz="0" w:space="0" w:color="auto"/>
      </w:divBdr>
    </w:div>
    <w:div w:id="711156736">
      <w:bodyDiv w:val="1"/>
      <w:marLeft w:val="0"/>
      <w:marRight w:val="0"/>
      <w:marTop w:val="0"/>
      <w:marBottom w:val="0"/>
      <w:divBdr>
        <w:top w:val="none" w:sz="0" w:space="0" w:color="auto"/>
        <w:left w:val="none" w:sz="0" w:space="0" w:color="auto"/>
        <w:bottom w:val="none" w:sz="0" w:space="0" w:color="auto"/>
        <w:right w:val="none" w:sz="0" w:space="0" w:color="auto"/>
      </w:divBdr>
    </w:div>
    <w:div w:id="716129299">
      <w:bodyDiv w:val="1"/>
      <w:marLeft w:val="0"/>
      <w:marRight w:val="0"/>
      <w:marTop w:val="0"/>
      <w:marBottom w:val="0"/>
      <w:divBdr>
        <w:top w:val="none" w:sz="0" w:space="0" w:color="auto"/>
        <w:left w:val="none" w:sz="0" w:space="0" w:color="auto"/>
        <w:bottom w:val="none" w:sz="0" w:space="0" w:color="auto"/>
        <w:right w:val="none" w:sz="0" w:space="0" w:color="auto"/>
      </w:divBdr>
      <w:divsChild>
        <w:div w:id="359939571">
          <w:marLeft w:val="0"/>
          <w:marRight w:val="0"/>
          <w:marTop w:val="0"/>
          <w:marBottom w:val="336"/>
          <w:divBdr>
            <w:top w:val="none" w:sz="0" w:space="0" w:color="auto"/>
            <w:left w:val="none" w:sz="0" w:space="0" w:color="auto"/>
            <w:bottom w:val="none" w:sz="0" w:space="0" w:color="auto"/>
            <w:right w:val="none" w:sz="0" w:space="0" w:color="auto"/>
          </w:divBdr>
        </w:div>
        <w:div w:id="1127235252">
          <w:marLeft w:val="0"/>
          <w:marRight w:val="0"/>
          <w:marTop w:val="0"/>
          <w:marBottom w:val="336"/>
          <w:divBdr>
            <w:top w:val="none" w:sz="0" w:space="0" w:color="auto"/>
            <w:left w:val="none" w:sz="0" w:space="0" w:color="auto"/>
            <w:bottom w:val="none" w:sz="0" w:space="0" w:color="auto"/>
            <w:right w:val="none" w:sz="0" w:space="0" w:color="auto"/>
          </w:divBdr>
        </w:div>
      </w:divsChild>
    </w:div>
    <w:div w:id="729883661">
      <w:bodyDiv w:val="1"/>
      <w:marLeft w:val="0"/>
      <w:marRight w:val="0"/>
      <w:marTop w:val="0"/>
      <w:marBottom w:val="0"/>
      <w:divBdr>
        <w:top w:val="none" w:sz="0" w:space="0" w:color="auto"/>
        <w:left w:val="none" w:sz="0" w:space="0" w:color="auto"/>
        <w:bottom w:val="none" w:sz="0" w:space="0" w:color="auto"/>
        <w:right w:val="none" w:sz="0" w:space="0" w:color="auto"/>
      </w:divBdr>
    </w:div>
    <w:div w:id="742065157">
      <w:bodyDiv w:val="1"/>
      <w:marLeft w:val="0"/>
      <w:marRight w:val="0"/>
      <w:marTop w:val="0"/>
      <w:marBottom w:val="0"/>
      <w:divBdr>
        <w:top w:val="none" w:sz="0" w:space="0" w:color="auto"/>
        <w:left w:val="none" w:sz="0" w:space="0" w:color="auto"/>
        <w:bottom w:val="none" w:sz="0" w:space="0" w:color="auto"/>
        <w:right w:val="none" w:sz="0" w:space="0" w:color="auto"/>
      </w:divBdr>
    </w:div>
    <w:div w:id="750080908">
      <w:bodyDiv w:val="1"/>
      <w:marLeft w:val="0"/>
      <w:marRight w:val="0"/>
      <w:marTop w:val="0"/>
      <w:marBottom w:val="0"/>
      <w:divBdr>
        <w:top w:val="none" w:sz="0" w:space="0" w:color="auto"/>
        <w:left w:val="none" w:sz="0" w:space="0" w:color="auto"/>
        <w:bottom w:val="none" w:sz="0" w:space="0" w:color="auto"/>
        <w:right w:val="none" w:sz="0" w:space="0" w:color="auto"/>
      </w:divBdr>
    </w:div>
    <w:div w:id="750657700">
      <w:bodyDiv w:val="1"/>
      <w:marLeft w:val="0"/>
      <w:marRight w:val="0"/>
      <w:marTop w:val="0"/>
      <w:marBottom w:val="0"/>
      <w:divBdr>
        <w:top w:val="none" w:sz="0" w:space="0" w:color="auto"/>
        <w:left w:val="none" w:sz="0" w:space="0" w:color="auto"/>
        <w:bottom w:val="none" w:sz="0" w:space="0" w:color="auto"/>
        <w:right w:val="none" w:sz="0" w:space="0" w:color="auto"/>
      </w:divBdr>
    </w:div>
    <w:div w:id="759301977">
      <w:bodyDiv w:val="1"/>
      <w:marLeft w:val="0"/>
      <w:marRight w:val="0"/>
      <w:marTop w:val="0"/>
      <w:marBottom w:val="0"/>
      <w:divBdr>
        <w:top w:val="none" w:sz="0" w:space="0" w:color="auto"/>
        <w:left w:val="none" w:sz="0" w:space="0" w:color="auto"/>
        <w:bottom w:val="none" w:sz="0" w:space="0" w:color="auto"/>
        <w:right w:val="none" w:sz="0" w:space="0" w:color="auto"/>
      </w:divBdr>
    </w:div>
    <w:div w:id="760879678">
      <w:bodyDiv w:val="1"/>
      <w:marLeft w:val="0"/>
      <w:marRight w:val="0"/>
      <w:marTop w:val="0"/>
      <w:marBottom w:val="0"/>
      <w:divBdr>
        <w:top w:val="none" w:sz="0" w:space="0" w:color="auto"/>
        <w:left w:val="none" w:sz="0" w:space="0" w:color="auto"/>
        <w:bottom w:val="none" w:sz="0" w:space="0" w:color="auto"/>
        <w:right w:val="none" w:sz="0" w:space="0" w:color="auto"/>
      </w:divBdr>
    </w:div>
    <w:div w:id="764303161">
      <w:bodyDiv w:val="1"/>
      <w:marLeft w:val="0"/>
      <w:marRight w:val="0"/>
      <w:marTop w:val="0"/>
      <w:marBottom w:val="0"/>
      <w:divBdr>
        <w:top w:val="none" w:sz="0" w:space="0" w:color="auto"/>
        <w:left w:val="none" w:sz="0" w:space="0" w:color="auto"/>
        <w:bottom w:val="none" w:sz="0" w:space="0" w:color="auto"/>
        <w:right w:val="none" w:sz="0" w:space="0" w:color="auto"/>
      </w:divBdr>
    </w:div>
    <w:div w:id="767968666">
      <w:bodyDiv w:val="1"/>
      <w:marLeft w:val="0"/>
      <w:marRight w:val="0"/>
      <w:marTop w:val="0"/>
      <w:marBottom w:val="0"/>
      <w:divBdr>
        <w:top w:val="none" w:sz="0" w:space="0" w:color="auto"/>
        <w:left w:val="none" w:sz="0" w:space="0" w:color="auto"/>
        <w:bottom w:val="none" w:sz="0" w:space="0" w:color="auto"/>
        <w:right w:val="none" w:sz="0" w:space="0" w:color="auto"/>
      </w:divBdr>
    </w:div>
    <w:div w:id="777716777">
      <w:bodyDiv w:val="1"/>
      <w:marLeft w:val="0"/>
      <w:marRight w:val="0"/>
      <w:marTop w:val="0"/>
      <w:marBottom w:val="0"/>
      <w:divBdr>
        <w:top w:val="none" w:sz="0" w:space="0" w:color="auto"/>
        <w:left w:val="none" w:sz="0" w:space="0" w:color="auto"/>
        <w:bottom w:val="none" w:sz="0" w:space="0" w:color="auto"/>
        <w:right w:val="none" w:sz="0" w:space="0" w:color="auto"/>
      </w:divBdr>
    </w:div>
    <w:div w:id="791747688">
      <w:bodyDiv w:val="1"/>
      <w:marLeft w:val="0"/>
      <w:marRight w:val="0"/>
      <w:marTop w:val="0"/>
      <w:marBottom w:val="0"/>
      <w:divBdr>
        <w:top w:val="none" w:sz="0" w:space="0" w:color="auto"/>
        <w:left w:val="none" w:sz="0" w:space="0" w:color="auto"/>
        <w:bottom w:val="none" w:sz="0" w:space="0" w:color="auto"/>
        <w:right w:val="none" w:sz="0" w:space="0" w:color="auto"/>
      </w:divBdr>
    </w:div>
    <w:div w:id="800074705">
      <w:bodyDiv w:val="1"/>
      <w:marLeft w:val="0"/>
      <w:marRight w:val="0"/>
      <w:marTop w:val="0"/>
      <w:marBottom w:val="0"/>
      <w:divBdr>
        <w:top w:val="none" w:sz="0" w:space="0" w:color="auto"/>
        <w:left w:val="none" w:sz="0" w:space="0" w:color="auto"/>
        <w:bottom w:val="none" w:sz="0" w:space="0" w:color="auto"/>
        <w:right w:val="none" w:sz="0" w:space="0" w:color="auto"/>
      </w:divBdr>
    </w:div>
    <w:div w:id="800421991">
      <w:bodyDiv w:val="1"/>
      <w:marLeft w:val="0"/>
      <w:marRight w:val="0"/>
      <w:marTop w:val="0"/>
      <w:marBottom w:val="0"/>
      <w:divBdr>
        <w:top w:val="none" w:sz="0" w:space="0" w:color="auto"/>
        <w:left w:val="none" w:sz="0" w:space="0" w:color="auto"/>
        <w:bottom w:val="none" w:sz="0" w:space="0" w:color="auto"/>
        <w:right w:val="none" w:sz="0" w:space="0" w:color="auto"/>
      </w:divBdr>
    </w:div>
    <w:div w:id="821847570">
      <w:bodyDiv w:val="1"/>
      <w:marLeft w:val="0"/>
      <w:marRight w:val="0"/>
      <w:marTop w:val="0"/>
      <w:marBottom w:val="0"/>
      <w:divBdr>
        <w:top w:val="none" w:sz="0" w:space="0" w:color="auto"/>
        <w:left w:val="none" w:sz="0" w:space="0" w:color="auto"/>
        <w:bottom w:val="none" w:sz="0" w:space="0" w:color="auto"/>
        <w:right w:val="none" w:sz="0" w:space="0" w:color="auto"/>
      </w:divBdr>
      <w:divsChild>
        <w:div w:id="1090126292">
          <w:marLeft w:val="0"/>
          <w:marRight w:val="0"/>
          <w:marTop w:val="0"/>
          <w:marBottom w:val="336"/>
          <w:divBdr>
            <w:top w:val="none" w:sz="0" w:space="0" w:color="auto"/>
            <w:left w:val="none" w:sz="0" w:space="0" w:color="auto"/>
            <w:bottom w:val="none" w:sz="0" w:space="0" w:color="auto"/>
            <w:right w:val="none" w:sz="0" w:space="0" w:color="auto"/>
          </w:divBdr>
        </w:div>
      </w:divsChild>
    </w:div>
    <w:div w:id="829442856">
      <w:bodyDiv w:val="1"/>
      <w:marLeft w:val="0"/>
      <w:marRight w:val="0"/>
      <w:marTop w:val="0"/>
      <w:marBottom w:val="0"/>
      <w:divBdr>
        <w:top w:val="none" w:sz="0" w:space="0" w:color="auto"/>
        <w:left w:val="none" w:sz="0" w:space="0" w:color="auto"/>
        <w:bottom w:val="none" w:sz="0" w:space="0" w:color="auto"/>
        <w:right w:val="none" w:sz="0" w:space="0" w:color="auto"/>
      </w:divBdr>
      <w:divsChild>
        <w:div w:id="167331256">
          <w:marLeft w:val="0"/>
          <w:marRight w:val="0"/>
          <w:marTop w:val="0"/>
          <w:marBottom w:val="336"/>
          <w:divBdr>
            <w:top w:val="none" w:sz="0" w:space="0" w:color="auto"/>
            <w:left w:val="none" w:sz="0" w:space="0" w:color="auto"/>
            <w:bottom w:val="none" w:sz="0" w:space="0" w:color="auto"/>
            <w:right w:val="none" w:sz="0" w:space="0" w:color="auto"/>
          </w:divBdr>
        </w:div>
        <w:div w:id="1954244699">
          <w:marLeft w:val="0"/>
          <w:marRight w:val="0"/>
          <w:marTop w:val="0"/>
          <w:marBottom w:val="336"/>
          <w:divBdr>
            <w:top w:val="none" w:sz="0" w:space="0" w:color="auto"/>
            <w:left w:val="none" w:sz="0" w:space="0" w:color="auto"/>
            <w:bottom w:val="none" w:sz="0" w:space="0" w:color="auto"/>
            <w:right w:val="none" w:sz="0" w:space="0" w:color="auto"/>
          </w:divBdr>
        </w:div>
      </w:divsChild>
    </w:div>
    <w:div w:id="836119659">
      <w:bodyDiv w:val="1"/>
      <w:marLeft w:val="0"/>
      <w:marRight w:val="0"/>
      <w:marTop w:val="0"/>
      <w:marBottom w:val="0"/>
      <w:divBdr>
        <w:top w:val="none" w:sz="0" w:space="0" w:color="auto"/>
        <w:left w:val="none" w:sz="0" w:space="0" w:color="auto"/>
        <w:bottom w:val="none" w:sz="0" w:space="0" w:color="auto"/>
        <w:right w:val="none" w:sz="0" w:space="0" w:color="auto"/>
      </w:divBdr>
    </w:div>
    <w:div w:id="844634583">
      <w:bodyDiv w:val="1"/>
      <w:marLeft w:val="0"/>
      <w:marRight w:val="0"/>
      <w:marTop w:val="0"/>
      <w:marBottom w:val="0"/>
      <w:divBdr>
        <w:top w:val="none" w:sz="0" w:space="0" w:color="auto"/>
        <w:left w:val="none" w:sz="0" w:space="0" w:color="auto"/>
        <w:bottom w:val="none" w:sz="0" w:space="0" w:color="auto"/>
        <w:right w:val="none" w:sz="0" w:space="0" w:color="auto"/>
      </w:divBdr>
    </w:div>
    <w:div w:id="899366379">
      <w:bodyDiv w:val="1"/>
      <w:marLeft w:val="0"/>
      <w:marRight w:val="0"/>
      <w:marTop w:val="0"/>
      <w:marBottom w:val="0"/>
      <w:divBdr>
        <w:top w:val="none" w:sz="0" w:space="0" w:color="auto"/>
        <w:left w:val="none" w:sz="0" w:space="0" w:color="auto"/>
        <w:bottom w:val="none" w:sz="0" w:space="0" w:color="auto"/>
        <w:right w:val="none" w:sz="0" w:space="0" w:color="auto"/>
      </w:divBdr>
    </w:div>
    <w:div w:id="903301382">
      <w:bodyDiv w:val="1"/>
      <w:marLeft w:val="0"/>
      <w:marRight w:val="0"/>
      <w:marTop w:val="0"/>
      <w:marBottom w:val="0"/>
      <w:divBdr>
        <w:top w:val="none" w:sz="0" w:space="0" w:color="auto"/>
        <w:left w:val="none" w:sz="0" w:space="0" w:color="auto"/>
        <w:bottom w:val="none" w:sz="0" w:space="0" w:color="auto"/>
        <w:right w:val="none" w:sz="0" w:space="0" w:color="auto"/>
      </w:divBdr>
    </w:div>
    <w:div w:id="905460773">
      <w:bodyDiv w:val="1"/>
      <w:marLeft w:val="0"/>
      <w:marRight w:val="0"/>
      <w:marTop w:val="0"/>
      <w:marBottom w:val="0"/>
      <w:divBdr>
        <w:top w:val="none" w:sz="0" w:space="0" w:color="auto"/>
        <w:left w:val="none" w:sz="0" w:space="0" w:color="auto"/>
        <w:bottom w:val="none" w:sz="0" w:space="0" w:color="auto"/>
        <w:right w:val="none" w:sz="0" w:space="0" w:color="auto"/>
      </w:divBdr>
    </w:div>
    <w:div w:id="923994685">
      <w:bodyDiv w:val="1"/>
      <w:marLeft w:val="0"/>
      <w:marRight w:val="0"/>
      <w:marTop w:val="0"/>
      <w:marBottom w:val="0"/>
      <w:divBdr>
        <w:top w:val="none" w:sz="0" w:space="0" w:color="auto"/>
        <w:left w:val="none" w:sz="0" w:space="0" w:color="auto"/>
        <w:bottom w:val="none" w:sz="0" w:space="0" w:color="auto"/>
        <w:right w:val="none" w:sz="0" w:space="0" w:color="auto"/>
      </w:divBdr>
    </w:div>
    <w:div w:id="951402115">
      <w:bodyDiv w:val="1"/>
      <w:marLeft w:val="0"/>
      <w:marRight w:val="0"/>
      <w:marTop w:val="0"/>
      <w:marBottom w:val="0"/>
      <w:divBdr>
        <w:top w:val="none" w:sz="0" w:space="0" w:color="auto"/>
        <w:left w:val="none" w:sz="0" w:space="0" w:color="auto"/>
        <w:bottom w:val="none" w:sz="0" w:space="0" w:color="auto"/>
        <w:right w:val="none" w:sz="0" w:space="0" w:color="auto"/>
      </w:divBdr>
    </w:div>
    <w:div w:id="957641097">
      <w:bodyDiv w:val="1"/>
      <w:marLeft w:val="0"/>
      <w:marRight w:val="0"/>
      <w:marTop w:val="0"/>
      <w:marBottom w:val="0"/>
      <w:divBdr>
        <w:top w:val="none" w:sz="0" w:space="0" w:color="auto"/>
        <w:left w:val="none" w:sz="0" w:space="0" w:color="auto"/>
        <w:bottom w:val="none" w:sz="0" w:space="0" w:color="auto"/>
        <w:right w:val="none" w:sz="0" w:space="0" w:color="auto"/>
      </w:divBdr>
    </w:div>
    <w:div w:id="960770529">
      <w:bodyDiv w:val="1"/>
      <w:marLeft w:val="0"/>
      <w:marRight w:val="0"/>
      <w:marTop w:val="0"/>
      <w:marBottom w:val="0"/>
      <w:divBdr>
        <w:top w:val="none" w:sz="0" w:space="0" w:color="auto"/>
        <w:left w:val="none" w:sz="0" w:space="0" w:color="auto"/>
        <w:bottom w:val="none" w:sz="0" w:space="0" w:color="auto"/>
        <w:right w:val="none" w:sz="0" w:space="0" w:color="auto"/>
      </w:divBdr>
    </w:div>
    <w:div w:id="1004432764">
      <w:bodyDiv w:val="1"/>
      <w:marLeft w:val="0"/>
      <w:marRight w:val="0"/>
      <w:marTop w:val="0"/>
      <w:marBottom w:val="0"/>
      <w:divBdr>
        <w:top w:val="none" w:sz="0" w:space="0" w:color="auto"/>
        <w:left w:val="none" w:sz="0" w:space="0" w:color="auto"/>
        <w:bottom w:val="none" w:sz="0" w:space="0" w:color="auto"/>
        <w:right w:val="none" w:sz="0" w:space="0" w:color="auto"/>
      </w:divBdr>
    </w:div>
    <w:div w:id="1005397725">
      <w:bodyDiv w:val="1"/>
      <w:marLeft w:val="0"/>
      <w:marRight w:val="0"/>
      <w:marTop w:val="0"/>
      <w:marBottom w:val="0"/>
      <w:divBdr>
        <w:top w:val="none" w:sz="0" w:space="0" w:color="auto"/>
        <w:left w:val="none" w:sz="0" w:space="0" w:color="auto"/>
        <w:bottom w:val="none" w:sz="0" w:space="0" w:color="auto"/>
        <w:right w:val="none" w:sz="0" w:space="0" w:color="auto"/>
      </w:divBdr>
    </w:div>
    <w:div w:id="1012223867">
      <w:bodyDiv w:val="1"/>
      <w:marLeft w:val="0"/>
      <w:marRight w:val="0"/>
      <w:marTop w:val="0"/>
      <w:marBottom w:val="0"/>
      <w:divBdr>
        <w:top w:val="none" w:sz="0" w:space="0" w:color="auto"/>
        <w:left w:val="none" w:sz="0" w:space="0" w:color="auto"/>
        <w:bottom w:val="none" w:sz="0" w:space="0" w:color="auto"/>
        <w:right w:val="none" w:sz="0" w:space="0" w:color="auto"/>
      </w:divBdr>
    </w:div>
    <w:div w:id="1012533627">
      <w:bodyDiv w:val="1"/>
      <w:marLeft w:val="0"/>
      <w:marRight w:val="0"/>
      <w:marTop w:val="0"/>
      <w:marBottom w:val="0"/>
      <w:divBdr>
        <w:top w:val="none" w:sz="0" w:space="0" w:color="auto"/>
        <w:left w:val="none" w:sz="0" w:space="0" w:color="auto"/>
        <w:bottom w:val="none" w:sz="0" w:space="0" w:color="auto"/>
        <w:right w:val="none" w:sz="0" w:space="0" w:color="auto"/>
      </w:divBdr>
    </w:div>
    <w:div w:id="1021475638">
      <w:bodyDiv w:val="1"/>
      <w:marLeft w:val="0"/>
      <w:marRight w:val="0"/>
      <w:marTop w:val="0"/>
      <w:marBottom w:val="0"/>
      <w:divBdr>
        <w:top w:val="none" w:sz="0" w:space="0" w:color="auto"/>
        <w:left w:val="none" w:sz="0" w:space="0" w:color="auto"/>
        <w:bottom w:val="none" w:sz="0" w:space="0" w:color="auto"/>
        <w:right w:val="none" w:sz="0" w:space="0" w:color="auto"/>
      </w:divBdr>
    </w:div>
    <w:div w:id="1033194331">
      <w:bodyDiv w:val="1"/>
      <w:marLeft w:val="0"/>
      <w:marRight w:val="0"/>
      <w:marTop w:val="0"/>
      <w:marBottom w:val="0"/>
      <w:divBdr>
        <w:top w:val="none" w:sz="0" w:space="0" w:color="auto"/>
        <w:left w:val="none" w:sz="0" w:space="0" w:color="auto"/>
        <w:bottom w:val="none" w:sz="0" w:space="0" w:color="auto"/>
        <w:right w:val="none" w:sz="0" w:space="0" w:color="auto"/>
      </w:divBdr>
    </w:div>
    <w:div w:id="1039740889">
      <w:bodyDiv w:val="1"/>
      <w:marLeft w:val="0"/>
      <w:marRight w:val="0"/>
      <w:marTop w:val="0"/>
      <w:marBottom w:val="0"/>
      <w:divBdr>
        <w:top w:val="none" w:sz="0" w:space="0" w:color="auto"/>
        <w:left w:val="none" w:sz="0" w:space="0" w:color="auto"/>
        <w:bottom w:val="none" w:sz="0" w:space="0" w:color="auto"/>
        <w:right w:val="none" w:sz="0" w:space="0" w:color="auto"/>
      </w:divBdr>
    </w:div>
    <w:div w:id="1047290862">
      <w:bodyDiv w:val="1"/>
      <w:marLeft w:val="0"/>
      <w:marRight w:val="0"/>
      <w:marTop w:val="0"/>
      <w:marBottom w:val="0"/>
      <w:divBdr>
        <w:top w:val="none" w:sz="0" w:space="0" w:color="auto"/>
        <w:left w:val="none" w:sz="0" w:space="0" w:color="auto"/>
        <w:bottom w:val="none" w:sz="0" w:space="0" w:color="auto"/>
        <w:right w:val="none" w:sz="0" w:space="0" w:color="auto"/>
      </w:divBdr>
    </w:div>
    <w:div w:id="1060640491">
      <w:bodyDiv w:val="1"/>
      <w:marLeft w:val="0"/>
      <w:marRight w:val="0"/>
      <w:marTop w:val="0"/>
      <w:marBottom w:val="0"/>
      <w:divBdr>
        <w:top w:val="none" w:sz="0" w:space="0" w:color="auto"/>
        <w:left w:val="none" w:sz="0" w:space="0" w:color="auto"/>
        <w:bottom w:val="none" w:sz="0" w:space="0" w:color="auto"/>
        <w:right w:val="none" w:sz="0" w:space="0" w:color="auto"/>
      </w:divBdr>
    </w:div>
    <w:div w:id="1087847695">
      <w:bodyDiv w:val="1"/>
      <w:marLeft w:val="0"/>
      <w:marRight w:val="0"/>
      <w:marTop w:val="0"/>
      <w:marBottom w:val="0"/>
      <w:divBdr>
        <w:top w:val="none" w:sz="0" w:space="0" w:color="auto"/>
        <w:left w:val="none" w:sz="0" w:space="0" w:color="auto"/>
        <w:bottom w:val="none" w:sz="0" w:space="0" w:color="auto"/>
        <w:right w:val="none" w:sz="0" w:space="0" w:color="auto"/>
      </w:divBdr>
    </w:div>
    <w:div w:id="1118989528">
      <w:bodyDiv w:val="1"/>
      <w:marLeft w:val="0"/>
      <w:marRight w:val="0"/>
      <w:marTop w:val="0"/>
      <w:marBottom w:val="0"/>
      <w:divBdr>
        <w:top w:val="none" w:sz="0" w:space="0" w:color="auto"/>
        <w:left w:val="none" w:sz="0" w:space="0" w:color="auto"/>
        <w:bottom w:val="none" w:sz="0" w:space="0" w:color="auto"/>
        <w:right w:val="none" w:sz="0" w:space="0" w:color="auto"/>
      </w:divBdr>
    </w:div>
    <w:div w:id="1121411664">
      <w:bodyDiv w:val="1"/>
      <w:marLeft w:val="0"/>
      <w:marRight w:val="0"/>
      <w:marTop w:val="0"/>
      <w:marBottom w:val="0"/>
      <w:divBdr>
        <w:top w:val="none" w:sz="0" w:space="0" w:color="auto"/>
        <w:left w:val="none" w:sz="0" w:space="0" w:color="auto"/>
        <w:bottom w:val="none" w:sz="0" w:space="0" w:color="auto"/>
        <w:right w:val="none" w:sz="0" w:space="0" w:color="auto"/>
      </w:divBdr>
      <w:divsChild>
        <w:div w:id="549657391">
          <w:marLeft w:val="0"/>
          <w:marRight w:val="0"/>
          <w:marTop w:val="0"/>
          <w:marBottom w:val="336"/>
          <w:divBdr>
            <w:top w:val="none" w:sz="0" w:space="0" w:color="auto"/>
            <w:left w:val="none" w:sz="0" w:space="0" w:color="auto"/>
            <w:bottom w:val="none" w:sz="0" w:space="0" w:color="auto"/>
            <w:right w:val="none" w:sz="0" w:space="0" w:color="auto"/>
          </w:divBdr>
        </w:div>
        <w:div w:id="1505438968">
          <w:marLeft w:val="0"/>
          <w:marRight w:val="0"/>
          <w:marTop w:val="0"/>
          <w:marBottom w:val="336"/>
          <w:divBdr>
            <w:top w:val="none" w:sz="0" w:space="0" w:color="auto"/>
            <w:left w:val="none" w:sz="0" w:space="0" w:color="auto"/>
            <w:bottom w:val="none" w:sz="0" w:space="0" w:color="auto"/>
            <w:right w:val="none" w:sz="0" w:space="0" w:color="auto"/>
          </w:divBdr>
        </w:div>
      </w:divsChild>
    </w:div>
    <w:div w:id="1124545636">
      <w:bodyDiv w:val="1"/>
      <w:marLeft w:val="0"/>
      <w:marRight w:val="0"/>
      <w:marTop w:val="0"/>
      <w:marBottom w:val="0"/>
      <w:divBdr>
        <w:top w:val="none" w:sz="0" w:space="0" w:color="auto"/>
        <w:left w:val="none" w:sz="0" w:space="0" w:color="auto"/>
        <w:bottom w:val="none" w:sz="0" w:space="0" w:color="auto"/>
        <w:right w:val="none" w:sz="0" w:space="0" w:color="auto"/>
      </w:divBdr>
    </w:div>
    <w:div w:id="1124806745">
      <w:bodyDiv w:val="1"/>
      <w:marLeft w:val="0"/>
      <w:marRight w:val="0"/>
      <w:marTop w:val="0"/>
      <w:marBottom w:val="0"/>
      <w:divBdr>
        <w:top w:val="none" w:sz="0" w:space="0" w:color="auto"/>
        <w:left w:val="none" w:sz="0" w:space="0" w:color="auto"/>
        <w:bottom w:val="none" w:sz="0" w:space="0" w:color="auto"/>
        <w:right w:val="none" w:sz="0" w:space="0" w:color="auto"/>
      </w:divBdr>
    </w:div>
    <w:div w:id="1127351772">
      <w:bodyDiv w:val="1"/>
      <w:marLeft w:val="0"/>
      <w:marRight w:val="0"/>
      <w:marTop w:val="0"/>
      <w:marBottom w:val="0"/>
      <w:divBdr>
        <w:top w:val="none" w:sz="0" w:space="0" w:color="auto"/>
        <w:left w:val="none" w:sz="0" w:space="0" w:color="auto"/>
        <w:bottom w:val="none" w:sz="0" w:space="0" w:color="auto"/>
        <w:right w:val="none" w:sz="0" w:space="0" w:color="auto"/>
      </w:divBdr>
    </w:div>
    <w:div w:id="1159617873">
      <w:bodyDiv w:val="1"/>
      <w:marLeft w:val="0"/>
      <w:marRight w:val="0"/>
      <w:marTop w:val="0"/>
      <w:marBottom w:val="0"/>
      <w:divBdr>
        <w:top w:val="none" w:sz="0" w:space="0" w:color="auto"/>
        <w:left w:val="none" w:sz="0" w:space="0" w:color="auto"/>
        <w:bottom w:val="none" w:sz="0" w:space="0" w:color="auto"/>
        <w:right w:val="none" w:sz="0" w:space="0" w:color="auto"/>
      </w:divBdr>
    </w:div>
    <w:div w:id="1175801605">
      <w:bodyDiv w:val="1"/>
      <w:marLeft w:val="0"/>
      <w:marRight w:val="0"/>
      <w:marTop w:val="0"/>
      <w:marBottom w:val="0"/>
      <w:divBdr>
        <w:top w:val="none" w:sz="0" w:space="0" w:color="auto"/>
        <w:left w:val="none" w:sz="0" w:space="0" w:color="auto"/>
        <w:bottom w:val="none" w:sz="0" w:space="0" w:color="auto"/>
        <w:right w:val="none" w:sz="0" w:space="0" w:color="auto"/>
      </w:divBdr>
    </w:div>
    <w:div w:id="1208251124">
      <w:bodyDiv w:val="1"/>
      <w:marLeft w:val="0"/>
      <w:marRight w:val="0"/>
      <w:marTop w:val="0"/>
      <w:marBottom w:val="0"/>
      <w:divBdr>
        <w:top w:val="none" w:sz="0" w:space="0" w:color="auto"/>
        <w:left w:val="none" w:sz="0" w:space="0" w:color="auto"/>
        <w:bottom w:val="none" w:sz="0" w:space="0" w:color="auto"/>
        <w:right w:val="none" w:sz="0" w:space="0" w:color="auto"/>
      </w:divBdr>
    </w:div>
    <w:div w:id="1212228287">
      <w:bodyDiv w:val="1"/>
      <w:marLeft w:val="0"/>
      <w:marRight w:val="0"/>
      <w:marTop w:val="0"/>
      <w:marBottom w:val="0"/>
      <w:divBdr>
        <w:top w:val="none" w:sz="0" w:space="0" w:color="auto"/>
        <w:left w:val="none" w:sz="0" w:space="0" w:color="auto"/>
        <w:bottom w:val="none" w:sz="0" w:space="0" w:color="auto"/>
        <w:right w:val="none" w:sz="0" w:space="0" w:color="auto"/>
      </w:divBdr>
    </w:div>
    <w:div w:id="1213686485">
      <w:bodyDiv w:val="1"/>
      <w:marLeft w:val="0"/>
      <w:marRight w:val="0"/>
      <w:marTop w:val="0"/>
      <w:marBottom w:val="0"/>
      <w:divBdr>
        <w:top w:val="none" w:sz="0" w:space="0" w:color="auto"/>
        <w:left w:val="none" w:sz="0" w:space="0" w:color="auto"/>
        <w:bottom w:val="none" w:sz="0" w:space="0" w:color="auto"/>
        <w:right w:val="none" w:sz="0" w:space="0" w:color="auto"/>
      </w:divBdr>
    </w:div>
    <w:div w:id="1228614725">
      <w:bodyDiv w:val="1"/>
      <w:marLeft w:val="0"/>
      <w:marRight w:val="0"/>
      <w:marTop w:val="0"/>
      <w:marBottom w:val="0"/>
      <w:divBdr>
        <w:top w:val="none" w:sz="0" w:space="0" w:color="auto"/>
        <w:left w:val="none" w:sz="0" w:space="0" w:color="auto"/>
        <w:bottom w:val="none" w:sz="0" w:space="0" w:color="auto"/>
        <w:right w:val="none" w:sz="0" w:space="0" w:color="auto"/>
      </w:divBdr>
    </w:div>
    <w:div w:id="1230536011">
      <w:bodyDiv w:val="1"/>
      <w:marLeft w:val="0"/>
      <w:marRight w:val="0"/>
      <w:marTop w:val="0"/>
      <w:marBottom w:val="0"/>
      <w:divBdr>
        <w:top w:val="none" w:sz="0" w:space="0" w:color="auto"/>
        <w:left w:val="none" w:sz="0" w:space="0" w:color="auto"/>
        <w:bottom w:val="none" w:sz="0" w:space="0" w:color="auto"/>
        <w:right w:val="none" w:sz="0" w:space="0" w:color="auto"/>
      </w:divBdr>
      <w:divsChild>
        <w:div w:id="127862204">
          <w:marLeft w:val="0"/>
          <w:marRight w:val="0"/>
          <w:marTop w:val="0"/>
          <w:marBottom w:val="0"/>
          <w:divBdr>
            <w:top w:val="none" w:sz="0" w:space="0" w:color="auto"/>
            <w:left w:val="none" w:sz="0" w:space="0" w:color="auto"/>
            <w:bottom w:val="none" w:sz="0" w:space="0" w:color="auto"/>
            <w:right w:val="none" w:sz="0" w:space="0" w:color="auto"/>
          </w:divBdr>
        </w:div>
        <w:div w:id="205798862">
          <w:marLeft w:val="0"/>
          <w:marRight w:val="0"/>
          <w:marTop w:val="0"/>
          <w:marBottom w:val="0"/>
          <w:divBdr>
            <w:top w:val="none" w:sz="0" w:space="0" w:color="auto"/>
            <w:left w:val="none" w:sz="0" w:space="0" w:color="auto"/>
            <w:bottom w:val="none" w:sz="0" w:space="0" w:color="auto"/>
            <w:right w:val="none" w:sz="0" w:space="0" w:color="auto"/>
          </w:divBdr>
        </w:div>
        <w:div w:id="208536403">
          <w:marLeft w:val="0"/>
          <w:marRight w:val="0"/>
          <w:marTop w:val="0"/>
          <w:marBottom w:val="0"/>
          <w:divBdr>
            <w:top w:val="none" w:sz="0" w:space="0" w:color="auto"/>
            <w:left w:val="none" w:sz="0" w:space="0" w:color="auto"/>
            <w:bottom w:val="none" w:sz="0" w:space="0" w:color="auto"/>
            <w:right w:val="none" w:sz="0" w:space="0" w:color="auto"/>
          </w:divBdr>
        </w:div>
        <w:div w:id="230507278">
          <w:marLeft w:val="0"/>
          <w:marRight w:val="0"/>
          <w:marTop w:val="0"/>
          <w:marBottom w:val="0"/>
          <w:divBdr>
            <w:top w:val="none" w:sz="0" w:space="0" w:color="auto"/>
            <w:left w:val="none" w:sz="0" w:space="0" w:color="auto"/>
            <w:bottom w:val="none" w:sz="0" w:space="0" w:color="auto"/>
            <w:right w:val="none" w:sz="0" w:space="0" w:color="auto"/>
          </w:divBdr>
        </w:div>
        <w:div w:id="240605250">
          <w:marLeft w:val="0"/>
          <w:marRight w:val="0"/>
          <w:marTop w:val="0"/>
          <w:marBottom w:val="0"/>
          <w:divBdr>
            <w:top w:val="none" w:sz="0" w:space="0" w:color="auto"/>
            <w:left w:val="none" w:sz="0" w:space="0" w:color="auto"/>
            <w:bottom w:val="none" w:sz="0" w:space="0" w:color="auto"/>
            <w:right w:val="none" w:sz="0" w:space="0" w:color="auto"/>
          </w:divBdr>
        </w:div>
        <w:div w:id="333264392">
          <w:marLeft w:val="0"/>
          <w:marRight w:val="0"/>
          <w:marTop w:val="0"/>
          <w:marBottom w:val="0"/>
          <w:divBdr>
            <w:top w:val="none" w:sz="0" w:space="0" w:color="auto"/>
            <w:left w:val="none" w:sz="0" w:space="0" w:color="auto"/>
            <w:bottom w:val="none" w:sz="0" w:space="0" w:color="auto"/>
            <w:right w:val="none" w:sz="0" w:space="0" w:color="auto"/>
          </w:divBdr>
        </w:div>
        <w:div w:id="385564493">
          <w:marLeft w:val="0"/>
          <w:marRight w:val="0"/>
          <w:marTop w:val="0"/>
          <w:marBottom w:val="0"/>
          <w:divBdr>
            <w:top w:val="none" w:sz="0" w:space="0" w:color="auto"/>
            <w:left w:val="none" w:sz="0" w:space="0" w:color="auto"/>
            <w:bottom w:val="none" w:sz="0" w:space="0" w:color="auto"/>
            <w:right w:val="none" w:sz="0" w:space="0" w:color="auto"/>
          </w:divBdr>
        </w:div>
        <w:div w:id="453908999">
          <w:marLeft w:val="0"/>
          <w:marRight w:val="0"/>
          <w:marTop w:val="0"/>
          <w:marBottom w:val="0"/>
          <w:divBdr>
            <w:top w:val="none" w:sz="0" w:space="0" w:color="auto"/>
            <w:left w:val="none" w:sz="0" w:space="0" w:color="auto"/>
            <w:bottom w:val="none" w:sz="0" w:space="0" w:color="auto"/>
            <w:right w:val="none" w:sz="0" w:space="0" w:color="auto"/>
          </w:divBdr>
        </w:div>
        <w:div w:id="510680382">
          <w:marLeft w:val="0"/>
          <w:marRight w:val="0"/>
          <w:marTop w:val="0"/>
          <w:marBottom w:val="0"/>
          <w:divBdr>
            <w:top w:val="none" w:sz="0" w:space="0" w:color="auto"/>
            <w:left w:val="none" w:sz="0" w:space="0" w:color="auto"/>
            <w:bottom w:val="none" w:sz="0" w:space="0" w:color="auto"/>
            <w:right w:val="none" w:sz="0" w:space="0" w:color="auto"/>
          </w:divBdr>
        </w:div>
        <w:div w:id="515775470">
          <w:marLeft w:val="0"/>
          <w:marRight w:val="0"/>
          <w:marTop w:val="0"/>
          <w:marBottom w:val="0"/>
          <w:divBdr>
            <w:top w:val="none" w:sz="0" w:space="0" w:color="auto"/>
            <w:left w:val="none" w:sz="0" w:space="0" w:color="auto"/>
            <w:bottom w:val="none" w:sz="0" w:space="0" w:color="auto"/>
            <w:right w:val="none" w:sz="0" w:space="0" w:color="auto"/>
          </w:divBdr>
        </w:div>
        <w:div w:id="516696635">
          <w:marLeft w:val="0"/>
          <w:marRight w:val="0"/>
          <w:marTop w:val="0"/>
          <w:marBottom w:val="0"/>
          <w:divBdr>
            <w:top w:val="none" w:sz="0" w:space="0" w:color="auto"/>
            <w:left w:val="none" w:sz="0" w:space="0" w:color="auto"/>
            <w:bottom w:val="none" w:sz="0" w:space="0" w:color="auto"/>
            <w:right w:val="none" w:sz="0" w:space="0" w:color="auto"/>
          </w:divBdr>
        </w:div>
        <w:div w:id="568924551">
          <w:marLeft w:val="0"/>
          <w:marRight w:val="0"/>
          <w:marTop w:val="0"/>
          <w:marBottom w:val="0"/>
          <w:divBdr>
            <w:top w:val="none" w:sz="0" w:space="0" w:color="auto"/>
            <w:left w:val="none" w:sz="0" w:space="0" w:color="auto"/>
            <w:bottom w:val="none" w:sz="0" w:space="0" w:color="auto"/>
            <w:right w:val="none" w:sz="0" w:space="0" w:color="auto"/>
          </w:divBdr>
        </w:div>
        <w:div w:id="784933878">
          <w:marLeft w:val="0"/>
          <w:marRight w:val="0"/>
          <w:marTop w:val="0"/>
          <w:marBottom w:val="0"/>
          <w:divBdr>
            <w:top w:val="none" w:sz="0" w:space="0" w:color="auto"/>
            <w:left w:val="none" w:sz="0" w:space="0" w:color="auto"/>
            <w:bottom w:val="none" w:sz="0" w:space="0" w:color="auto"/>
            <w:right w:val="none" w:sz="0" w:space="0" w:color="auto"/>
          </w:divBdr>
        </w:div>
        <w:div w:id="922955888">
          <w:marLeft w:val="0"/>
          <w:marRight w:val="0"/>
          <w:marTop w:val="0"/>
          <w:marBottom w:val="0"/>
          <w:divBdr>
            <w:top w:val="none" w:sz="0" w:space="0" w:color="auto"/>
            <w:left w:val="none" w:sz="0" w:space="0" w:color="auto"/>
            <w:bottom w:val="none" w:sz="0" w:space="0" w:color="auto"/>
            <w:right w:val="none" w:sz="0" w:space="0" w:color="auto"/>
          </w:divBdr>
        </w:div>
        <w:div w:id="1060522304">
          <w:marLeft w:val="0"/>
          <w:marRight w:val="0"/>
          <w:marTop w:val="0"/>
          <w:marBottom w:val="0"/>
          <w:divBdr>
            <w:top w:val="none" w:sz="0" w:space="0" w:color="auto"/>
            <w:left w:val="none" w:sz="0" w:space="0" w:color="auto"/>
            <w:bottom w:val="none" w:sz="0" w:space="0" w:color="auto"/>
            <w:right w:val="none" w:sz="0" w:space="0" w:color="auto"/>
          </w:divBdr>
        </w:div>
        <w:div w:id="1089539710">
          <w:marLeft w:val="0"/>
          <w:marRight w:val="0"/>
          <w:marTop w:val="0"/>
          <w:marBottom w:val="0"/>
          <w:divBdr>
            <w:top w:val="none" w:sz="0" w:space="0" w:color="auto"/>
            <w:left w:val="none" w:sz="0" w:space="0" w:color="auto"/>
            <w:bottom w:val="none" w:sz="0" w:space="0" w:color="auto"/>
            <w:right w:val="none" w:sz="0" w:space="0" w:color="auto"/>
          </w:divBdr>
        </w:div>
        <w:div w:id="1168515643">
          <w:marLeft w:val="0"/>
          <w:marRight w:val="0"/>
          <w:marTop w:val="0"/>
          <w:marBottom w:val="0"/>
          <w:divBdr>
            <w:top w:val="none" w:sz="0" w:space="0" w:color="auto"/>
            <w:left w:val="none" w:sz="0" w:space="0" w:color="auto"/>
            <w:bottom w:val="none" w:sz="0" w:space="0" w:color="auto"/>
            <w:right w:val="none" w:sz="0" w:space="0" w:color="auto"/>
          </w:divBdr>
        </w:div>
        <w:div w:id="1173029213">
          <w:marLeft w:val="0"/>
          <w:marRight w:val="0"/>
          <w:marTop w:val="0"/>
          <w:marBottom w:val="0"/>
          <w:divBdr>
            <w:top w:val="none" w:sz="0" w:space="0" w:color="auto"/>
            <w:left w:val="none" w:sz="0" w:space="0" w:color="auto"/>
            <w:bottom w:val="none" w:sz="0" w:space="0" w:color="auto"/>
            <w:right w:val="none" w:sz="0" w:space="0" w:color="auto"/>
          </w:divBdr>
        </w:div>
        <w:div w:id="1365250321">
          <w:marLeft w:val="0"/>
          <w:marRight w:val="0"/>
          <w:marTop w:val="0"/>
          <w:marBottom w:val="0"/>
          <w:divBdr>
            <w:top w:val="none" w:sz="0" w:space="0" w:color="auto"/>
            <w:left w:val="none" w:sz="0" w:space="0" w:color="auto"/>
            <w:bottom w:val="none" w:sz="0" w:space="0" w:color="auto"/>
            <w:right w:val="none" w:sz="0" w:space="0" w:color="auto"/>
          </w:divBdr>
        </w:div>
        <w:div w:id="1560940222">
          <w:marLeft w:val="0"/>
          <w:marRight w:val="0"/>
          <w:marTop w:val="0"/>
          <w:marBottom w:val="0"/>
          <w:divBdr>
            <w:top w:val="none" w:sz="0" w:space="0" w:color="auto"/>
            <w:left w:val="none" w:sz="0" w:space="0" w:color="auto"/>
            <w:bottom w:val="none" w:sz="0" w:space="0" w:color="auto"/>
            <w:right w:val="none" w:sz="0" w:space="0" w:color="auto"/>
          </w:divBdr>
        </w:div>
        <w:div w:id="1599367007">
          <w:marLeft w:val="0"/>
          <w:marRight w:val="0"/>
          <w:marTop w:val="0"/>
          <w:marBottom w:val="0"/>
          <w:divBdr>
            <w:top w:val="none" w:sz="0" w:space="0" w:color="auto"/>
            <w:left w:val="none" w:sz="0" w:space="0" w:color="auto"/>
            <w:bottom w:val="none" w:sz="0" w:space="0" w:color="auto"/>
            <w:right w:val="none" w:sz="0" w:space="0" w:color="auto"/>
          </w:divBdr>
        </w:div>
        <w:div w:id="1615404945">
          <w:marLeft w:val="0"/>
          <w:marRight w:val="0"/>
          <w:marTop w:val="0"/>
          <w:marBottom w:val="0"/>
          <w:divBdr>
            <w:top w:val="none" w:sz="0" w:space="0" w:color="auto"/>
            <w:left w:val="none" w:sz="0" w:space="0" w:color="auto"/>
            <w:bottom w:val="none" w:sz="0" w:space="0" w:color="auto"/>
            <w:right w:val="none" w:sz="0" w:space="0" w:color="auto"/>
          </w:divBdr>
        </w:div>
        <w:div w:id="1696538080">
          <w:marLeft w:val="0"/>
          <w:marRight w:val="0"/>
          <w:marTop w:val="0"/>
          <w:marBottom w:val="0"/>
          <w:divBdr>
            <w:top w:val="none" w:sz="0" w:space="0" w:color="auto"/>
            <w:left w:val="none" w:sz="0" w:space="0" w:color="auto"/>
            <w:bottom w:val="none" w:sz="0" w:space="0" w:color="auto"/>
            <w:right w:val="none" w:sz="0" w:space="0" w:color="auto"/>
          </w:divBdr>
        </w:div>
        <w:div w:id="1928346633">
          <w:marLeft w:val="0"/>
          <w:marRight w:val="0"/>
          <w:marTop w:val="0"/>
          <w:marBottom w:val="0"/>
          <w:divBdr>
            <w:top w:val="none" w:sz="0" w:space="0" w:color="auto"/>
            <w:left w:val="none" w:sz="0" w:space="0" w:color="auto"/>
            <w:bottom w:val="none" w:sz="0" w:space="0" w:color="auto"/>
            <w:right w:val="none" w:sz="0" w:space="0" w:color="auto"/>
          </w:divBdr>
        </w:div>
        <w:div w:id="1934318436">
          <w:marLeft w:val="0"/>
          <w:marRight w:val="0"/>
          <w:marTop w:val="0"/>
          <w:marBottom w:val="0"/>
          <w:divBdr>
            <w:top w:val="none" w:sz="0" w:space="0" w:color="auto"/>
            <w:left w:val="none" w:sz="0" w:space="0" w:color="auto"/>
            <w:bottom w:val="none" w:sz="0" w:space="0" w:color="auto"/>
            <w:right w:val="none" w:sz="0" w:space="0" w:color="auto"/>
          </w:divBdr>
        </w:div>
        <w:div w:id="2059744269">
          <w:marLeft w:val="0"/>
          <w:marRight w:val="0"/>
          <w:marTop w:val="0"/>
          <w:marBottom w:val="0"/>
          <w:divBdr>
            <w:top w:val="none" w:sz="0" w:space="0" w:color="auto"/>
            <w:left w:val="none" w:sz="0" w:space="0" w:color="auto"/>
            <w:bottom w:val="none" w:sz="0" w:space="0" w:color="auto"/>
            <w:right w:val="none" w:sz="0" w:space="0" w:color="auto"/>
          </w:divBdr>
        </w:div>
        <w:div w:id="2064326947">
          <w:marLeft w:val="0"/>
          <w:marRight w:val="0"/>
          <w:marTop w:val="0"/>
          <w:marBottom w:val="0"/>
          <w:divBdr>
            <w:top w:val="none" w:sz="0" w:space="0" w:color="auto"/>
            <w:left w:val="none" w:sz="0" w:space="0" w:color="auto"/>
            <w:bottom w:val="none" w:sz="0" w:space="0" w:color="auto"/>
            <w:right w:val="none" w:sz="0" w:space="0" w:color="auto"/>
          </w:divBdr>
        </w:div>
        <w:div w:id="2069841040">
          <w:marLeft w:val="0"/>
          <w:marRight w:val="0"/>
          <w:marTop w:val="0"/>
          <w:marBottom w:val="0"/>
          <w:divBdr>
            <w:top w:val="none" w:sz="0" w:space="0" w:color="auto"/>
            <w:left w:val="none" w:sz="0" w:space="0" w:color="auto"/>
            <w:bottom w:val="none" w:sz="0" w:space="0" w:color="auto"/>
            <w:right w:val="none" w:sz="0" w:space="0" w:color="auto"/>
          </w:divBdr>
        </w:div>
        <w:div w:id="2135173437">
          <w:marLeft w:val="0"/>
          <w:marRight w:val="0"/>
          <w:marTop w:val="0"/>
          <w:marBottom w:val="0"/>
          <w:divBdr>
            <w:top w:val="none" w:sz="0" w:space="0" w:color="auto"/>
            <w:left w:val="none" w:sz="0" w:space="0" w:color="auto"/>
            <w:bottom w:val="none" w:sz="0" w:space="0" w:color="auto"/>
            <w:right w:val="none" w:sz="0" w:space="0" w:color="auto"/>
          </w:divBdr>
        </w:div>
      </w:divsChild>
    </w:div>
    <w:div w:id="1250390556">
      <w:bodyDiv w:val="1"/>
      <w:marLeft w:val="0"/>
      <w:marRight w:val="0"/>
      <w:marTop w:val="0"/>
      <w:marBottom w:val="0"/>
      <w:divBdr>
        <w:top w:val="none" w:sz="0" w:space="0" w:color="auto"/>
        <w:left w:val="none" w:sz="0" w:space="0" w:color="auto"/>
        <w:bottom w:val="none" w:sz="0" w:space="0" w:color="auto"/>
        <w:right w:val="none" w:sz="0" w:space="0" w:color="auto"/>
      </w:divBdr>
    </w:div>
    <w:div w:id="1272131121">
      <w:bodyDiv w:val="1"/>
      <w:marLeft w:val="0"/>
      <w:marRight w:val="0"/>
      <w:marTop w:val="0"/>
      <w:marBottom w:val="0"/>
      <w:divBdr>
        <w:top w:val="none" w:sz="0" w:space="0" w:color="auto"/>
        <w:left w:val="none" w:sz="0" w:space="0" w:color="auto"/>
        <w:bottom w:val="none" w:sz="0" w:space="0" w:color="auto"/>
        <w:right w:val="none" w:sz="0" w:space="0" w:color="auto"/>
      </w:divBdr>
      <w:divsChild>
        <w:div w:id="1167280445">
          <w:marLeft w:val="274"/>
          <w:marRight w:val="0"/>
          <w:marTop w:val="0"/>
          <w:marBottom w:val="0"/>
          <w:divBdr>
            <w:top w:val="none" w:sz="0" w:space="0" w:color="auto"/>
            <w:left w:val="none" w:sz="0" w:space="0" w:color="auto"/>
            <w:bottom w:val="none" w:sz="0" w:space="0" w:color="auto"/>
            <w:right w:val="none" w:sz="0" w:space="0" w:color="auto"/>
          </w:divBdr>
        </w:div>
      </w:divsChild>
    </w:div>
    <w:div w:id="1296837279">
      <w:bodyDiv w:val="1"/>
      <w:marLeft w:val="0"/>
      <w:marRight w:val="0"/>
      <w:marTop w:val="0"/>
      <w:marBottom w:val="0"/>
      <w:divBdr>
        <w:top w:val="none" w:sz="0" w:space="0" w:color="auto"/>
        <w:left w:val="none" w:sz="0" w:space="0" w:color="auto"/>
        <w:bottom w:val="none" w:sz="0" w:space="0" w:color="auto"/>
        <w:right w:val="none" w:sz="0" w:space="0" w:color="auto"/>
      </w:divBdr>
    </w:div>
    <w:div w:id="1312833561">
      <w:bodyDiv w:val="1"/>
      <w:marLeft w:val="0"/>
      <w:marRight w:val="0"/>
      <w:marTop w:val="0"/>
      <w:marBottom w:val="0"/>
      <w:divBdr>
        <w:top w:val="none" w:sz="0" w:space="0" w:color="auto"/>
        <w:left w:val="none" w:sz="0" w:space="0" w:color="auto"/>
        <w:bottom w:val="none" w:sz="0" w:space="0" w:color="auto"/>
        <w:right w:val="none" w:sz="0" w:space="0" w:color="auto"/>
      </w:divBdr>
    </w:div>
    <w:div w:id="1318726314">
      <w:bodyDiv w:val="1"/>
      <w:marLeft w:val="0"/>
      <w:marRight w:val="0"/>
      <w:marTop w:val="0"/>
      <w:marBottom w:val="0"/>
      <w:divBdr>
        <w:top w:val="none" w:sz="0" w:space="0" w:color="auto"/>
        <w:left w:val="none" w:sz="0" w:space="0" w:color="auto"/>
        <w:bottom w:val="none" w:sz="0" w:space="0" w:color="auto"/>
        <w:right w:val="none" w:sz="0" w:space="0" w:color="auto"/>
      </w:divBdr>
    </w:div>
    <w:div w:id="1331979828">
      <w:bodyDiv w:val="1"/>
      <w:marLeft w:val="0"/>
      <w:marRight w:val="0"/>
      <w:marTop w:val="0"/>
      <w:marBottom w:val="0"/>
      <w:divBdr>
        <w:top w:val="none" w:sz="0" w:space="0" w:color="auto"/>
        <w:left w:val="none" w:sz="0" w:space="0" w:color="auto"/>
        <w:bottom w:val="none" w:sz="0" w:space="0" w:color="auto"/>
        <w:right w:val="none" w:sz="0" w:space="0" w:color="auto"/>
      </w:divBdr>
    </w:div>
    <w:div w:id="1336618018">
      <w:bodyDiv w:val="1"/>
      <w:marLeft w:val="0"/>
      <w:marRight w:val="0"/>
      <w:marTop w:val="0"/>
      <w:marBottom w:val="0"/>
      <w:divBdr>
        <w:top w:val="none" w:sz="0" w:space="0" w:color="auto"/>
        <w:left w:val="none" w:sz="0" w:space="0" w:color="auto"/>
        <w:bottom w:val="none" w:sz="0" w:space="0" w:color="auto"/>
        <w:right w:val="none" w:sz="0" w:space="0" w:color="auto"/>
      </w:divBdr>
      <w:divsChild>
        <w:div w:id="1940020712">
          <w:marLeft w:val="0"/>
          <w:marRight w:val="0"/>
          <w:marTop w:val="0"/>
          <w:marBottom w:val="336"/>
          <w:divBdr>
            <w:top w:val="none" w:sz="0" w:space="0" w:color="auto"/>
            <w:left w:val="none" w:sz="0" w:space="0" w:color="auto"/>
            <w:bottom w:val="none" w:sz="0" w:space="0" w:color="auto"/>
            <w:right w:val="none" w:sz="0" w:space="0" w:color="auto"/>
          </w:divBdr>
        </w:div>
      </w:divsChild>
    </w:div>
    <w:div w:id="1341350343">
      <w:bodyDiv w:val="1"/>
      <w:marLeft w:val="0"/>
      <w:marRight w:val="0"/>
      <w:marTop w:val="0"/>
      <w:marBottom w:val="0"/>
      <w:divBdr>
        <w:top w:val="none" w:sz="0" w:space="0" w:color="auto"/>
        <w:left w:val="none" w:sz="0" w:space="0" w:color="auto"/>
        <w:bottom w:val="none" w:sz="0" w:space="0" w:color="auto"/>
        <w:right w:val="none" w:sz="0" w:space="0" w:color="auto"/>
      </w:divBdr>
    </w:div>
    <w:div w:id="1368139311">
      <w:bodyDiv w:val="1"/>
      <w:marLeft w:val="0"/>
      <w:marRight w:val="0"/>
      <w:marTop w:val="0"/>
      <w:marBottom w:val="0"/>
      <w:divBdr>
        <w:top w:val="none" w:sz="0" w:space="0" w:color="auto"/>
        <w:left w:val="none" w:sz="0" w:space="0" w:color="auto"/>
        <w:bottom w:val="none" w:sz="0" w:space="0" w:color="auto"/>
        <w:right w:val="none" w:sz="0" w:space="0" w:color="auto"/>
      </w:divBdr>
    </w:div>
    <w:div w:id="1386681984">
      <w:bodyDiv w:val="1"/>
      <w:marLeft w:val="0"/>
      <w:marRight w:val="0"/>
      <w:marTop w:val="0"/>
      <w:marBottom w:val="0"/>
      <w:divBdr>
        <w:top w:val="none" w:sz="0" w:space="0" w:color="auto"/>
        <w:left w:val="none" w:sz="0" w:space="0" w:color="auto"/>
        <w:bottom w:val="none" w:sz="0" w:space="0" w:color="auto"/>
        <w:right w:val="none" w:sz="0" w:space="0" w:color="auto"/>
      </w:divBdr>
    </w:div>
    <w:div w:id="1410351841">
      <w:bodyDiv w:val="1"/>
      <w:marLeft w:val="0"/>
      <w:marRight w:val="0"/>
      <w:marTop w:val="0"/>
      <w:marBottom w:val="0"/>
      <w:divBdr>
        <w:top w:val="none" w:sz="0" w:space="0" w:color="auto"/>
        <w:left w:val="none" w:sz="0" w:space="0" w:color="auto"/>
        <w:bottom w:val="none" w:sz="0" w:space="0" w:color="auto"/>
        <w:right w:val="none" w:sz="0" w:space="0" w:color="auto"/>
      </w:divBdr>
    </w:div>
    <w:div w:id="1420521558">
      <w:bodyDiv w:val="1"/>
      <w:marLeft w:val="0"/>
      <w:marRight w:val="0"/>
      <w:marTop w:val="0"/>
      <w:marBottom w:val="0"/>
      <w:divBdr>
        <w:top w:val="none" w:sz="0" w:space="0" w:color="auto"/>
        <w:left w:val="none" w:sz="0" w:space="0" w:color="auto"/>
        <w:bottom w:val="none" w:sz="0" w:space="0" w:color="auto"/>
        <w:right w:val="none" w:sz="0" w:space="0" w:color="auto"/>
      </w:divBdr>
    </w:div>
    <w:div w:id="1423532470">
      <w:bodyDiv w:val="1"/>
      <w:marLeft w:val="0"/>
      <w:marRight w:val="0"/>
      <w:marTop w:val="0"/>
      <w:marBottom w:val="0"/>
      <w:divBdr>
        <w:top w:val="none" w:sz="0" w:space="0" w:color="auto"/>
        <w:left w:val="none" w:sz="0" w:space="0" w:color="auto"/>
        <w:bottom w:val="none" w:sz="0" w:space="0" w:color="auto"/>
        <w:right w:val="none" w:sz="0" w:space="0" w:color="auto"/>
      </w:divBdr>
    </w:div>
    <w:div w:id="1431701451">
      <w:bodyDiv w:val="1"/>
      <w:marLeft w:val="0"/>
      <w:marRight w:val="0"/>
      <w:marTop w:val="0"/>
      <w:marBottom w:val="0"/>
      <w:divBdr>
        <w:top w:val="none" w:sz="0" w:space="0" w:color="auto"/>
        <w:left w:val="none" w:sz="0" w:space="0" w:color="auto"/>
        <w:bottom w:val="none" w:sz="0" w:space="0" w:color="auto"/>
        <w:right w:val="none" w:sz="0" w:space="0" w:color="auto"/>
      </w:divBdr>
    </w:div>
    <w:div w:id="1447499525">
      <w:bodyDiv w:val="1"/>
      <w:marLeft w:val="0"/>
      <w:marRight w:val="0"/>
      <w:marTop w:val="0"/>
      <w:marBottom w:val="0"/>
      <w:divBdr>
        <w:top w:val="none" w:sz="0" w:space="0" w:color="auto"/>
        <w:left w:val="none" w:sz="0" w:space="0" w:color="auto"/>
        <w:bottom w:val="none" w:sz="0" w:space="0" w:color="auto"/>
        <w:right w:val="none" w:sz="0" w:space="0" w:color="auto"/>
      </w:divBdr>
    </w:div>
    <w:div w:id="1468671023">
      <w:bodyDiv w:val="1"/>
      <w:marLeft w:val="0"/>
      <w:marRight w:val="0"/>
      <w:marTop w:val="0"/>
      <w:marBottom w:val="0"/>
      <w:divBdr>
        <w:top w:val="none" w:sz="0" w:space="0" w:color="auto"/>
        <w:left w:val="none" w:sz="0" w:space="0" w:color="auto"/>
        <w:bottom w:val="none" w:sz="0" w:space="0" w:color="auto"/>
        <w:right w:val="none" w:sz="0" w:space="0" w:color="auto"/>
      </w:divBdr>
    </w:div>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1470830131">
      <w:bodyDiv w:val="1"/>
      <w:marLeft w:val="0"/>
      <w:marRight w:val="0"/>
      <w:marTop w:val="0"/>
      <w:marBottom w:val="0"/>
      <w:divBdr>
        <w:top w:val="none" w:sz="0" w:space="0" w:color="auto"/>
        <w:left w:val="none" w:sz="0" w:space="0" w:color="auto"/>
        <w:bottom w:val="none" w:sz="0" w:space="0" w:color="auto"/>
        <w:right w:val="none" w:sz="0" w:space="0" w:color="auto"/>
      </w:divBdr>
      <w:divsChild>
        <w:div w:id="800731332">
          <w:marLeft w:val="1267"/>
          <w:marRight w:val="0"/>
          <w:marTop w:val="100"/>
          <w:marBottom w:val="0"/>
          <w:divBdr>
            <w:top w:val="none" w:sz="0" w:space="0" w:color="auto"/>
            <w:left w:val="none" w:sz="0" w:space="0" w:color="auto"/>
            <w:bottom w:val="none" w:sz="0" w:space="0" w:color="auto"/>
            <w:right w:val="none" w:sz="0" w:space="0" w:color="auto"/>
          </w:divBdr>
        </w:div>
      </w:divsChild>
    </w:div>
    <w:div w:id="1488092803">
      <w:bodyDiv w:val="1"/>
      <w:marLeft w:val="0"/>
      <w:marRight w:val="0"/>
      <w:marTop w:val="0"/>
      <w:marBottom w:val="0"/>
      <w:divBdr>
        <w:top w:val="none" w:sz="0" w:space="0" w:color="auto"/>
        <w:left w:val="none" w:sz="0" w:space="0" w:color="auto"/>
        <w:bottom w:val="none" w:sz="0" w:space="0" w:color="auto"/>
        <w:right w:val="none" w:sz="0" w:space="0" w:color="auto"/>
      </w:divBdr>
    </w:div>
    <w:div w:id="1491487164">
      <w:bodyDiv w:val="1"/>
      <w:marLeft w:val="0"/>
      <w:marRight w:val="0"/>
      <w:marTop w:val="0"/>
      <w:marBottom w:val="0"/>
      <w:divBdr>
        <w:top w:val="none" w:sz="0" w:space="0" w:color="auto"/>
        <w:left w:val="none" w:sz="0" w:space="0" w:color="auto"/>
        <w:bottom w:val="none" w:sz="0" w:space="0" w:color="auto"/>
        <w:right w:val="none" w:sz="0" w:space="0" w:color="auto"/>
      </w:divBdr>
    </w:div>
    <w:div w:id="1494755621">
      <w:bodyDiv w:val="1"/>
      <w:marLeft w:val="0"/>
      <w:marRight w:val="0"/>
      <w:marTop w:val="0"/>
      <w:marBottom w:val="0"/>
      <w:divBdr>
        <w:top w:val="none" w:sz="0" w:space="0" w:color="auto"/>
        <w:left w:val="none" w:sz="0" w:space="0" w:color="auto"/>
        <w:bottom w:val="none" w:sz="0" w:space="0" w:color="auto"/>
        <w:right w:val="none" w:sz="0" w:space="0" w:color="auto"/>
      </w:divBdr>
    </w:div>
    <w:div w:id="1500534685">
      <w:bodyDiv w:val="1"/>
      <w:marLeft w:val="0"/>
      <w:marRight w:val="0"/>
      <w:marTop w:val="0"/>
      <w:marBottom w:val="0"/>
      <w:divBdr>
        <w:top w:val="none" w:sz="0" w:space="0" w:color="auto"/>
        <w:left w:val="none" w:sz="0" w:space="0" w:color="auto"/>
        <w:bottom w:val="none" w:sz="0" w:space="0" w:color="auto"/>
        <w:right w:val="none" w:sz="0" w:space="0" w:color="auto"/>
      </w:divBdr>
    </w:div>
    <w:div w:id="1509640414">
      <w:bodyDiv w:val="1"/>
      <w:marLeft w:val="0"/>
      <w:marRight w:val="0"/>
      <w:marTop w:val="0"/>
      <w:marBottom w:val="0"/>
      <w:divBdr>
        <w:top w:val="none" w:sz="0" w:space="0" w:color="auto"/>
        <w:left w:val="none" w:sz="0" w:space="0" w:color="auto"/>
        <w:bottom w:val="none" w:sz="0" w:space="0" w:color="auto"/>
        <w:right w:val="none" w:sz="0" w:space="0" w:color="auto"/>
      </w:divBdr>
    </w:div>
    <w:div w:id="1525752635">
      <w:bodyDiv w:val="1"/>
      <w:marLeft w:val="0"/>
      <w:marRight w:val="0"/>
      <w:marTop w:val="0"/>
      <w:marBottom w:val="0"/>
      <w:divBdr>
        <w:top w:val="none" w:sz="0" w:space="0" w:color="auto"/>
        <w:left w:val="none" w:sz="0" w:space="0" w:color="auto"/>
        <w:bottom w:val="none" w:sz="0" w:space="0" w:color="auto"/>
        <w:right w:val="none" w:sz="0" w:space="0" w:color="auto"/>
      </w:divBdr>
    </w:div>
    <w:div w:id="1529290717">
      <w:bodyDiv w:val="1"/>
      <w:marLeft w:val="0"/>
      <w:marRight w:val="0"/>
      <w:marTop w:val="0"/>
      <w:marBottom w:val="0"/>
      <w:divBdr>
        <w:top w:val="none" w:sz="0" w:space="0" w:color="auto"/>
        <w:left w:val="none" w:sz="0" w:space="0" w:color="auto"/>
        <w:bottom w:val="none" w:sz="0" w:space="0" w:color="auto"/>
        <w:right w:val="none" w:sz="0" w:space="0" w:color="auto"/>
      </w:divBdr>
    </w:div>
    <w:div w:id="1539858469">
      <w:bodyDiv w:val="1"/>
      <w:marLeft w:val="0"/>
      <w:marRight w:val="0"/>
      <w:marTop w:val="0"/>
      <w:marBottom w:val="0"/>
      <w:divBdr>
        <w:top w:val="none" w:sz="0" w:space="0" w:color="auto"/>
        <w:left w:val="none" w:sz="0" w:space="0" w:color="auto"/>
        <w:bottom w:val="none" w:sz="0" w:space="0" w:color="auto"/>
        <w:right w:val="none" w:sz="0" w:space="0" w:color="auto"/>
      </w:divBdr>
      <w:divsChild>
        <w:div w:id="30687045">
          <w:marLeft w:val="0"/>
          <w:marRight w:val="0"/>
          <w:marTop w:val="0"/>
          <w:marBottom w:val="336"/>
          <w:divBdr>
            <w:top w:val="none" w:sz="0" w:space="0" w:color="auto"/>
            <w:left w:val="none" w:sz="0" w:space="0" w:color="auto"/>
            <w:bottom w:val="none" w:sz="0" w:space="0" w:color="auto"/>
            <w:right w:val="none" w:sz="0" w:space="0" w:color="auto"/>
          </w:divBdr>
        </w:div>
        <w:div w:id="611861632">
          <w:marLeft w:val="0"/>
          <w:marRight w:val="0"/>
          <w:marTop w:val="0"/>
          <w:marBottom w:val="336"/>
          <w:divBdr>
            <w:top w:val="none" w:sz="0" w:space="0" w:color="auto"/>
            <w:left w:val="none" w:sz="0" w:space="0" w:color="auto"/>
            <w:bottom w:val="none" w:sz="0" w:space="0" w:color="auto"/>
            <w:right w:val="none" w:sz="0" w:space="0" w:color="auto"/>
          </w:divBdr>
        </w:div>
      </w:divsChild>
    </w:div>
    <w:div w:id="1554540621">
      <w:bodyDiv w:val="1"/>
      <w:marLeft w:val="0"/>
      <w:marRight w:val="0"/>
      <w:marTop w:val="0"/>
      <w:marBottom w:val="0"/>
      <w:divBdr>
        <w:top w:val="none" w:sz="0" w:space="0" w:color="auto"/>
        <w:left w:val="none" w:sz="0" w:space="0" w:color="auto"/>
        <w:bottom w:val="none" w:sz="0" w:space="0" w:color="auto"/>
        <w:right w:val="none" w:sz="0" w:space="0" w:color="auto"/>
      </w:divBdr>
    </w:div>
    <w:div w:id="1560942948">
      <w:bodyDiv w:val="1"/>
      <w:marLeft w:val="0"/>
      <w:marRight w:val="0"/>
      <w:marTop w:val="0"/>
      <w:marBottom w:val="0"/>
      <w:divBdr>
        <w:top w:val="none" w:sz="0" w:space="0" w:color="auto"/>
        <w:left w:val="none" w:sz="0" w:space="0" w:color="auto"/>
        <w:bottom w:val="none" w:sz="0" w:space="0" w:color="auto"/>
        <w:right w:val="none" w:sz="0" w:space="0" w:color="auto"/>
      </w:divBdr>
    </w:div>
    <w:div w:id="1587304089">
      <w:bodyDiv w:val="1"/>
      <w:marLeft w:val="0"/>
      <w:marRight w:val="0"/>
      <w:marTop w:val="0"/>
      <w:marBottom w:val="0"/>
      <w:divBdr>
        <w:top w:val="none" w:sz="0" w:space="0" w:color="auto"/>
        <w:left w:val="none" w:sz="0" w:space="0" w:color="auto"/>
        <w:bottom w:val="none" w:sz="0" w:space="0" w:color="auto"/>
        <w:right w:val="none" w:sz="0" w:space="0" w:color="auto"/>
      </w:divBdr>
    </w:div>
    <w:div w:id="1598977942">
      <w:bodyDiv w:val="1"/>
      <w:marLeft w:val="0"/>
      <w:marRight w:val="0"/>
      <w:marTop w:val="0"/>
      <w:marBottom w:val="0"/>
      <w:divBdr>
        <w:top w:val="none" w:sz="0" w:space="0" w:color="auto"/>
        <w:left w:val="none" w:sz="0" w:space="0" w:color="auto"/>
        <w:bottom w:val="none" w:sz="0" w:space="0" w:color="auto"/>
        <w:right w:val="none" w:sz="0" w:space="0" w:color="auto"/>
      </w:divBdr>
    </w:div>
    <w:div w:id="1605456691">
      <w:bodyDiv w:val="1"/>
      <w:marLeft w:val="0"/>
      <w:marRight w:val="0"/>
      <w:marTop w:val="0"/>
      <w:marBottom w:val="0"/>
      <w:divBdr>
        <w:top w:val="none" w:sz="0" w:space="0" w:color="auto"/>
        <w:left w:val="none" w:sz="0" w:space="0" w:color="auto"/>
        <w:bottom w:val="none" w:sz="0" w:space="0" w:color="auto"/>
        <w:right w:val="none" w:sz="0" w:space="0" w:color="auto"/>
      </w:divBdr>
      <w:divsChild>
        <w:div w:id="72317161">
          <w:marLeft w:val="0"/>
          <w:marRight w:val="0"/>
          <w:marTop w:val="0"/>
          <w:marBottom w:val="0"/>
          <w:divBdr>
            <w:top w:val="none" w:sz="0" w:space="0" w:color="auto"/>
            <w:left w:val="none" w:sz="0" w:space="0" w:color="auto"/>
            <w:bottom w:val="none" w:sz="0" w:space="0" w:color="auto"/>
            <w:right w:val="none" w:sz="0" w:space="0" w:color="auto"/>
          </w:divBdr>
        </w:div>
        <w:div w:id="132212144">
          <w:marLeft w:val="0"/>
          <w:marRight w:val="0"/>
          <w:marTop w:val="0"/>
          <w:marBottom w:val="0"/>
          <w:divBdr>
            <w:top w:val="none" w:sz="0" w:space="0" w:color="auto"/>
            <w:left w:val="none" w:sz="0" w:space="0" w:color="auto"/>
            <w:bottom w:val="none" w:sz="0" w:space="0" w:color="auto"/>
            <w:right w:val="none" w:sz="0" w:space="0" w:color="auto"/>
          </w:divBdr>
        </w:div>
        <w:div w:id="360207784">
          <w:marLeft w:val="0"/>
          <w:marRight w:val="0"/>
          <w:marTop w:val="0"/>
          <w:marBottom w:val="0"/>
          <w:divBdr>
            <w:top w:val="none" w:sz="0" w:space="0" w:color="auto"/>
            <w:left w:val="none" w:sz="0" w:space="0" w:color="auto"/>
            <w:bottom w:val="none" w:sz="0" w:space="0" w:color="auto"/>
            <w:right w:val="none" w:sz="0" w:space="0" w:color="auto"/>
          </w:divBdr>
        </w:div>
        <w:div w:id="383724481">
          <w:marLeft w:val="0"/>
          <w:marRight w:val="0"/>
          <w:marTop w:val="0"/>
          <w:marBottom w:val="0"/>
          <w:divBdr>
            <w:top w:val="none" w:sz="0" w:space="0" w:color="auto"/>
            <w:left w:val="none" w:sz="0" w:space="0" w:color="auto"/>
            <w:bottom w:val="none" w:sz="0" w:space="0" w:color="auto"/>
            <w:right w:val="none" w:sz="0" w:space="0" w:color="auto"/>
          </w:divBdr>
        </w:div>
        <w:div w:id="413939971">
          <w:marLeft w:val="0"/>
          <w:marRight w:val="0"/>
          <w:marTop w:val="0"/>
          <w:marBottom w:val="0"/>
          <w:divBdr>
            <w:top w:val="none" w:sz="0" w:space="0" w:color="auto"/>
            <w:left w:val="none" w:sz="0" w:space="0" w:color="auto"/>
            <w:bottom w:val="none" w:sz="0" w:space="0" w:color="auto"/>
            <w:right w:val="none" w:sz="0" w:space="0" w:color="auto"/>
          </w:divBdr>
        </w:div>
        <w:div w:id="512300636">
          <w:marLeft w:val="0"/>
          <w:marRight w:val="0"/>
          <w:marTop w:val="0"/>
          <w:marBottom w:val="0"/>
          <w:divBdr>
            <w:top w:val="none" w:sz="0" w:space="0" w:color="auto"/>
            <w:left w:val="none" w:sz="0" w:space="0" w:color="auto"/>
            <w:bottom w:val="none" w:sz="0" w:space="0" w:color="auto"/>
            <w:right w:val="none" w:sz="0" w:space="0" w:color="auto"/>
          </w:divBdr>
        </w:div>
        <w:div w:id="514921964">
          <w:marLeft w:val="0"/>
          <w:marRight w:val="0"/>
          <w:marTop w:val="0"/>
          <w:marBottom w:val="0"/>
          <w:divBdr>
            <w:top w:val="none" w:sz="0" w:space="0" w:color="auto"/>
            <w:left w:val="none" w:sz="0" w:space="0" w:color="auto"/>
            <w:bottom w:val="none" w:sz="0" w:space="0" w:color="auto"/>
            <w:right w:val="none" w:sz="0" w:space="0" w:color="auto"/>
          </w:divBdr>
        </w:div>
        <w:div w:id="521751425">
          <w:marLeft w:val="0"/>
          <w:marRight w:val="0"/>
          <w:marTop w:val="0"/>
          <w:marBottom w:val="0"/>
          <w:divBdr>
            <w:top w:val="none" w:sz="0" w:space="0" w:color="auto"/>
            <w:left w:val="none" w:sz="0" w:space="0" w:color="auto"/>
            <w:bottom w:val="none" w:sz="0" w:space="0" w:color="auto"/>
            <w:right w:val="none" w:sz="0" w:space="0" w:color="auto"/>
          </w:divBdr>
        </w:div>
        <w:div w:id="548035585">
          <w:marLeft w:val="0"/>
          <w:marRight w:val="0"/>
          <w:marTop w:val="0"/>
          <w:marBottom w:val="0"/>
          <w:divBdr>
            <w:top w:val="none" w:sz="0" w:space="0" w:color="auto"/>
            <w:left w:val="none" w:sz="0" w:space="0" w:color="auto"/>
            <w:bottom w:val="none" w:sz="0" w:space="0" w:color="auto"/>
            <w:right w:val="none" w:sz="0" w:space="0" w:color="auto"/>
          </w:divBdr>
        </w:div>
        <w:div w:id="580454755">
          <w:marLeft w:val="0"/>
          <w:marRight w:val="0"/>
          <w:marTop w:val="0"/>
          <w:marBottom w:val="0"/>
          <w:divBdr>
            <w:top w:val="none" w:sz="0" w:space="0" w:color="auto"/>
            <w:left w:val="none" w:sz="0" w:space="0" w:color="auto"/>
            <w:bottom w:val="none" w:sz="0" w:space="0" w:color="auto"/>
            <w:right w:val="none" w:sz="0" w:space="0" w:color="auto"/>
          </w:divBdr>
        </w:div>
        <w:div w:id="581530610">
          <w:marLeft w:val="0"/>
          <w:marRight w:val="0"/>
          <w:marTop w:val="0"/>
          <w:marBottom w:val="0"/>
          <w:divBdr>
            <w:top w:val="none" w:sz="0" w:space="0" w:color="auto"/>
            <w:left w:val="none" w:sz="0" w:space="0" w:color="auto"/>
            <w:bottom w:val="none" w:sz="0" w:space="0" w:color="auto"/>
            <w:right w:val="none" w:sz="0" w:space="0" w:color="auto"/>
          </w:divBdr>
        </w:div>
        <w:div w:id="712077440">
          <w:marLeft w:val="0"/>
          <w:marRight w:val="0"/>
          <w:marTop w:val="0"/>
          <w:marBottom w:val="0"/>
          <w:divBdr>
            <w:top w:val="none" w:sz="0" w:space="0" w:color="auto"/>
            <w:left w:val="none" w:sz="0" w:space="0" w:color="auto"/>
            <w:bottom w:val="none" w:sz="0" w:space="0" w:color="auto"/>
            <w:right w:val="none" w:sz="0" w:space="0" w:color="auto"/>
          </w:divBdr>
        </w:div>
        <w:div w:id="728964207">
          <w:marLeft w:val="0"/>
          <w:marRight w:val="0"/>
          <w:marTop w:val="0"/>
          <w:marBottom w:val="0"/>
          <w:divBdr>
            <w:top w:val="none" w:sz="0" w:space="0" w:color="auto"/>
            <w:left w:val="none" w:sz="0" w:space="0" w:color="auto"/>
            <w:bottom w:val="none" w:sz="0" w:space="0" w:color="auto"/>
            <w:right w:val="none" w:sz="0" w:space="0" w:color="auto"/>
          </w:divBdr>
        </w:div>
        <w:div w:id="741833020">
          <w:marLeft w:val="0"/>
          <w:marRight w:val="0"/>
          <w:marTop w:val="0"/>
          <w:marBottom w:val="0"/>
          <w:divBdr>
            <w:top w:val="none" w:sz="0" w:space="0" w:color="auto"/>
            <w:left w:val="none" w:sz="0" w:space="0" w:color="auto"/>
            <w:bottom w:val="none" w:sz="0" w:space="0" w:color="auto"/>
            <w:right w:val="none" w:sz="0" w:space="0" w:color="auto"/>
          </w:divBdr>
        </w:div>
        <w:div w:id="915431578">
          <w:marLeft w:val="0"/>
          <w:marRight w:val="0"/>
          <w:marTop w:val="0"/>
          <w:marBottom w:val="0"/>
          <w:divBdr>
            <w:top w:val="none" w:sz="0" w:space="0" w:color="auto"/>
            <w:left w:val="none" w:sz="0" w:space="0" w:color="auto"/>
            <w:bottom w:val="none" w:sz="0" w:space="0" w:color="auto"/>
            <w:right w:val="none" w:sz="0" w:space="0" w:color="auto"/>
          </w:divBdr>
        </w:div>
        <w:div w:id="939751587">
          <w:marLeft w:val="0"/>
          <w:marRight w:val="0"/>
          <w:marTop w:val="0"/>
          <w:marBottom w:val="0"/>
          <w:divBdr>
            <w:top w:val="none" w:sz="0" w:space="0" w:color="auto"/>
            <w:left w:val="none" w:sz="0" w:space="0" w:color="auto"/>
            <w:bottom w:val="none" w:sz="0" w:space="0" w:color="auto"/>
            <w:right w:val="none" w:sz="0" w:space="0" w:color="auto"/>
          </w:divBdr>
        </w:div>
        <w:div w:id="960301472">
          <w:marLeft w:val="0"/>
          <w:marRight w:val="0"/>
          <w:marTop w:val="0"/>
          <w:marBottom w:val="0"/>
          <w:divBdr>
            <w:top w:val="none" w:sz="0" w:space="0" w:color="auto"/>
            <w:left w:val="none" w:sz="0" w:space="0" w:color="auto"/>
            <w:bottom w:val="none" w:sz="0" w:space="0" w:color="auto"/>
            <w:right w:val="none" w:sz="0" w:space="0" w:color="auto"/>
          </w:divBdr>
        </w:div>
        <w:div w:id="963845680">
          <w:marLeft w:val="0"/>
          <w:marRight w:val="0"/>
          <w:marTop w:val="0"/>
          <w:marBottom w:val="0"/>
          <w:divBdr>
            <w:top w:val="none" w:sz="0" w:space="0" w:color="auto"/>
            <w:left w:val="none" w:sz="0" w:space="0" w:color="auto"/>
            <w:bottom w:val="none" w:sz="0" w:space="0" w:color="auto"/>
            <w:right w:val="none" w:sz="0" w:space="0" w:color="auto"/>
          </w:divBdr>
        </w:div>
        <w:div w:id="978191452">
          <w:marLeft w:val="0"/>
          <w:marRight w:val="0"/>
          <w:marTop w:val="0"/>
          <w:marBottom w:val="0"/>
          <w:divBdr>
            <w:top w:val="none" w:sz="0" w:space="0" w:color="auto"/>
            <w:left w:val="none" w:sz="0" w:space="0" w:color="auto"/>
            <w:bottom w:val="none" w:sz="0" w:space="0" w:color="auto"/>
            <w:right w:val="none" w:sz="0" w:space="0" w:color="auto"/>
          </w:divBdr>
        </w:div>
        <w:div w:id="1087074259">
          <w:marLeft w:val="0"/>
          <w:marRight w:val="0"/>
          <w:marTop w:val="0"/>
          <w:marBottom w:val="0"/>
          <w:divBdr>
            <w:top w:val="none" w:sz="0" w:space="0" w:color="auto"/>
            <w:left w:val="none" w:sz="0" w:space="0" w:color="auto"/>
            <w:bottom w:val="none" w:sz="0" w:space="0" w:color="auto"/>
            <w:right w:val="none" w:sz="0" w:space="0" w:color="auto"/>
          </w:divBdr>
        </w:div>
        <w:div w:id="1120879961">
          <w:marLeft w:val="0"/>
          <w:marRight w:val="0"/>
          <w:marTop w:val="0"/>
          <w:marBottom w:val="0"/>
          <w:divBdr>
            <w:top w:val="none" w:sz="0" w:space="0" w:color="auto"/>
            <w:left w:val="none" w:sz="0" w:space="0" w:color="auto"/>
            <w:bottom w:val="none" w:sz="0" w:space="0" w:color="auto"/>
            <w:right w:val="none" w:sz="0" w:space="0" w:color="auto"/>
          </w:divBdr>
        </w:div>
        <w:div w:id="1175850486">
          <w:marLeft w:val="0"/>
          <w:marRight w:val="0"/>
          <w:marTop w:val="0"/>
          <w:marBottom w:val="0"/>
          <w:divBdr>
            <w:top w:val="none" w:sz="0" w:space="0" w:color="auto"/>
            <w:left w:val="none" w:sz="0" w:space="0" w:color="auto"/>
            <w:bottom w:val="none" w:sz="0" w:space="0" w:color="auto"/>
            <w:right w:val="none" w:sz="0" w:space="0" w:color="auto"/>
          </w:divBdr>
        </w:div>
        <w:div w:id="1196842690">
          <w:marLeft w:val="0"/>
          <w:marRight w:val="0"/>
          <w:marTop w:val="0"/>
          <w:marBottom w:val="0"/>
          <w:divBdr>
            <w:top w:val="none" w:sz="0" w:space="0" w:color="auto"/>
            <w:left w:val="none" w:sz="0" w:space="0" w:color="auto"/>
            <w:bottom w:val="none" w:sz="0" w:space="0" w:color="auto"/>
            <w:right w:val="none" w:sz="0" w:space="0" w:color="auto"/>
          </w:divBdr>
        </w:div>
        <w:div w:id="1208296292">
          <w:marLeft w:val="0"/>
          <w:marRight w:val="0"/>
          <w:marTop w:val="0"/>
          <w:marBottom w:val="0"/>
          <w:divBdr>
            <w:top w:val="none" w:sz="0" w:space="0" w:color="auto"/>
            <w:left w:val="none" w:sz="0" w:space="0" w:color="auto"/>
            <w:bottom w:val="none" w:sz="0" w:space="0" w:color="auto"/>
            <w:right w:val="none" w:sz="0" w:space="0" w:color="auto"/>
          </w:divBdr>
        </w:div>
        <w:div w:id="1326860162">
          <w:marLeft w:val="0"/>
          <w:marRight w:val="0"/>
          <w:marTop w:val="0"/>
          <w:marBottom w:val="0"/>
          <w:divBdr>
            <w:top w:val="none" w:sz="0" w:space="0" w:color="auto"/>
            <w:left w:val="none" w:sz="0" w:space="0" w:color="auto"/>
            <w:bottom w:val="none" w:sz="0" w:space="0" w:color="auto"/>
            <w:right w:val="none" w:sz="0" w:space="0" w:color="auto"/>
          </w:divBdr>
        </w:div>
        <w:div w:id="1373729484">
          <w:marLeft w:val="0"/>
          <w:marRight w:val="0"/>
          <w:marTop w:val="0"/>
          <w:marBottom w:val="0"/>
          <w:divBdr>
            <w:top w:val="none" w:sz="0" w:space="0" w:color="auto"/>
            <w:left w:val="none" w:sz="0" w:space="0" w:color="auto"/>
            <w:bottom w:val="none" w:sz="0" w:space="0" w:color="auto"/>
            <w:right w:val="none" w:sz="0" w:space="0" w:color="auto"/>
          </w:divBdr>
        </w:div>
        <w:div w:id="1576015818">
          <w:marLeft w:val="0"/>
          <w:marRight w:val="0"/>
          <w:marTop w:val="0"/>
          <w:marBottom w:val="0"/>
          <w:divBdr>
            <w:top w:val="none" w:sz="0" w:space="0" w:color="auto"/>
            <w:left w:val="none" w:sz="0" w:space="0" w:color="auto"/>
            <w:bottom w:val="none" w:sz="0" w:space="0" w:color="auto"/>
            <w:right w:val="none" w:sz="0" w:space="0" w:color="auto"/>
          </w:divBdr>
        </w:div>
        <w:div w:id="1829663354">
          <w:marLeft w:val="0"/>
          <w:marRight w:val="0"/>
          <w:marTop w:val="0"/>
          <w:marBottom w:val="0"/>
          <w:divBdr>
            <w:top w:val="none" w:sz="0" w:space="0" w:color="auto"/>
            <w:left w:val="none" w:sz="0" w:space="0" w:color="auto"/>
            <w:bottom w:val="none" w:sz="0" w:space="0" w:color="auto"/>
            <w:right w:val="none" w:sz="0" w:space="0" w:color="auto"/>
          </w:divBdr>
        </w:div>
        <w:div w:id="1869831363">
          <w:marLeft w:val="0"/>
          <w:marRight w:val="0"/>
          <w:marTop w:val="0"/>
          <w:marBottom w:val="0"/>
          <w:divBdr>
            <w:top w:val="none" w:sz="0" w:space="0" w:color="auto"/>
            <w:left w:val="none" w:sz="0" w:space="0" w:color="auto"/>
            <w:bottom w:val="none" w:sz="0" w:space="0" w:color="auto"/>
            <w:right w:val="none" w:sz="0" w:space="0" w:color="auto"/>
          </w:divBdr>
        </w:div>
      </w:divsChild>
    </w:div>
    <w:div w:id="1615676103">
      <w:bodyDiv w:val="1"/>
      <w:marLeft w:val="0"/>
      <w:marRight w:val="0"/>
      <w:marTop w:val="0"/>
      <w:marBottom w:val="0"/>
      <w:divBdr>
        <w:top w:val="none" w:sz="0" w:space="0" w:color="auto"/>
        <w:left w:val="none" w:sz="0" w:space="0" w:color="auto"/>
        <w:bottom w:val="none" w:sz="0" w:space="0" w:color="auto"/>
        <w:right w:val="none" w:sz="0" w:space="0" w:color="auto"/>
      </w:divBdr>
    </w:div>
    <w:div w:id="1635713800">
      <w:bodyDiv w:val="1"/>
      <w:marLeft w:val="0"/>
      <w:marRight w:val="0"/>
      <w:marTop w:val="0"/>
      <w:marBottom w:val="0"/>
      <w:divBdr>
        <w:top w:val="none" w:sz="0" w:space="0" w:color="auto"/>
        <w:left w:val="none" w:sz="0" w:space="0" w:color="auto"/>
        <w:bottom w:val="none" w:sz="0" w:space="0" w:color="auto"/>
        <w:right w:val="none" w:sz="0" w:space="0" w:color="auto"/>
      </w:divBdr>
    </w:div>
    <w:div w:id="1656566351">
      <w:bodyDiv w:val="1"/>
      <w:marLeft w:val="0"/>
      <w:marRight w:val="0"/>
      <w:marTop w:val="0"/>
      <w:marBottom w:val="0"/>
      <w:divBdr>
        <w:top w:val="none" w:sz="0" w:space="0" w:color="auto"/>
        <w:left w:val="none" w:sz="0" w:space="0" w:color="auto"/>
        <w:bottom w:val="none" w:sz="0" w:space="0" w:color="auto"/>
        <w:right w:val="none" w:sz="0" w:space="0" w:color="auto"/>
      </w:divBdr>
    </w:div>
    <w:div w:id="1670909295">
      <w:bodyDiv w:val="1"/>
      <w:marLeft w:val="0"/>
      <w:marRight w:val="0"/>
      <w:marTop w:val="0"/>
      <w:marBottom w:val="0"/>
      <w:divBdr>
        <w:top w:val="none" w:sz="0" w:space="0" w:color="auto"/>
        <w:left w:val="none" w:sz="0" w:space="0" w:color="auto"/>
        <w:bottom w:val="none" w:sz="0" w:space="0" w:color="auto"/>
        <w:right w:val="none" w:sz="0" w:space="0" w:color="auto"/>
      </w:divBdr>
    </w:div>
    <w:div w:id="1696534749">
      <w:bodyDiv w:val="1"/>
      <w:marLeft w:val="0"/>
      <w:marRight w:val="0"/>
      <w:marTop w:val="0"/>
      <w:marBottom w:val="0"/>
      <w:divBdr>
        <w:top w:val="none" w:sz="0" w:space="0" w:color="auto"/>
        <w:left w:val="none" w:sz="0" w:space="0" w:color="auto"/>
        <w:bottom w:val="none" w:sz="0" w:space="0" w:color="auto"/>
        <w:right w:val="none" w:sz="0" w:space="0" w:color="auto"/>
      </w:divBdr>
    </w:div>
    <w:div w:id="1697383793">
      <w:bodyDiv w:val="1"/>
      <w:marLeft w:val="0"/>
      <w:marRight w:val="0"/>
      <w:marTop w:val="0"/>
      <w:marBottom w:val="0"/>
      <w:divBdr>
        <w:top w:val="none" w:sz="0" w:space="0" w:color="auto"/>
        <w:left w:val="none" w:sz="0" w:space="0" w:color="auto"/>
        <w:bottom w:val="none" w:sz="0" w:space="0" w:color="auto"/>
        <w:right w:val="none" w:sz="0" w:space="0" w:color="auto"/>
      </w:divBdr>
      <w:divsChild>
        <w:div w:id="1819111124">
          <w:marLeft w:val="0"/>
          <w:marRight w:val="0"/>
          <w:marTop w:val="0"/>
          <w:marBottom w:val="336"/>
          <w:divBdr>
            <w:top w:val="none" w:sz="0" w:space="0" w:color="auto"/>
            <w:left w:val="none" w:sz="0" w:space="0" w:color="auto"/>
            <w:bottom w:val="none" w:sz="0" w:space="0" w:color="auto"/>
            <w:right w:val="none" w:sz="0" w:space="0" w:color="auto"/>
          </w:divBdr>
        </w:div>
        <w:div w:id="1897625618">
          <w:marLeft w:val="0"/>
          <w:marRight w:val="0"/>
          <w:marTop w:val="0"/>
          <w:marBottom w:val="336"/>
          <w:divBdr>
            <w:top w:val="none" w:sz="0" w:space="0" w:color="auto"/>
            <w:left w:val="none" w:sz="0" w:space="0" w:color="auto"/>
            <w:bottom w:val="none" w:sz="0" w:space="0" w:color="auto"/>
            <w:right w:val="none" w:sz="0" w:space="0" w:color="auto"/>
          </w:divBdr>
        </w:div>
      </w:divsChild>
    </w:div>
    <w:div w:id="1697462367">
      <w:bodyDiv w:val="1"/>
      <w:marLeft w:val="0"/>
      <w:marRight w:val="0"/>
      <w:marTop w:val="0"/>
      <w:marBottom w:val="0"/>
      <w:divBdr>
        <w:top w:val="none" w:sz="0" w:space="0" w:color="auto"/>
        <w:left w:val="none" w:sz="0" w:space="0" w:color="auto"/>
        <w:bottom w:val="none" w:sz="0" w:space="0" w:color="auto"/>
        <w:right w:val="none" w:sz="0" w:space="0" w:color="auto"/>
      </w:divBdr>
    </w:div>
    <w:div w:id="1722439089">
      <w:bodyDiv w:val="1"/>
      <w:marLeft w:val="0"/>
      <w:marRight w:val="0"/>
      <w:marTop w:val="0"/>
      <w:marBottom w:val="0"/>
      <w:divBdr>
        <w:top w:val="none" w:sz="0" w:space="0" w:color="auto"/>
        <w:left w:val="none" w:sz="0" w:space="0" w:color="auto"/>
        <w:bottom w:val="none" w:sz="0" w:space="0" w:color="auto"/>
        <w:right w:val="none" w:sz="0" w:space="0" w:color="auto"/>
      </w:divBdr>
    </w:div>
    <w:div w:id="1739161271">
      <w:bodyDiv w:val="1"/>
      <w:marLeft w:val="0"/>
      <w:marRight w:val="0"/>
      <w:marTop w:val="0"/>
      <w:marBottom w:val="0"/>
      <w:divBdr>
        <w:top w:val="none" w:sz="0" w:space="0" w:color="auto"/>
        <w:left w:val="none" w:sz="0" w:space="0" w:color="auto"/>
        <w:bottom w:val="none" w:sz="0" w:space="0" w:color="auto"/>
        <w:right w:val="none" w:sz="0" w:space="0" w:color="auto"/>
      </w:divBdr>
    </w:div>
    <w:div w:id="1783331585">
      <w:bodyDiv w:val="1"/>
      <w:marLeft w:val="0"/>
      <w:marRight w:val="0"/>
      <w:marTop w:val="0"/>
      <w:marBottom w:val="0"/>
      <w:divBdr>
        <w:top w:val="none" w:sz="0" w:space="0" w:color="auto"/>
        <w:left w:val="none" w:sz="0" w:space="0" w:color="auto"/>
        <w:bottom w:val="none" w:sz="0" w:space="0" w:color="auto"/>
        <w:right w:val="none" w:sz="0" w:space="0" w:color="auto"/>
      </w:divBdr>
    </w:div>
    <w:div w:id="1784108421">
      <w:bodyDiv w:val="1"/>
      <w:marLeft w:val="0"/>
      <w:marRight w:val="0"/>
      <w:marTop w:val="0"/>
      <w:marBottom w:val="0"/>
      <w:divBdr>
        <w:top w:val="none" w:sz="0" w:space="0" w:color="auto"/>
        <w:left w:val="none" w:sz="0" w:space="0" w:color="auto"/>
        <w:bottom w:val="none" w:sz="0" w:space="0" w:color="auto"/>
        <w:right w:val="none" w:sz="0" w:space="0" w:color="auto"/>
      </w:divBdr>
    </w:div>
    <w:div w:id="1791781013">
      <w:bodyDiv w:val="1"/>
      <w:marLeft w:val="0"/>
      <w:marRight w:val="0"/>
      <w:marTop w:val="0"/>
      <w:marBottom w:val="0"/>
      <w:divBdr>
        <w:top w:val="none" w:sz="0" w:space="0" w:color="auto"/>
        <w:left w:val="none" w:sz="0" w:space="0" w:color="auto"/>
        <w:bottom w:val="none" w:sz="0" w:space="0" w:color="auto"/>
        <w:right w:val="none" w:sz="0" w:space="0" w:color="auto"/>
      </w:divBdr>
    </w:div>
    <w:div w:id="1798180512">
      <w:bodyDiv w:val="1"/>
      <w:marLeft w:val="0"/>
      <w:marRight w:val="0"/>
      <w:marTop w:val="0"/>
      <w:marBottom w:val="0"/>
      <w:divBdr>
        <w:top w:val="none" w:sz="0" w:space="0" w:color="auto"/>
        <w:left w:val="none" w:sz="0" w:space="0" w:color="auto"/>
        <w:bottom w:val="none" w:sz="0" w:space="0" w:color="auto"/>
        <w:right w:val="none" w:sz="0" w:space="0" w:color="auto"/>
      </w:divBdr>
    </w:div>
    <w:div w:id="1815248084">
      <w:bodyDiv w:val="1"/>
      <w:marLeft w:val="0"/>
      <w:marRight w:val="0"/>
      <w:marTop w:val="0"/>
      <w:marBottom w:val="0"/>
      <w:divBdr>
        <w:top w:val="none" w:sz="0" w:space="0" w:color="auto"/>
        <w:left w:val="none" w:sz="0" w:space="0" w:color="auto"/>
        <w:bottom w:val="none" w:sz="0" w:space="0" w:color="auto"/>
        <w:right w:val="none" w:sz="0" w:space="0" w:color="auto"/>
      </w:divBdr>
    </w:div>
    <w:div w:id="1816678317">
      <w:bodyDiv w:val="1"/>
      <w:marLeft w:val="0"/>
      <w:marRight w:val="0"/>
      <w:marTop w:val="0"/>
      <w:marBottom w:val="0"/>
      <w:divBdr>
        <w:top w:val="none" w:sz="0" w:space="0" w:color="auto"/>
        <w:left w:val="none" w:sz="0" w:space="0" w:color="auto"/>
        <w:bottom w:val="none" w:sz="0" w:space="0" w:color="auto"/>
        <w:right w:val="none" w:sz="0" w:space="0" w:color="auto"/>
      </w:divBdr>
    </w:div>
    <w:div w:id="1821269678">
      <w:bodyDiv w:val="1"/>
      <w:marLeft w:val="0"/>
      <w:marRight w:val="0"/>
      <w:marTop w:val="0"/>
      <w:marBottom w:val="0"/>
      <w:divBdr>
        <w:top w:val="none" w:sz="0" w:space="0" w:color="auto"/>
        <w:left w:val="none" w:sz="0" w:space="0" w:color="auto"/>
        <w:bottom w:val="none" w:sz="0" w:space="0" w:color="auto"/>
        <w:right w:val="none" w:sz="0" w:space="0" w:color="auto"/>
      </w:divBdr>
    </w:div>
    <w:div w:id="1879507718">
      <w:bodyDiv w:val="1"/>
      <w:marLeft w:val="0"/>
      <w:marRight w:val="0"/>
      <w:marTop w:val="0"/>
      <w:marBottom w:val="0"/>
      <w:divBdr>
        <w:top w:val="none" w:sz="0" w:space="0" w:color="auto"/>
        <w:left w:val="none" w:sz="0" w:space="0" w:color="auto"/>
        <w:bottom w:val="none" w:sz="0" w:space="0" w:color="auto"/>
        <w:right w:val="none" w:sz="0" w:space="0" w:color="auto"/>
      </w:divBdr>
    </w:div>
    <w:div w:id="1924678008">
      <w:bodyDiv w:val="1"/>
      <w:marLeft w:val="0"/>
      <w:marRight w:val="0"/>
      <w:marTop w:val="0"/>
      <w:marBottom w:val="0"/>
      <w:divBdr>
        <w:top w:val="none" w:sz="0" w:space="0" w:color="auto"/>
        <w:left w:val="none" w:sz="0" w:space="0" w:color="auto"/>
        <w:bottom w:val="none" w:sz="0" w:space="0" w:color="auto"/>
        <w:right w:val="none" w:sz="0" w:space="0" w:color="auto"/>
      </w:divBdr>
    </w:div>
    <w:div w:id="1943879659">
      <w:bodyDiv w:val="1"/>
      <w:marLeft w:val="0"/>
      <w:marRight w:val="0"/>
      <w:marTop w:val="0"/>
      <w:marBottom w:val="0"/>
      <w:divBdr>
        <w:top w:val="none" w:sz="0" w:space="0" w:color="auto"/>
        <w:left w:val="none" w:sz="0" w:space="0" w:color="auto"/>
        <w:bottom w:val="none" w:sz="0" w:space="0" w:color="auto"/>
        <w:right w:val="none" w:sz="0" w:space="0" w:color="auto"/>
      </w:divBdr>
    </w:div>
    <w:div w:id="2031099921">
      <w:bodyDiv w:val="1"/>
      <w:marLeft w:val="0"/>
      <w:marRight w:val="0"/>
      <w:marTop w:val="0"/>
      <w:marBottom w:val="0"/>
      <w:divBdr>
        <w:top w:val="none" w:sz="0" w:space="0" w:color="auto"/>
        <w:left w:val="none" w:sz="0" w:space="0" w:color="auto"/>
        <w:bottom w:val="none" w:sz="0" w:space="0" w:color="auto"/>
        <w:right w:val="none" w:sz="0" w:space="0" w:color="auto"/>
      </w:divBdr>
    </w:div>
    <w:div w:id="2072802054">
      <w:bodyDiv w:val="1"/>
      <w:marLeft w:val="0"/>
      <w:marRight w:val="0"/>
      <w:marTop w:val="0"/>
      <w:marBottom w:val="0"/>
      <w:divBdr>
        <w:top w:val="none" w:sz="0" w:space="0" w:color="auto"/>
        <w:left w:val="none" w:sz="0" w:space="0" w:color="auto"/>
        <w:bottom w:val="none" w:sz="0" w:space="0" w:color="auto"/>
        <w:right w:val="none" w:sz="0" w:space="0" w:color="auto"/>
      </w:divBdr>
    </w:div>
    <w:div w:id="2080663907">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 w:id="2094162845">
      <w:bodyDiv w:val="1"/>
      <w:marLeft w:val="0"/>
      <w:marRight w:val="0"/>
      <w:marTop w:val="0"/>
      <w:marBottom w:val="0"/>
      <w:divBdr>
        <w:top w:val="none" w:sz="0" w:space="0" w:color="auto"/>
        <w:left w:val="none" w:sz="0" w:space="0" w:color="auto"/>
        <w:bottom w:val="none" w:sz="0" w:space="0" w:color="auto"/>
        <w:right w:val="none" w:sz="0" w:space="0" w:color="auto"/>
      </w:divBdr>
    </w:div>
    <w:div w:id="2099250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http://www.energyandclimate.qld.gov.au" TargetMode="External"/><Relationship Id="rId42" Type="http://schemas.openxmlformats.org/officeDocument/2006/relationships/image" Target="media/image13.png"/><Relationship Id="rId47" Type="http://schemas.openxmlformats.org/officeDocument/2006/relationships/hyperlink" Target="http://www.energyandclimate.qld.gov.au" TargetMode="External"/><Relationship Id="rId63" Type="http://schemas.openxmlformats.org/officeDocument/2006/relationships/header" Target="header13.xml"/><Relationship Id="rId68" Type="http://schemas.openxmlformats.org/officeDocument/2006/relationships/chart" Target="charts/chart7.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image" Target="media/image6.jpeg"/><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image" Target="media/image23.png"/><Relationship Id="rId58" Type="http://schemas.openxmlformats.org/officeDocument/2006/relationships/chart" Target="charts/chart1.xml"/><Relationship Id="rId66" Type="http://schemas.openxmlformats.org/officeDocument/2006/relationships/chart" Target="charts/chart5.xml"/><Relationship Id="rId5" Type="http://schemas.openxmlformats.org/officeDocument/2006/relationships/numbering" Target="numbering.xml"/><Relationship Id="rId61" Type="http://schemas.openxmlformats.org/officeDocument/2006/relationships/chart" Target="charts/chart3.xml"/><Relationship Id="rId19" Type="http://schemas.openxmlformats.org/officeDocument/2006/relationships/hyperlink" Target="http://creativecommons.org/licenses/by/4.0/" TargetMode="External"/><Relationship Id="rId14" Type="http://schemas.openxmlformats.org/officeDocument/2006/relationships/footer" Target="footer2.xml"/><Relationship Id="rId22" Type="http://schemas.openxmlformats.org/officeDocument/2006/relationships/hyperlink" Target="https://data.qld.gov.au/" TargetMode="External"/><Relationship Id="rId27" Type="http://schemas.openxmlformats.org/officeDocument/2006/relationships/header" Target="header5.xml"/><Relationship Id="rId30" Type="http://schemas.openxmlformats.org/officeDocument/2006/relationships/image" Target="media/image7.jpg"/><Relationship Id="rId35" Type="http://schemas.openxmlformats.org/officeDocument/2006/relationships/footer" Target="footer6.xml"/><Relationship Id="rId43" Type="http://schemas.openxmlformats.org/officeDocument/2006/relationships/image" Target="media/image14.png"/><Relationship Id="rId48" Type="http://schemas.openxmlformats.org/officeDocument/2006/relationships/image" Target="media/image18.png"/><Relationship Id="rId56" Type="http://schemas.openxmlformats.org/officeDocument/2006/relationships/footer" Target="footer7.xml"/><Relationship Id="rId64" Type="http://schemas.openxmlformats.org/officeDocument/2006/relationships/hyperlink" Target="http://www.energyandclimate.qld.gov.au" TargetMode="External"/><Relationship Id="rId69"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image" Target="media/image21.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qld.gov.au/languages" TargetMode="External"/><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hyperlink" Target="https://www.legislation.qld.gov.au/view/html/asmade/act-2024-015" TargetMode="External"/><Relationship Id="rId67" Type="http://schemas.openxmlformats.org/officeDocument/2006/relationships/chart" Target="charts/chart6.xml"/><Relationship Id="rId20" Type="http://schemas.openxmlformats.org/officeDocument/2006/relationships/hyperlink" Target="http://www.energyandclimate.qld.gov.au" TargetMode="External"/><Relationship Id="rId41" Type="http://schemas.openxmlformats.org/officeDocument/2006/relationships/image" Target="media/image12.png"/><Relationship Id="rId54" Type="http://schemas.openxmlformats.org/officeDocument/2006/relationships/hyperlink" Target="https://www.parliament.qld.gov.au/Members/Current-Members/Member-List/Member-Details?id=1460984987" TargetMode="External"/><Relationship Id="rId62" Type="http://schemas.openxmlformats.org/officeDocument/2006/relationships/header" Target="header12.xml"/><Relationship Id="rId7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hyperlink" Target="https://data.qld.gov.au/" TargetMode="External"/><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image" Target="media/image19.png"/><Relationship Id="rId57" Type="http://schemas.openxmlformats.org/officeDocument/2006/relationships/header" Target="header11.xml"/><Relationship Id="rId10" Type="http://schemas.openxmlformats.org/officeDocument/2006/relationships/endnotes" Target="endnotes.xml"/><Relationship Id="rId31" Type="http://schemas.openxmlformats.org/officeDocument/2006/relationships/header" Target="header6.xml"/><Relationship Id="rId44" Type="http://schemas.openxmlformats.org/officeDocument/2006/relationships/image" Target="media/image15.png"/><Relationship Id="rId52" Type="http://schemas.openxmlformats.org/officeDocument/2006/relationships/image" Target="media/image22.png"/><Relationship Id="rId60" Type="http://schemas.openxmlformats.org/officeDocument/2006/relationships/chart" Target="charts/chart2.xml"/><Relationship Id="rId65"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jpg"/><Relationship Id="rId39" Type="http://schemas.openxmlformats.org/officeDocument/2006/relationships/image" Target="media/image10.png"/><Relationship Id="rId34" Type="http://schemas.openxmlformats.org/officeDocument/2006/relationships/header" Target="header8.xml"/><Relationship Id="rId50" Type="http://schemas.openxmlformats.org/officeDocument/2006/relationships/image" Target="media/image20.png"/><Relationship Id="rId55"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wservices.dpw.qld.gov.au\dfs\GO-FM\STATUTORY%20REPORTING%20&amp;%20POLICY%20(2023-24)\FINANCIAL%20ACCOUNTING\FINANCIAL%20STATEMENT\Consolidated%20EPW\Annual%20Report\Annual%20Report%20graphs%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wservices.dpw.qld.gov.au\dfs\GO-FM\STATUTORY%20REPORTING%20&amp;%20POLICY%20(2023-24)\FINANCIAL%20ACCOUNTING\FINANCIAL%20STATEMENT\Consolidated%20EPW\Annual%20Report\Annual%20Report%20graphs%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pwservices.dpw.qld.gov.au\dfs\GO-FM\STATUTORY%20REPORTING%20&amp;%20POLICY%20(2023-24)\FINANCIAL%20ACCOUNTING\FINANCIAL%20STATEMENT\Consolidated%20EPW\Annual%20Report\Annual%20Report%20graphs%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ova Light" panose="020B0304020202020204" pitchFamily="34" charset="0"/>
                <a:ea typeface="+mn-ea"/>
                <a:cs typeface="+mn-cs"/>
              </a:defRPr>
            </a:pPr>
            <a:r>
              <a:rPr lang="en-AU" sz="1400">
                <a:latin typeface="Arial Nova Light" panose="020B0304020202020204" pitchFamily="34" charset="0"/>
              </a:rPr>
              <a:t>Renewable energy as a percentage of total energy consumed in Queensland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ova Light" panose="020B0304020202020204" pitchFamily="34" charset="0"/>
              <a:ea typeface="+mn-ea"/>
              <a:cs typeface="+mn-cs"/>
            </a:defRPr>
          </a:pPr>
          <a:endParaRPr lang="en-US"/>
        </a:p>
      </c:txPr>
    </c:title>
    <c:autoTitleDeleted val="0"/>
    <c:plotArea>
      <c:layout/>
      <c:barChart>
        <c:barDir val="col"/>
        <c:grouping val="clustered"/>
        <c:varyColors val="0"/>
        <c:ser>
          <c:idx val="0"/>
          <c:order val="0"/>
          <c:tx>
            <c:strRef>
              <c:f>Sheet1!$A$2</c:f>
              <c:strCache>
                <c:ptCount val="1"/>
                <c:pt idx="0">
                  <c:v>  7%</c:v>
                </c:pt>
              </c:strCache>
            </c:strRef>
          </c:tx>
          <c:spPr>
            <a:solidFill>
              <a:schemeClr val="bg1">
                <a:lumMod val="65000"/>
              </a:schemeClr>
            </a:solidFill>
            <a:ln>
              <a:noFill/>
            </a:ln>
            <a:effectLst/>
          </c:spPr>
          <c:invertIfNegative val="0"/>
          <c:cat>
            <c:strRef>
              <c:f>Sheet1!$B$1:$H$1</c:f>
              <c:strCache>
                <c:ptCount val="7"/>
                <c:pt idx="0">
                  <c:v>2017–18</c:v>
                </c:pt>
                <c:pt idx="1">
                  <c:v>2018–19</c:v>
                </c:pt>
                <c:pt idx="2">
                  <c:v>2019–20</c:v>
                </c:pt>
                <c:pt idx="3">
                  <c:v>2020–21</c:v>
                </c:pt>
                <c:pt idx="4">
                  <c:v>2021–22</c:v>
                </c:pt>
                <c:pt idx="5">
                  <c:v>2022–23</c:v>
                </c:pt>
                <c:pt idx="6">
                  <c:v>2023–24    </c:v>
                </c:pt>
              </c:strCache>
            </c:strRef>
          </c:cat>
          <c:val>
            <c:numRef>
              <c:f>Sheet1!$B$2:$H$2</c:f>
              <c:numCache>
                <c:formatCode>0.0%</c:formatCode>
                <c:ptCount val="7"/>
                <c:pt idx="0">
                  <c:v>8.5000000000000006E-2</c:v>
                </c:pt>
                <c:pt idx="1">
                  <c:v>0.129</c:v>
                </c:pt>
                <c:pt idx="2">
                  <c:v>0.17199999999999999</c:v>
                </c:pt>
                <c:pt idx="3">
                  <c:v>0.20200000000000001</c:v>
                </c:pt>
                <c:pt idx="4">
                  <c:v>0.214</c:v>
                </c:pt>
                <c:pt idx="5" formatCode="0%">
                  <c:v>0.26</c:v>
                </c:pt>
                <c:pt idx="6">
                  <c:v>0.28199999999999997</c:v>
                </c:pt>
              </c:numCache>
            </c:numRef>
          </c:val>
          <c:extLst>
            <c:ext xmlns:c16="http://schemas.microsoft.com/office/drawing/2014/chart" uri="{C3380CC4-5D6E-409C-BE32-E72D297353CC}">
              <c16:uniqueId val="{00000000-F7A1-4043-BD5C-742C3A296C78}"/>
            </c:ext>
          </c:extLst>
        </c:ser>
        <c:dLbls>
          <c:showLegendKey val="0"/>
          <c:showVal val="0"/>
          <c:showCatName val="0"/>
          <c:showSerName val="0"/>
          <c:showPercent val="0"/>
          <c:showBubbleSize val="0"/>
        </c:dLbls>
        <c:gapWidth val="219"/>
        <c:overlap val="-27"/>
        <c:axId val="866489952"/>
        <c:axId val="866468832"/>
      </c:barChart>
      <c:catAx>
        <c:axId val="86648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crossAx val="866468832"/>
        <c:crosses val="autoZero"/>
        <c:auto val="1"/>
        <c:lblAlgn val="ctr"/>
        <c:lblOffset val="100"/>
        <c:noMultiLvlLbl val="0"/>
      </c:catAx>
      <c:valAx>
        <c:axId val="8664688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crossAx val="866489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ova Light" panose="020B0304020202020204" pitchFamily="34" charset="0"/>
                <a:ea typeface="+mn-ea"/>
                <a:cs typeface="+mn-cs"/>
              </a:defRPr>
            </a:pPr>
            <a:r>
              <a:rPr lang="en-AU"/>
              <a:t>QFleet EV Transition Strategy</a:t>
            </a:r>
          </a:p>
          <a:p>
            <a:pPr>
              <a:defRPr/>
            </a:pPr>
            <a:r>
              <a:rPr lang="en-AU"/>
              <a:t>% eligible vehicles transitioned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ova Light" panose="020B0304020202020204" pitchFamily="34" charset="0"/>
              <a:ea typeface="+mn-ea"/>
              <a:cs typeface="+mn-cs"/>
            </a:defRPr>
          </a:pPr>
          <a:endParaRPr lang="en-US"/>
        </a:p>
      </c:txPr>
    </c:title>
    <c:autoTitleDeleted val="0"/>
    <c:plotArea>
      <c:layout/>
      <c:barChart>
        <c:barDir val="col"/>
        <c:grouping val="clustered"/>
        <c:varyColors val="0"/>
        <c:ser>
          <c:idx val="0"/>
          <c:order val="0"/>
          <c:tx>
            <c:strRef>
              <c:f>'Annual Report'!$A$4</c:f>
              <c:strCache>
                <c:ptCount val="1"/>
                <c:pt idx="0">
                  <c:v>% Transitioned</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'Annual Report'!$B$3:$E$3</c:f>
              <c:strCache>
                <c:ptCount val="4"/>
                <c:pt idx="0">
                  <c:v>2020-21</c:v>
                </c:pt>
                <c:pt idx="1">
                  <c:v>2021-22</c:v>
                </c:pt>
                <c:pt idx="2">
                  <c:v>2022-23</c:v>
                </c:pt>
                <c:pt idx="3">
                  <c:v>2023-24</c:v>
                </c:pt>
              </c:strCache>
            </c:strRef>
          </c:cat>
          <c:val>
            <c:numRef>
              <c:f>'Annual Report'!$B$4:$E$4</c:f>
              <c:numCache>
                <c:formatCode>0%</c:formatCode>
                <c:ptCount val="4"/>
                <c:pt idx="0">
                  <c:v>0.03</c:v>
                </c:pt>
                <c:pt idx="1">
                  <c:v>0.09</c:v>
                </c:pt>
                <c:pt idx="2">
                  <c:v>0.31</c:v>
                </c:pt>
                <c:pt idx="3">
                  <c:v>0.54</c:v>
                </c:pt>
              </c:numCache>
            </c:numRef>
          </c:val>
          <c:extLst>
            <c:ext xmlns:c16="http://schemas.microsoft.com/office/drawing/2014/chart" uri="{C3380CC4-5D6E-409C-BE32-E72D297353CC}">
              <c16:uniqueId val="{00000000-D54D-4523-B604-93AE5204068C}"/>
            </c:ext>
          </c:extLst>
        </c:ser>
        <c:dLbls>
          <c:showLegendKey val="0"/>
          <c:showVal val="0"/>
          <c:showCatName val="0"/>
          <c:showSerName val="0"/>
          <c:showPercent val="0"/>
          <c:showBubbleSize val="0"/>
        </c:dLbls>
        <c:gapWidth val="219"/>
        <c:overlap val="-27"/>
        <c:axId val="435159807"/>
        <c:axId val="691524127"/>
      </c:barChart>
      <c:lineChart>
        <c:grouping val="standard"/>
        <c:varyColors val="0"/>
        <c:ser>
          <c:idx val="1"/>
          <c:order val="1"/>
          <c:tx>
            <c:strRef>
              <c:f>'Annual Report'!$A$5</c:f>
              <c:strCache>
                <c:ptCount val="1"/>
                <c:pt idx="0">
                  <c:v>Target</c:v>
                </c:pt>
              </c:strCache>
            </c:strRef>
          </c:tx>
          <c:spPr>
            <a:ln w="28575" cap="rnd">
              <a:solidFill>
                <a:schemeClr val="accent2"/>
              </a:solidFill>
              <a:round/>
            </a:ln>
            <a:effectLst/>
          </c:spPr>
          <c:marker>
            <c:symbol val="none"/>
          </c:marker>
          <c:cat>
            <c:strRef>
              <c:f>'Annual Report'!$B$3:$E$3</c:f>
              <c:strCache>
                <c:ptCount val="4"/>
                <c:pt idx="0">
                  <c:v>2020-21</c:v>
                </c:pt>
                <c:pt idx="1">
                  <c:v>2021-22</c:v>
                </c:pt>
                <c:pt idx="2">
                  <c:v>2022-23</c:v>
                </c:pt>
                <c:pt idx="3">
                  <c:v>2023-24</c:v>
                </c:pt>
              </c:strCache>
            </c:strRef>
          </c:cat>
          <c:val>
            <c:numRef>
              <c:f>'Annual Report'!$B$5:$E$5</c:f>
              <c:numCache>
                <c:formatCode>0%</c:formatCode>
                <c:ptCount val="4"/>
                <c:pt idx="0">
                  <c:v>0.01</c:v>
                </c:pt>
                <c:pt idx="1">
                  <c:v>0.03</c:v>
                </c:pt>
                <c:pt idx="2">
                  <c:v>0.10479999999999999</c:v>
                </c:pt>
                <c:pt idx="3">
                  <c:v>0.44080000000000014</c:v>
                </c:pt>
              </c:numCache>
            </c:numRef>
          </c:val>
          <c:smooth val="0"/>
          <c:extLst>
            <c:ext xmlns:c16="http://schemas.microsoft.com/office/drawing/2014/chart" uri="{C3380CC4-5D6E-409C-BE32-E72D297353CC}">
              <c16:uniqueId val="{00000001-D54D-4523-B604-93AE5204068C}"/>
            </c:ext>
          </c:extLst>
        </c:ser>
        <c:dLbls>
          <c:showLegendKey val="0"/>
          <c:showVal val="0"/>
          <c:showCatName val="0"/>
          <c:showSerName val="0"/>
          <c:showPercent val="0"/>
          <c:showBubbleSize val="0"/>
        </c:dLbls>
        <c:marker val="1"/>
        <c:smooth val="0"/>
        <c:axId val="435159807"/>
        <c:axId val="691524127"/>
      </c:lineChart>
      <c:catAx>
        <c:axId val="43515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crossAx val="691524127"/>
        <c:crosses val="autoZero"/>
        <c:auto val="1"/>
        <c:lblAlgn val="ctr"/>
        <c:lblOffset val="100"/>
        <c:noMultiLvlLbl val="0"/>
      </c:catAx>
      <c:valAx>
        <c:axId val="6915241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crossAx val="435159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ova Light" panose="020B03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ova Light" panose="020B0304020202020204" pitchFamily="34" charset="0"/>
                <a:ea typeface="+mn-ea"/>
                <a:cs typeface="+mn-cs"/>
              </a:defRPr>
            </a:pPr>
            <a:r>
              <a:rPr lang="en-AU"/>
              <a:t>QFleet fleet — EV Profile vs ICE and Total Fleet Emissions kilotonnes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Nova Light" panose="020B0304020202020204" pitchFamily="34" charset="0"/>
              <a:ea typeface="+mn-ea"/>
              <a:cs typeface="+mn-cs"/>
            </a:defRPr>
          </a:pPr>
          <a:endParaRPr lang="en-US"/>
        </a:p>
      </c:txPr>
    </c:title>
    <c:autoTitleDeleted val="0"/>
    <c:plotArea>
      <c:layout/>
      <c:barChart>
        <c:barDir val="col"/>
        <c:grouping val="clustered"/>
        <c:varyColors val="0"/>
        <c:ser>
          <c:idx val="0"/>
          <c:order val="0"/>
          <c:tx>
            <c:strRef>
              <c:f>'ICEsndEVChart Data'!$B$2</c:f>
              <c:strCache>
                <c:ptCount val="1"/>
                <c:pt idx="0">
                  <c:v>BEV</c:v>
                </c:pt>
              </c:strCache>
            </c:strRef>
          </c:tx>
          <c:spPr>
            <a:solidFill>
              <a:schemeClr val="bg1">
                <a:lumMod val="85000"/>
              </a:schemeClr>
            </a:solidFill>
            <a:ln>
              <a:noFill/>
            </a:ln>
            <a:effectLst/>
          </c:spPr>
          <c:invertIfNegative val="0"/>
          <c:dLbls>
            <c:dLbl>
              <c:idx val="3"/>
              <c:layout>
                <c:manualLayout>
                  <c:x val="-4.4990479964764497E-2"/>
                  <c:y val="2.66498616906248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38-4764-8696-7A0D4D68CA9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'ICEsndEVChart Data'!$A$3:$A$6</c:f>
              <c:strCache>
                <c:ptCount val="4"/>
                <c:pt idx="0">
                  <c:v>2020-21</c:v>
                </c:pt>
                <c:pt idx="1">
                  <c:v>2021-22</c:v>
                </c:pt>
                <c:pt idx="2">
                  <c:v>2022-23</c:v>
                </c:pt>
                <c:pt idx="3">
                  <c:v>2023-24</c:v>
                </c:pt>
              </c:strCache>
            </c:strRef>
          </c:cat>
          <c:val>
            <c:numRef>
              <c:f>'ICEsndEVChart Data'!$B$3:$B$6</c:f>
              <c:numCache>
                <c:formatCode>#,##0</c:formatCode>
                <c:ptCount val="4"/>
                <c:pt idx="0" formatCode="General">
                  <c:v>52</c:v>
                </c:pt>
                <c:pt idx="1">
                  <c:v>150</c:v>
                </c:pt>
                <c:pt idx="2">
                  <c:v>364</c:v>
                </c:pt>
                <c:pt idx="3">
                  <c:v>1449</c:v>
                </c:pt>
              </c:numCache>
            </c:numRef>
          </c:val>
          <c:extLst>
            <c:ext xmlns:c16="http://schemas.microsoft.com/office/drawing/2014/chart" uri="{C3380CC4-5D6E-409C-BE32-E72D297353CC}">
              <c16:uniqueId val="{00000000-3838-4764-8696-7A0D4D68CA94}"/>
            </c:ext>
          </c:extLst>
        </c:ser>
        <c:ser>
          <c:idx val="1"/>
          <c:order val="1"/>
          <c:tx>
            <c:strRef>
              <c:f>'ICEsndEVChart Data'!$C$2</c:f>
              <c:strCache>
                <c:ptCount val="1"/>
                <c:pt idx="0">
                  <c:v>ICE</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'ICEsndEVChart Data'!$A$3:$A$6</c:f>
              <c:strCache>
                <c:ptCount val="4"/>
                <c:pt idx="0">
                  <c:v>2020-21</c:v>
                </c:pt>
                <c:pt idx="1">
                  <c:v>2021-22</c:v>
                </c:pt>
                <c:pt idx="2">
                  <c:v>2022-23</c:v>
                </c:pt>
                <c:pt idx="3">
                  <c:v>2023-24</c:v>
                </c:pt>
              </c:strCache>
            </c:strRef>
          </c:cat>
          <c:val>
            <c:numRef>
              <c:f>'ICEsndEVChart Data'!$C$3:$C$6</c:f>
              <c:numCache>
                <c:formatCode>#,##0</c:formatCode>
                <c:ptCount val="4"/>
                <c:pt idx="0">
                  <c:v>10299</c:v>
                </c:pt>
                <c:pt idx="1">
                  <c:v>10257</c:v>
                </c:pt>
                <c:pt idx="2">
                  <c:v>10254</c:v>
                </c:pt>
                <c:pt idx="3">
                  <c:v>9636</c:v>
                </c:pt>
              </c:numCache>
            </c:numRef>
          </c:val>
          <c:extLst>
            <c:ext xmlns:c16="http://schemas.microsoft.com/office/drawing/2014/chart" uri="{C3380CC4-5D6E-409C-BE32-E72D297353CC}">
              <c16:uniqueId val="{00000001-3838-4764-8696-7A0D4D68CA94}"/>
            </c:ext>
          </c:extLst>
        </c:ser>
        <c:dLbls>
          <c:showLegendKey val="0"/>
          <c:showVal val="0"/>
          <c:showCatName val="0"/>
          <c:showSerName val="0"/>
          <c:showPercent val="0"/>
          <c:showBubbleSize val="0"/>
        </c:dLbls>
        <c:gapWidth val="218"/>
        <c:axId val="279877535"/>
        <c:axId val="162694703"/>
      </c:barChart>
      <c:lineChart>
        <c:grouping val="standard"/>
        <c:varyColors val="0"/>
        <c:ser>
          <c:idx val="2"/>
          <c:order val="2"/>
          <c:tx>
            <c:strRef>
              <c:f>'ICEsndEVChart Data'!$D$2</c:f>
              <c:strCache>
                <c:ptCount val="1"/>
                <c:pt idx="0">
                  <c:v>Emission - ICE</c:v>
                </c:pt>
              </c:strCache>
            </c:strRef>
          </c:tx>
          <c:spPr>
            <a:ln w="28575" cap="rnd">
              <a:solidFill>
                <a:schemeClr val="accent3"/>
              </a:solidFill>
              <a:round/>
            </a:ln>
            <a:effectLst/>
          </c:spPr>
          <c:marker>
            <c:symbol val="circle"/>
            <c:size val="8"/>
            <c:spPr>
              <a:solidFill>
                <a:schemeClr val="tx1">
                  <a:lumMod val="65000"/>
                  <a:lumOff val="35000"/>
                </a:schemeClr>
              </a:solidFill>
              <a:ln w="9525">
                <a:solidFill>
                  <a:schemeClr val="tx1">
                    <a:lumMod val="65000"/>
                    <a:lumOff val="35000"/>
                  </a:schemeClr>
                </a:solidFill>
              </a:ln>
              <a:effectLst/>
            </c:spPr>
          </c:marker>
          <c:dLbls>
            <c:dLbl>
              <c:idx val="3"/>
              <c:layout>
                <c:manualLayout>
                  <c:x val="-8.8009267933323462E-2"/>
                  <c:y val="1.68239921989532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38-4764-8696-7A0D4D68CA9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'ICEsndEVChart Data'!$A$3:$A$6</c:f>
              <c:strCache>
                <c:ptCount val="4"/>
                <c:pt idx="0">
                  <c:v>2020-21</c:v>
                </c:pt>
                <c:pt idx="1">
                  <c:v>2021-22</c:v>
                </c:pt>
                <c:pt idx="2">
                  <c:v>2022-23</c:v>
                </c:pt>
                <c:pt idx="3">
                  <c:v>2023-24</c:v>
                </c:pt>
              </c:strCache>
            </c:strRef>
          </c:cat>
          <c:val>
            <c:numRef>
              <c:f>'ICEsndEVChart Data'!$D$3:$D$6</c:f>
              <c:numCache>
                <c:formatCode>0.00</c:formatCode>
                <c:ptCount val="4"/>
                <c:pt idx="0">
                  <c:v>35.376518831999981</c:v>
                </c:pt>
                <c:pt idx="1">
                  <c:v>34.35771900000038</c:v>
                </c:pt>
                <c:pt idx="2">
                  <c:v>34.213547000000503</c:v>
                </c:pt>
                <c:pt idx="3">
                  <c:v>33.194287000000067</c:v>
                </c:pt>
              </c:numCache>
            </c:numRef>
          </c:val>
          <c:smooth val="0"/>
          <c:extLst>
            <c:ext xmlns:c16="http://schemas.microsoft.com/office/drawing/2014/chart" uri="{C3380CC4-5D6E-409C-BE32-E72D297353CC}">
              <c16:uniqueId val="{00000002-3838-4764-8696-7A0D4D68CA94}"/>
            </c:ext>
          </c:extLst>
        </c:ser>
        <c:dLbls>
          <c:showLegendKey val="0"/>
          <c:showVal val="0"/>
          <c:showCatName val="0"/>
          <c:showSerName val="0"/>
          <c:showPercent val="0"/>
          <c:showBubbleSize val="0"/>
        </c:dLbls>
        <c:marker val="1"/>
        <c:smooth val="0"/>
        <c:axId val="1852554752"/>
        <c:axId val="306445679"/>
      </c:lineChart>
      <c:catAx>
        <c:axId val="2798775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ova Light" panose="020B0304020202020204" pitchFamily="34" charset="0"/>
                    <a:ea typeface="+mn-ea"/>
                    <a:cs typeface="+mn-cs"/>
                  </a:defRPr>
                </a:pPr>
                <a:r>
                  <a:rPr lang="en-AU"/>
                  <a:t>Fiscal Years (July to June)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crossAx val="162694703"/>
        <c:crosses val="autoZero"/>
        <c:auto val="1"/>
        <c:lblAlgn val="ctr"/>
        <c:lblOffset val="100"/>
        <c:noMultiLvlLbl val="0"/>
      </c:catAx>
      <c:valAx>
        <c:axId val="162694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ova Light" panose="020B0304020202020204" pitchFamily="34" charset="0"/>
                    <a:ea typeface="+mn-ea"/>
                    <a:cs typeface="+mn-cs"/>
                  </a:defRPr>
                </a:pPr>
                <a:r>
                  <a:rPr lang="en-US"/>
                  <a:t>No of Vehicles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crossAx val="279877535"/>
        <c:crosses val="autoZero"/>
        <c:crossBetween val="between"/>
        <c:majorUnit val="1000"/>
      </c:valAx>
      <c:valAx>
        <c:axId val="30644567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ova Light" panose="020B0304020202020204" pitchFamily="34" charset="0"/>
                    <a:ea typeface="+mn-ea"/>
                    <a:cs typeface="+mn-cs"/>
                  </a:defRPr>
                </a:pPr>
                <a:r>
                  <a:rPr lang="en-US"/>
                  <a:t>Emissions KT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crossAx val="1852554752"/>
        <c:crosses val="max"/>
        <c:crossBetween val="between"/>
      </c:valAx>
      <c:catAx>
        <c:axId val="1852554752"/>
        <c:scaling>
          <c:orientation val="minMax"/>
        </c:scaling>
        <c:delete val="1"/>
        <c:axPos val="b"/>
        <c:numFmt formatCode="General" sourceLinked="1"/>
        <c:majorTickMark val="out"/>
        <c:minorTickMark val="none"/>
        <c:tickLblPos val="nextTo"/>
        <c:crossAx val="3064456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ova Light" panose="020B03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Nova Light" panose="020B03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b="1" i="0" u="none" strike="noStrike" baseline="0">
                <a:effectLst/>
                <a:latin typeface="Arial Nova" panose="020B0504020202020204" pitchFamily="34" charset="0"/>
              </a:rPr>
              <a:t>Total income by Major Departmental Services and Commercialised Business Units in 2023-24</a:t>
            </a:r>
            <a:endParaRPr lang="en-AU" sz="1000" baseline="0">
              <a:latin typeface="Arial Nova" panose="020B05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720505893043303"/>
          <c:y val="0.26976983276724331"/>
          <c:w val="0.52491232509114172"/>
          <c:h val="0.5182668517869067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82-4DAB-9059-7D242C65E7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82-4DAB-9059-7D242C65E7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282-4DAB-9059-7D242C65E7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282-4DAB-9059-7D242C65E76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282-4DAB-9059-7D242C65E76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282-4DAB-9059-7D242C65E76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282-4DAB-9059-7D242C65E76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9282-4DAB-9059-7D242C65E76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9282-4DAB-9059-7D242C65E76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9282-4DAB-9059-7D242C65E76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9282-4DAB-9059-7D242C65E766}"/>
              </c:ext>
            </c:extLst>
          </c:dPt>
          <c:dLbls>
            <c:dLbl>
              <c:idx val="0"/>
              <c:layout>
                <c:manualLayout>
                  <c:x val="5.2592592592592594E-2"/>
                  <c:y val="-4.3679168688416696E-2"/>
                </c:manualLayout>
              </c:layout>
              <c:tx>
                <c:rich>
                  <a:bodyPr/>
                  <a:lstStyle/>
                  <a:p>
                    <a:fld id="{23BE92BC-05CD-47FC-AEA8-99E1E874072B}" type="CATEGORYNAME">
                      <a:rPr lang="en-US" sz="800" baseline="0"/>
                      <a:pPr/>
                      <a:t>[CATEGORY NAME]</a:t>
                    </a:fld>
                    <a:r>
                      <a:rPr lang="en-US" sz="800" baseline="0"/>
                      <a:t> </a:t>
                    </a:r>
                    <a:fld id="{DE5F216C-9FE7-41BA-9222-BE655C21B7ED}" type="VALUE">
                      <a:rPr lang="en-US" sz="800" baseline="0"/>
                      <a:pPr/>
                      <a:t>[VALUE]</a:t>
                    </a:fld>
                    <a:r>
                      <a:rPr lang="en-US" sz="800" baseline="0"/>
                      <a:t>m </a:t>
                    </a:r>
                    <a:fld id="{4DD73F8E-7FB7-49C6-8064-E07A5D987EC4}" type="PERCENTAGE">
                      <a:rPr lang="en-US" sz="800" baseline="0"/>
                      <a:pPr/>
                      <a:t>[PERCENTAGE]</a:t>
                    </a:fld>
                    <a:endParaRPr lang="en-US" sz="800"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9282-4DAB-9059-7D242C65E766}"/>
                </c:ext>
              </c:extLst>
            </c:dLbl>
            <c:dLbl>
              <c:idx val="1"/>
              <c:layout>
                <c:manualLayout>
                  <c:x val="-4.9572792762606803E-4"/>
                  <c:y val="-0.13236605075673138"/>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D8EBE86C-3203-40E3-A653-4E158330A77F}" type="CATEGORYNAME">
                      <a:rPr lang="en-US" sz="800" baseline="0">
                        <a:latin typeface="Arial Nova Light" panose="020B0304020202020204" pitchFamily="34" charset="0"/>
                      </a:rPr>
                      <a:pPr>
                        <a:defRPr sz="800">
                          <a:latin typeface="Arial Nova Light" panose="020B0304020202020204" pitchFamily="34" charset="0"/>
                        </a:defRPr>
                      </a:pPr>
                      <a:t>[CATEGORY NAME]</a:t>
                    </a:fld>
                    <a:r>
                      <a:rPr lang="en-US" sz="800" baseline="0">
                        <a:latin typeface="Arial Nova Light" panose="020B0304020202020204" pitchFamily="34" charset="0"/>
                      </a:rPr>
                      <a:t> </a:t>
                    </a:r>
                    <a:fld id="{0E753457-BB85-4490-90C7-A29CB9F19050}" type="VALUE">
                      <a:rPr lang="en-US" sz="800" baseline="0">
                        <a:latin typeface="Arial Nova Light" panose="020B0304020202020204" pitchFamily="34" charset="0"/>
                      </a:rPr>
                      <a:pPr>
                        <a:defRPr sz="800">
                          <a:latin typeface="Arial Nova Light" panose="020B0304020202020204" pitchFamily="34" charset="0"/>
                        </a:defRPr>
                      </a:pPr>
                      <a:t>[VALUE]</a:t>
                    </a:fld>
                    <a:r>
                      <a:rPr lang="en-US" sz="800" baseline="0">
                        <a:latin typeface="Arial Nova Light" panose="020B0304020202020204" pitchFamily="34" charset="0"/>
                      </a:rPr>
                      <a:t>m </a:t>
                    </a:r>
                    <a:fld id="{F4174FA9-C7A6-4060-990C-3B2CEBBF25FA}" type="PERCENTAGE">
                      <a:rPr lang="en-US" sz="800" baseline="0">
                        <a:latin typeface="Arial Nova Light" panose="020B0304020202020204" pitchFamily="34" charset="0"/>
                      </a:rPr>
                      <a:pPr>
                        <a:defRPr sz="800">
                          <a:latin typeface="Arial Nova Light" panose="020B0304020202020204" pitchFamily="34" charset="0"/>
                        </a:defRPr>
                      </a:pPr>
                      <a:t>[PERCENTAGE]</a:t>
                    </a:fld>
                    <a:endParaRPr lang="en-US" sz="800"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6794223185869881"/>
                      <c:h val="0.17406955460646736"/>
                    </c:manualLayout>
                  </c15:layout>
                  <c15:dlblFieldTable/>
                  <c15:showDataLabelsRange val="0"/>
                </c:ext>
                <c:ext xmlns:c16="http://schemas.microsoft.com/office/drawing/2014/chart" uri="{C3380CC4-5D6E-409C-BE32-E72D297353CC}">
                  <c16:uniqueId val="{00000003-9282-4DAB-9059-7D242C65E766}"/>
                </c:ext>
              </c:extLst>
            </c:dLbl>
            <c:dLbl>
              <c:idx val="2"/>
              <c:layout>
                <c:manualLayout>
                  <c:x val="8.1445893470160721E-2"/>
                  <c:y val="4.1476540068049308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707E628D-3AD1-4387-9E26-7BDCC934C25D}" type="CATEGORYNAME">
                      <a:rPr lang="en-US" sz="800" baseline="0"/>
                      <a:pPr>
                        <a:defRPr sz="800">
                          <a:latin typeface="Arial Nova Light" panose="020B0304020202020204" pitchFamily="34" charset="0"/>
                        </a:defRPr>
                      </a:pPr>
                      <a:t>[CATEGORY NAME]</a:t>
                    </a:fld>
                    <a:r>
                      <a:rPr lang="en-US" sz="800" baseline="0"/>
                      <a:t> </a:t>
                    </a:r>
                    <a:fld id="{EB527D5E-2F76-48E0-AB2D-B95FC11AB4D7}" type="VALUE">
                      <a:rPr lang="en-US" sz="800" baseline="0"/>
                      <a:pPr>
                        <a:defRPr sz="800">
                          <a:latin typeface="Arial Nova Light" panose="020B0304020202020204" pitchFamily="34" charset="0"/>
                        </a:defRPr>
                      </a:pPr>
                      <a:t>[VALUE]</a:t>
                    </a:fld>
                    <a:r>
                      <a:rPr lang="en-US" sz="800" baseline="0"/>
                      <a:t>m </a:t>
                    </a:r>
                    <a:fld id="{E20E0D34-A9EE-49CE-9B9D-6925494FD9BE}" type="PERCENTAGE">
                      <a:rPr lang="en-US" sz="800" baseline="0"/>
                      <a:pPr>
                        <a:defRPr sz="800">
                          <a:latin typeface="Arial Nova Light" panose="020B0304020202020204" pitchFamily="34" charset="0"/>
                        </a:defRPr>
                      </a:pPr>
                      <a:t>[PERCENTAGE]</a:t>
                    </a:fld>
                    <a:endParaRPr lang="en-US" sz="800" baseline="0"/>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4191489361702129"/>
                      <c:h val="0.19018967585465263"/>
                    </c:manualLayout>
                  </c15:layout>
                  <c15:dlblFieldTable/>
                  <c15:showDataLabelsRange val="0"/>
                </c:ext>
                <c:ext xmlns:c16="http://schemas.microsoft.com/office/drawing/2014/chart" uri="{C3380CC4-5D6E-409C-BE32-E72D297353CC}">
                  <c16:uniqueId val="{00000005-9282-4DAB-9059-7D242C65E766}"/>
                </c:ext>
              </c:extLst>
            </c:dLbl>
            <c:dLbl>
              <c:idx val="3"/>
              <c:layout>
                <c:manualLayout>
                  <c:x val="-4.6870047041221293E-3"/>
                  <c:y val="-5.2120315344961485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8891ACF4-055A-4738-9D1F-E128C05E6EBB}" type="CATEGORYNAME">
                      <a:rPr lang="en-US" sz="800" baseline="0">
                        <a:latin typeface="Arial Nova Light" panose="020B0304020202020204" pitchFamily="34" charset="0"/>
                      </a:rPr>
                      <a:pPr>
                        <a:defRPr sz="800">
                          <a:latin typeface="Arial Nova Light" panose="020B0304020202020204" pitchFamily="34" charset="0"/>
                        </a:defRPr>
                      </a:pPr>
                      <a:t>[CATEGORY NAME]</a:t>
                    </a:fld>
                    <a:r>
                      <a:rPr lang="en-US" sz="800" baseline="0">
                        <a:latin typeface="Arial Nova Light" panose="020B0304020202020204" pitchFamily="34" charset="0"/>
                      </a:rPr>
                      <a:t> </a:t>
                    </a:r>
                    <a:fld id="{2F763A65-E7AB-4388-9AE6-53E36AC98D8B}" type="VALUE">
                      <a:rPr lang="en-US" sz="800" baseline="0">
                        <a:latin typeface="Arial Nova Light" panose="020B0304020202020204" pitchFamily="34" charset="0"/>
                      </a:rPr>
                      <a:pPr>
                        <a:defRPr sz="800">
                          <a:latin typeface="Arial Nova Light" panose="020B0304020202020204" pitchFamily="34" charset="0"/>
                        </a:defRPr>
                      </a:pPr>
                      <a:t>[VALUE]</a:t>
                    </a:fld>
                    <a:r>
                      <a:rPr lang="en-US" sz="800" baseline="0">
                        <a:latin typeface="Arial Nova Light" panose="020B0304020202020204" pitchFamily="34" charset="0"/>
                      </a:rPr>
                      <a:t>m </a:t>
                    </a:r>
                    <a:fld id="{70A03680-17DC-45A4-90C6-4EB4B528F56F}" type="PERCENTAGE">
                      <a:rPr lang="en-US" sz="800" baseline="0">
                        <a:latin typeface="Arial Nova Light" panose="020B0304020202020204" pitchFamily="34" charset="0"/>
                      </a:rPr>
                      <a:pPr>
                        <a:defRPr sz="800">
                          <a:latin typeface="Arial Nova Light" panose="020B0304020202020204" pitchFamily="34" charset="0"/>
                        </a:defRPr>
                      </a:pPr>
                      <a:t>[PERCENTAGE]</a:t>
                    </a:fld>
                    <a:endParaRPr lang="en-US" sz="800"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7100079881319178"/>
                      <c:h val="0.12126296522269678"/>
                    </c:manualLayout>
                  </c15:layout>
                  <c15:dlblFieldTable/>
                  <c15:showDataLabelsRange val="0"/>
                </c:ext>
                <c:ext xmlns:c16="http://schemas.microsoft.com/office/drawing/2014/chart" uri="{C3380CC4-5D6E-409C-BE32-E72D297353CC}">
                  <c16:uniqueId val="{00000007-9282-4DAB-9059-7D242C65E766}"/>
                </c:ext>
              </c:extLst>
            </c:dLbl>
            <c:dLbl>
              <c:idx val="4"/>
              <c:layout>
                <c:manualLayout>
                  <c:x val="-0.10162552144750023"/>
                  <c:y val="-2.452138571147185E-2"/>
                </c:manualLayout>
              </c:layout>
              <c:tx>
                <c:rich>
                  <a:bodyPr/>
                  <a:lstStyle/>
                  <a:p>
                    <a:fld id="{33A0C55B-6A81-40D4-A57A-1D8A8F42313E}" type="CATEGORYNAME">
                      <a:rPr lang="en-US" sz="800" baseline="0"/>
                      <a:pPr/>
                      <a:t>[CATEGORY NAME]</a:t>
                    </a:fld>
                    <a:r>
                      <a:rPr lang="en-US" sz="800" baseline="0"/>
                      <a:t> </a:t>
                    </a:r>
                    <a:fld id="{1D30F0F6-28F7-4F4F-8F82-11FEA3E530E0}" type="VALUE">
                      <a:rPr lang="en-US" sz="800" baseline="0"/>
                      <a:pPr/>
                      <a:t>[VALUE]</a:t>
                    </a:fld>
                    <a:r>
                      <a:rPr lang="en-US" sz="800" baseline="0"/>
                      <a:t>m </a:t>
                    </a:r>
                    <a:fld id="{6AFA2E53-F870-4579-A251-8E377E9B54EE}" type="PERCENTAGE">
                      <a:rPr lang="en-US" sz="800" baseline="0"/>
                      <a:pPr/>
                      <a:t>[PERCENTAGE]</a:t>
                    </a:fld>
                    <a:endParaRPr lang="en-US" sz="800"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9282-4DAB-9059-7D242C65E766}"/>
                </c:ext>
              </c:extLst>
            </c:dLbl>
            <c:dLbl>
              <c:idx val="5"/>
              <c:layout>
                <c:manualLayout>
                  <c:x val="-3.5942282576996713E-2"/>
                  <c:y val="-4.1783207544450474E-2"/>
                </c:manualLayout>
              </c:layout>
              <c:tx>
                <c:rich>
                  <a:bodyPr/>
                  <a:lstStyle/>
                  <a:p>
                    <a:fld id="{F1CC062E-9A68-4970-8BBF-738B884462A3}" type="CATEGORYNAME">
                      <a:rPr lang="en-US" sz="800"/>
                      <a:pPr/>
                      <a:t>[CATEGORY NAME]</a:t>
                    </a:fld>
                    <a:r>
                      <a:rPr lang="en-US" sz="800" baseline="0"/>
                      <a:t>  $109.9m (6.57%)</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9282-4DAB-9059-7D242C65E766}"/>
                </c:ext>
              </c:extLst>
            </c:dLbl>
            <c:dLbl>
              <c:idx val="6"/>
              <c:layout>
                <c:manualLayout>
                  <c:x val="-0.15019999869475789"/>
                  <c:y val="-9.5192424537411495E-3"/>
                </c:manualLayout>
              </c:layout>
              <c:tx>
                <c:rich>
                  <a:bodyPr/>
                  <a:lstStyle/>
                  <a:p>
                    <a:fld id="{0C8D7901-CB19-49BB-B933-C228488BF373}" type="CATEGORYNAME">
                      <a:rPr lang="en-US" sz="800"/>
                      <a:pPr/>
                      <a:t>[CATEGORY NAME]</a:t>
                    </a:fld>
                    <a:r>
                      <a:rPr lang="en-US" sz="800" baseline="0"/>
                      <a:t> $151.0m (3.82%)</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9282-4DAB-9059-7D242C65E766}"/>
                </c:ext>
              </c:extLst>
            </c:dLbl>
            <c:dLbl>
              <c:idx val="7"/>
              <c:layout>
                <c:manualLayout>
                  <c:x val="-3.9976967995279659E-2"/>
                  <c:y val="-7.8835600095442607E-3"/>
                </c:manualLayout>
              </c:layout>
              <c:tx>
                <c:rich>
                  <a:bodyPr/>
                  <a:lstStyle/>
                  <a:p>
                    <a:fld id="{5D8D080E-1C49-4561-932A-513C599AF3E1}" type="CATEGORYNAME">
                      <a:rPr lang="en-US" sz="800"/>
                      <a:pPr/>
                      <a:t>[CATEGORY NAME]</a:t>
                    </a:fld>
                    <a:r>
                      <a:rPr lang="en-US" sz="800" baseline="0"/>
                      <a:t> $121.0m (3.07%)</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F-9282-4DAB-9059-7D242C65E766}"/>
                </c:ext>
              </c:extLst>
            </c:dLbl>
            <c:dLbl>
              <c:idx val="8"/>
              <c:layout>
                <c:manualLayout>
                  <c:x val="-6.2277889682394352E-2"/>
                  <c:y val="3.2787162968265331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9282-4DAB-9059-7D242C65E766}"/>
                </c:ext>
              </c:extLst>
            </c:dLbl>
            <c:dLbl>
              <c:idx val="9"/>
              <c:layout>
                <c:manualLayout>
                  <c:x val="-0.26082646645913449"/>
                  <c:y val="2.6795514197089001E-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9282-4DAB-9059-7D242C65E766}"/>
                </c:ext>
              </c:extLst>
            </c:dLbl>
            <c:dLbl>
              <c:idx val="10"/>
              <c:layout>
                <c:manualLayout>
                  <c:x val="0.23388357850617511"/>
                  <c:y val="1.694225721784777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5-9282-4DAB-9059-7D242C65E76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Graphs!$A$5:$A$10</c:f>
              <c:strCache>
                <c:ptCount val="6"/>
                <c:pt idx="0">
                  <c:v> Grow Qld's energy sector </c:v>
                </c:pt>
                <c:pt idx="1">
                  <c:v> Building &amp; government accommodation services </c:v>
                </c:pt>
                <c:pt idx="2">
                  <c:v> Procurement policy &amp; enabling services </c:v>
                </c:pt>
                <c:pt idx="3">
                  <c:v> QBuild </c:v>
                </c:pt>
                <c:pt idx="4">
                  <c:v> QFleet </c:v>
                </c:pt>
                <c:pt idx="5">
                  <c:v> General - not attributed </c:v>
                </c:pt>
              </c:strCache>
            </c:strRef>
          </c:cat>
          <c:val>
            <c:numRef>
              <c:f>Graphs!$B$5:$B$10</c:f>
              <c:numCache>
                <c:formatCode>"$"#,##0.0</c:formatCode>
                <c:ptCount val="6"/>
                <c:pt idx="0">
                  <c:v>225.815</c:v>
                </c:pt>
                <c:pt idx="1">
                  <c:v>479.65</c:v>
                </c:pt>
                <c:pt idx="2">
                  <c:v>25.003</c:v>
                </c:pt>
                <c:pt idx="3">
                  <c:v>643.67600000000004</c:v>
                </c:pt>
                <c:pt idx="4">
                  <c:v>187.315</c:v>
                </c:pt>
                <c:pt idx="5">
                  <c:v>109.92700000000001</c:v>
                </c:pt>
              </c:numCache>
            </c:numRef>
          </c:val>
          <c:extLst>
            <c:ext xmlns:c16="http://schemas.microsoft.com/office/drawing/2014/chart" uri="{C3380CC4-5D6E-409C-BE32-E72D297353CC}">
              <c16:uniqueId val="{00000016-9282-4DAB-9059-7D242C65E766}"/>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8-9282-4DAB-9059-7D242C65E76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A-9282-4DAB-9059-7D242C65E76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C-9282-4DAB-9059-7D242C65E76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E-9282-4DAB-9059-7D242C65E76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0-9282-4DAB-9059-7D242C65E76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2-9282-4DAB-9059-7D242C65E766}"/>
                    </c:ext>
                  </c:extLst>
                </c:dPt>
                <c:cat>
                  <c:strRef>
                    <c:extLst>
                      <c:ext uri="{02D57815-91ED-43cb-92C2-25804820EDAC}">
                        <c15:formulaRef>
                          <c15:sqref>Graphs!$A$5:$A$10</c15:sqref>
                        </c15:formulaRef>
                      </c:ext>
                    </c:extLst>
                    <c:strCache>
                      <c:ptCount val="6"/>
                      <c:pt idx="0">
                        <c:v> Grow Qld's energy sector </c:v>
                      </c:pt>
                      <c:pt idx="1">
                        <c:v> Building &amp; government accommodation services </c:v>
                      </c:pt>
                      <c:pt idx="2">
                        <c:v> Procurement policy &amp; enabling services </c:v>
                      </c:pt>
                      <c:pt idx="3">
                        <c:v> QBuild </c:v>
                      </c:pt>
                      <c:pt idx="4">
                        <c:v> QFleet </c:v>
                      </c:pt>
                      <c:pt idx="5">
                        <c:v> General - not attributed </c:v>
                      </c:pt>
                    </c:strCache>
                  </c:strRef>
                </c:cat>
                <c:val>
                  <c:numRef>
                    <c:extLst>
                      <c:ext uri="{02D57815-91ED-43cb-92C2-25804820EDAC}">
                        <c15:formulaRef>
                          <c15:sqref>Graphs!$C$5:$C$10</c15:sqref>
                        </c15:formulaRef>
                      </c:ext>
                    </c:extLst>
                    <c:numCache>
                      <c:formatCode>"$"#,##0</c:formatCode>
                      <c:ptCount val="6"/>
                      <c:pt idx="0">
                        <c:v>225815</c:v>
                      </c:pt>
                      <c:pt idx="1">
                        <c:v>479650</c:v>
                      </c:pt>
                      <c:pt idx="2">
                        <c:v>25003</c:v>
                      </c:pt>
                      <c:pt idx="3">
                        <c:v>643676</c:v>
                      </c:pt>
                      <c:pt idx="4">
                        <c:v>187315</c:v>
                      </c:pt>
                      <c:pt idx="5">
                        <c:v>109927</c:v>
                      </c:pt>
                    </c:numCache>
                  </c:numRef>
                </c:val>
                <c:extLst>
                  <c:ext xmlns:c16="http://schemas.microsoft.com/office/drawing/2014/chart" uri="{C3380CC4-5D6E-409C-BE32-E72D297353CC}">
                    <c16:uniqueId val="{00000023-9282-4DAB-9059-7D242C65E766}"/>
                  </c:ext>
                </c:extLst>
              </c15:ser>
            </c15:filteredPieSeries>
            <c15:filteredPieSeries>
              <c15:ser>
                <c:idx val="2"/>
                <c:order val="2"/>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25-9282-4DAB-9059-7D242C65E766}"/>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27-9282-4DAB-9059-7D242C65E766}"/>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29-9282-4DAB-9059-7D242C65E766}"/>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2B-9282-4DAB-9059-7D242C65E766}"/>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2D-9282-4DAB-9059-7D242C65E766}"/>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2F-9282-4DAB-9059-7D242C65E766}"/>
                    </c:ext>
                  </c:extLst>
                </c:dPt>
                <c:cat>
                  <c:strRef>
                    <c:extLst xmlns:c15="http://schemas.microsoft.com/office/drawing/2012/chart">
                      <c:ext xmlns:c15="http://schemas.microsoft.com/office/drawing/2012/chart" uri="{02D57815-91ED-43cb-92C2-25804820EDAC}">
                        <c15:formulaRef>
                          <c15:sqref>Graphs!$A$5:$A$10</c15:sqref>
                        </c15:formulaRef>
                      </c:ext>
                    </c:extLst>
                    <c:strCache>
                      <c:ptCount val="6"/>
                      <c:pt idx="0">
                        <c:v> Grow Qld's energy sector </c:v>
                      </c:pt>
                      <c:pt idx="1">
                        <c:v> Building &amp; government accommodation services </c:v>
                      </c:pt>
                      <c:pt idx="2">
                        <c:v> Procurement policy &amp; enabling services </c:v>
                      </c:pt>
                      <c:pt idx="3">
                        <c:v> QBuild </c:v>
                      </c:pt>
                      <c:pt idx="4">
                        <c:v> QFleet </c:v>
                      </c:pt>
                      <c:pt idx="5">
                        <c:v> General - not attributed </c:v>
                      </c:pt>
                    </c:strCache>
                  </c:strRef>
                </c:cat>
                <c:val>
                  <c:numRef>
                    <c:extLst xmlns:c15="http://schemas.microsoft.com/office/drawing/2012/chart">
                      <c:ext xmlns:c15="http://schemas.microsoft.com/office/drawing/2012/chart" uri="{02D57815-91ED-43cb-92C2-25804820EDAC}">
                        <c15:formulaRef>
                          <c15:sqref>Graphs!$D$5:$D$10</c15:sqref>
                        </c15:formulaRef>
                      </c:ext>
                    </c:extLst>
                    <c:numCache>
                      <c:formatCode>0.00%</c:formatCode>
                      <c:ptCount val="6"/>
                      <c:pt idx="0">
                        <c:v>0.1351</c:v>
                      </c:pt>
                      <c:pt idx="1">
                        <c:v>0.28699999999999998</c:v>
                      </c:pt>
                      <c:pt idx="2">
                        <c:v>1.4999999999999999E-2</c:v>
                      </c:pt>
                      <c:pt idx="3">
                        <c:v>0.3851</c:v>
                      </c:pt>
                      <c:pt idx="4">
                        <c:v>0.11210000000000001</c:v>
                      </c:pt>
                      <c:pt idx="5">
                        <c:v>6.5699999999999995E-2</c:v>
                      </c:pt>
                    </c:numCache>
                  </c:numRef>
                </c:val>
                <c:extLst xmlns:c15="http://schemas.microsoft.com/office/drawing/2012/chart">
                  <c:ext xmlns:c16="http://schemas.microsoft.com/office/drawing/2014/chart" uri="{C3380CC4-5D6E-409C-BE32-E72D297353CC}">
                    <c16:uniqueId val="{00000030-9282-4DAB-9059-7D242C65E766}"/>
                  </c:ext>
                </c:extLst>
              </c15:ser>
            </c15:filteredPieSeries>
          </c:ext>
        </c:extLst>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Arial Nova" panose="020B0504020202020204" pitchFamily="34" charset="0"/>
              </a:rPr>
              <a:t>Total income </a:t>
            </a:r>
            <a:r>
              <a:rPr lang="en-US" sz="1000" b="1" baseline="0">
                <a:latin typeface="Arial Nova" panose="020B0504020202020204" pitchFamily="34" charset="0"/>
              </a:rPr>
              <a:t>by category in 2023-24</a:t>
            </a:r>
            <a:r>
              <a:rPr lang="en-US" sz="1000" b="1">
                <a:latin typeface="Arial Nova" panose="020B0504020202020204" pitchFamily="34" charset="0"/>
              </a:rPr>
              <a:t> </a:t>
            </a:r>
          </a:p>
        </c:rich>
      </c:tx>
      <c:layout>
        <c:manualLayout>
          <c:xMode val="edge"/>
          <c:yMode val="edge"/>
          <c:x val="0.14491608744346693"/>
          <c:y val="9.815213147800282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17239621162199"/>
          <c:y val="0.25476986146886271"/>
          <c:w val="0.49418515721576345"/>
          <c:h val="0.4858015927711783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CD-4113-A786-A2730B7798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CD-4113-A786-A2730B7798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CD-4113-A786-A2730B7798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CD-4113-A786-A2730B7798B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1CD-4113-A786-A2730B7798B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1CD-4113-A786-A2730B7798B4}"/>
              </c:ext>
            </c:extLst>
          </c:dPt>
          <c:dLbls>
            <c:dLbl>
              <c:idx val="0"/>
              <c:layout>
                <c:manualLayout>
                  <c:x val="0.10777375797712099"/>
                  <c:y val="5.1726518827513418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9EC7736D-6ACE-4F7A-A000-E6038B712590}" type="CATEGORYNAME">
                      <a:rPr lang="en-US" sz="800"/>
                      <a:pPr>
                        <a:defRPr sz="800">
                          <a:latin typeface="Arial Nova Light" panose="020B0304020202020204" pitchFamily="34" charset="0"/>
                        </a:defRPr>
                      </a:pPr>
                      <a:t>[CATEGORY NAME]</a:t>
                    </a:fld>
                    <a:r>
                      <a:rPr lang="en-US" sz="800" baseline="0"/>
                      <a:t> </a:t>
                    </a:r>
                    <a:fld id="{A406AE8F-4AC0-4F33-81C3-75F4D1A09037}" type="VALUE">
                      <a:rPr lang="en-US" sz="800" baseline="0"/>
                      <a:pPr>
                        <a:defRPr sz="800">
                          <a:latin typeface="Arial Nova Light" panose="020B0304020202020204" pitchFamily="34" charset="0"/>
                        </a:defRPr>
                      </a:pPr>
                      <a:t>[VALUE]</a:t>
                    </a:fld>
                    <a:r>
                      <a:rPr lang="en-US" sz="800" baseline="0"/>
                      <a:t>m </a:t>
                    </a:r>
                    <a:fld id="{23B2474B-AB85-4ABD-B61D-B947E080EA09}" type="PERCENTAGE">
                      <a:rPr lang="en-US" sz="800" baseline="0"/>
                      <a:pPr>
                        <a:defRPr sz="800">
                          <a:latin typeface="Arial Nova Light" panose="020B0304020202020204" pitchFamily="34" charset="0"/>
                        </a:defRPr>
                      </a:pPr>
                      <a:t>[PERCENTAGE]</a:t>
                    </a:fld>
                    <a:endParaRPr lang="en-US" sz="800" baseline="0"/>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6974616772252002"/>
                      <c:h val="0.13354627635360911"/>
                    </c:manualLayout>
                  </c15:layout>
                  <c15:dlblFieldTable/>
                  <c15:showDataLabelsRange val="0"/>
                </c:ext>
                <c:ext xmlns:c16="http://schemas.microsoft.com/office/drawing/2014/chart" uri="{C3380CC4-5D6E-409C-BE32-E72D297353CC}">
                  <c16:uniqueId val="{00000001-31CD-4113-A786-A2730B7798B4}"/>
                </c:ext>
              </c:extLst>
            </c:dLbl>
            <c:dLbl>
              <c:idx val="1"/>
              <c:layout>
                <c:manualLayout>
                  <c:x val="-4.2166939277517849E-2"/>
                  <c:y val="9.4570700055677248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C4EBE72A-1360-480B-9E42-3440CC6A3DFE}" type="CATEGORYNAME">
                      <a:rPr lang="en-US" sz="800">
                        <a:latin typeface="Arial Nova Light" panose="020B0304020202020204" pitchFamily="34" charset="0"/>
                      </a:rPr>
                      <a:pPr>
                        <a:defRPr sz="800">
                          <a:latin typeface="Arial Nova Light" panose="020B0304020202020204" pitchFamily="34" charset="0"/>
                        </a:defRPr>
                      </a:pPr>
                      <a:t>[CATEGORY NAME]</a:t>
                    </a:fld>
                    <a:r>
                      <a:rPr lang="en-US" sz="800" baseline="0">
                        <a:latin typeface="Arial Nova Light" panose="020B0304020202020204" pitchFamily="34" charset="0"/>
                      </a:rPr>
                      <a:t> </a:t>
                    </a:r>
                    <a:fld id="{96735BB7-0C4E-4BF7-BC2B-647EBF20A69B}" type="VALUE">
                      <a:rPr lang="en-US" sz="800" baseline="0">
                        <a:latin typeface="Arial Nova Light" panose="020B0304020202020204" pitchFamily="34" charset="0"/>
                      </a:rPr>
                      <a:pPr>
                        <a:defRPr sz="800">
                          <a:latin typeface="Arial Nova Light" panose="020B0304020202020204" pitchFamily="34" charset="0"/>
                        </a:defRPr>
                      </a:pPr>
                      <a:t>[VALUE]</a:t>
                    </a:fld>
                    <a:r>
                      <a:rPr lang="en-US" sz="800" baseline="0">
                        <a:latin typeface="Arial Nova Light" panose="020B0304020202020204" pitchFamily="34" charset="0"/>
                      </a:rPr>
                      <a:t>m </a:t>
                    </a:r>
                    <a:fld id="{20148C97-B72D-494F-98C4-AFDA031D69B9}" type="PERCENTAGE">
                      <a:rPr lang="en-US" sz="800" baseline="0">
                        <a:latin typeface="Arial Nova Light" panose="020B0304020202020204" pitchFamily="34" charset="0"/>
                      </a:rPr>
                      <a:pPr>
                        <a:defRPr sz="800">
                          <a:latin typeface="Arial Nova Light" panose="020B0304020202020204" pitchFamily="34" charset="0"/>
                        </a:defRPr>
                      </a:pPr>
                      <a:t>[PERCENTAGE]</a:t>
                    </a:fld>
                    <a:endParaRPr lang="en-US" sz="800"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5145913422073257"/>
                      <c:h val="0.12688223616717961"/>
                    </c:manualLayout>
                  </c15:layout>
                  <c15:dlblFieldTable/>
                  <c15:showDataLabelsRange val="0"/>
                </c:ext>
                <c:ext xmlns:c16="http://schemas.microsoft.com/office/drawing/2014/chart" uri="{C3380CC4-5D6E-409C-BE32-E72D297353CC}">
                  <c16:uniqueId val="{00000003-31CD-4113-A786-A2730B7798B4}"/>
                </c:ext>
              </c:extLst>
            </c:dLbl>
            <c:dLbl>
              <c:idx val="2"/>
              <c:layout>
                <c:manualLayout>
                  <c:x val="-0.18083510199012529"/>
                  <c:y val="-1.5389896374755675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2FD7920C-A58D-4689-85C1-EDA35E72B55D}" type="CATEGORYNAME">
                      <a:rPr lang="en-US" sz="800">
                        <a:latin typeface="Arial Nova Light" panose="020B0304020202020204" pitchFamily="34" charset="0"/>
                      </a:rPr>
                      <a:pPr>
                        <a:defRPr sz="800">
                          <a:latin typeface="Arial Nova Light" panose="020B0304020202020204" pitchFamily="34" charset="0"/>
                        </a:defRPr>
                      </a:pPr>
                      <a:t>[CATEGORY NAME]</a:t>
                    </a:fld>
                    <a:r>
                      <a:rPr lang="en-US" sz="800" baseline="0">
                        <a:latin typeface="Arial Nova Light" panose="020B0304020202020204" pitchFamily="34" charset="0"/>
                      </a:rPr>
                      <a:t> </a:t>
                    </a:r>
                    <a:fld id="{E23273D7-FC64-455C-8BCB-218649928479}" type="VALUE">
                      <a:rPr lang="en-US" sz="800" baseline="0">
                        <a:latin typeface="Arial Nova Light" panose="020B0304020202020204" pitchFamily="34" charset="0"/>
                      </a:rPr>
                      <a:pPr>
                        <a:defRPr sz="800">
                          <a:latin typeface="Arial Nova Light" panose="020B0304020202020204" pitchFamily="34" charset="0"/>
                        </a:defRPr>
                      </a:pPr>
                      <a:t>[VALUE]</a:t>
                    </a:fld>
                    <a:r>
                      <a:rPr lang="en-US" sz="800" baseline="0">
                        <a:latin typeface="Arial Nova Light" panose="020B0304020202020204" pitchFamily="34" charset="0"/>
                      </a:rPr>
                      <a:t>m (3.52%)</a:t>
                    </a: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34797443458860783"/>
                      <c:h val="0.10931426909681881"/>
                    </c:manualLayout>
                  </c15:layout>
                  <c15:dlblFieldTable/>
                  <c15:showDataLabelsRange val="0"/>
                </c:ext>
                <c:ext xmlns:c16="http://schemas.microsoft.com/office/drawing/2014/chart" uri="{C3380CC4-5D6E-409C-BE32-E72D297353CC}">
                  <c16:uniqueId val="{00000005-31CD-4113-A786-A2730B7798B4}"/>
                </c:ext>
              </c:extLst>
            </c:dLbl>
            <c:dLbl>
              <c:idx val="3"/>
              <c:layout>
                <c:manualLayout>
                  <c:x val="3.949968901203995E-3"/>
                  <c:y val="-9.453242202592696E-2"/>
                </c:manualLayout>
              </c:layout>
              <c:tx>
                <c:rich>
                  <a:bodyPr/>
                  <a:lstStyle/>
                  <a:p>
                    <a:fld id="{C0229D30-C510-44EE-B697-D62B1244AEFA}" type="CATEGORYNAME">
                      <a:rPr lang="en-US" sz="800"/>
                      <a:pPr/>
                      <a:t>[CATEGORY NAME]</a:t>
                    </a:fld>
                    <a:r>
                      <a:rPr lang="en-US" sz="800" baseline="0"/>
                      <a:t> </a:t>
                    </a:r>
                    <a:fld id="{56A54E5B-8F8A-41BF-9425-B4C0824763FB}" type="VALUE">
                      <a:rPr lang="en-US" sz="800" baseline="0"/>
                      <a:pPr/>
                      <a:t>[VALUE]</a:t>
                    </a:fld>
                    <a:r>
                      <a:rPr lang="en-US" sz="800" baseline="0"/>
                      <a:t>m </a:t>
                    </a:r>
                    <a:fld id="{3E5AA38D-CA1C-4DD1-93DB-018F75474615}" type="PERCENTAGE">
                      <a:rPr lang="en-US" sz="800" baseline="0"/>
                      <a:pPr/>
                      <a:t>[PERCENTAGE]</a:t>
                    </a:fld>
                    <a:endParaRPr lang="en-US" sz="800"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31CD-4113-A786-A2730B7798B4}"/>
                </c:ext>
              </c:extLst>
            </c:dLbl>
            <c:dLbl>
              <c:idx val="4"/>
              <c:layout>
                <c:manualLayout>
                  <c:x val="0.25558985372705006"/>
                  <c:y val="1.4626211807595511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DEFD8888-3633-4E33-9A67-62A51088BB82}" type="CATEGORYNAME">
                      <a:rPr lang="en-US" sz="800">
                        <a:latin typeface="Arial Nova Light" panose="020B0304020202020204" pitchFamily="34" charset="0"/>
                      </a:rPr>
                      <a:pPr>
                        <a:defRPr sz="800">
                          <a:latin typeface="Arial Nova Light" panose="020B0304020202020204" pitchFamily="34" charset="0"/>
                        </a:defRPr>
                      </a:pPr>
                      <a:t>[CATEGORY NAME]</a:t>
                    </a:fld>
                    <a:r>
                      <a:rPr lang="en-US" sz="800" baseline="0">
                        <a:latin typeface="Arial Nova Light" panose="020B0304020202020204" pitchFamily="34" charset="0"/>
                      </a:rPr>
                      <a:t> </a:t>
                    </a:r>
                    <a:fld id="{EFCB66E1-056C-4B95-8783-6D1AFA839155}" type="VALUE">
                      <a:rPr lang="en-US" sz="800" baseline="0">
                        <a:latin typeface="Arial Nova Light" panose="020B0304020202020204" pitchFamily="34" charset="0"/>
                      </a:rPr>
                      <a:pPr>
                        <a:defRPr sz="800">
                          <a:latin typeface="Arial Nova Light" panose="020B0304020202020204" pitchFamily="34" charset="0"/>
                        </a:defRPr>
                      </a:pPr>
                      <a:t>[VALUE]</a:t>
                    </a:fld>
                    <a:r>
                      <a:rPr lang="en-US" sz="800" baseline="0">
                        <a:latin typeface="Arial Nova Light" panose="020B0304020202020204" pitchFamily="34" charset="0"/>
                      </a:rPr>
                      <a:t>m </a:t>
                    </a:r>
                    <a:fld id="{F075FE25-C160-4BED-A656-FA4F7F9576AC}" type="PERCENTAGE">
                      <a:rPr lang="en-US" sz="800" baseline="0">
                        <a:latin typeface="Arial Nova Light" panose="020B0304020202020204" pitchFamily="34" charset="0"/>
                      </a:rPr>
                      <a:pPr>
                        <a:defRPr sz="800">
                          <a:latin typeface="Arial Nova Light" panose="020B0304020202020204" pitchFamily="34" charset="0"/>
                        </a:defRPr>
                      </a:pPr>
                      <a:t>[PERCENTAGE]</a:t>
                    </a:fld>
                    <a:endParaRPr lang="en-US" sz="800"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47965594737248274"/>
                      <c:h val="0.12744774194266537"/>
                    </c:manualLayout>
                  </c15:layout>
                  <c15:dlblFieldTable/>
                  <c15:showDataLabelsRange val="0"/>
                </c:ext>
                <c:ext xmlns:c16="http://schemas.microsoft.com/office/drawing/2014/chart" uri="{C3380CC4-5D6E-409C-BE32-E72D297353CC}">
                  <c16:uniqueId val="{00000009-31CD-4113-A786-A2730B7798B4}"/>
                </c:ext>
              </c:extLst>
            </c:dLbl>
            <c:dLbl>
              <c:idx val="5"/>
              <c:layout>
                <c:manualLayout>
                  <c:x val="0.25320685695538059"/>
                  <c:y val="2.9474256558984844E-3"/>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9335416666666669"/>
                      <c:h val="7.0727900439454788E-2"/>
                    </c:manualLayout>
                  </c15:layout>
                </c:ext>
                <c:ext xmlns:c16="http://schemas.microsoft.com/office/drawing/2014/chart" uri="{C3380CC4-5D6E-409C-BE32-E72D297353CC}">
                  <c16:uniqueId val="{0000000B-31CD-4113-A786-A2730B7798B4}"/>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Graphs!$A$35:$A$39</c:f>
              <c:strCache>
                <c:ptCount val="5"/>
                <c:pt idx="0">
                  <c:v> User charges and fees </c:v>
                </c:pt>
                <c:pt idx="1">
                  <c:v> Appropriation revenue  </c:v>
                </c:pt>
                <c:pt idx="2">
                  <c:v> Grants and other contributions </c:v>
                </c:pt>
                <c:pt idx="3">
                  <c:v> Other revenue </c:v>
                </c:pt>
                <c:pt idx="4">
                  <c:v> Gains on disposal/remeasurement of assets </c:v>
                </c:pt>
              </c:strCache>
            </c:strRef>
          </c:cat>
          <c:val>
            <c:numRef>
              <c:f>Graphs!$B$35:$B$39</c:f>
              <c:numCache>
                <c:formatCode>"$"#,##0.0</c:formatCode>
                <c:ptCount val="5"/>
                <c:pt idx="0">
                  <c:v>1163.231</c:v>
                </c:pt>
                <c:pt idx="1">
                  <c:v>307.94600000000003</c:v>
                </c:pt>
                <c:pt idx="2">
                  <c:v>54.826000000000001</c:v>
                </c:pt>
                <c:pt idx="3">
                  <c:v>26.876000000000001</c:v>
                </c:pt>
                <c:pt idx="4">
                  <c:v>1.831</c:v>
                </c:pt>
              </c:numCache>
            </c:numRef>
          </c:val>
          <c:extLst>
            <c:ext xmlns:c16="http://schemas.microsoft.com/office/drawing/2014/chart" uri="{C3380CC4-5D6E-409C-BE32-E72D297353CC}">
              <c16:uniqueId val="{0000000C-31CD-4113-A786-A2730B7798B4}"/>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31CD-4113-A786-A2730B7798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31CD-4113-A786-A2730B7798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31CD-4113-A786-A2730B7798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31CD-4113-A786-A2730B7798B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31CD-4113-A786-A2730B7798B4}"/>
              </c:ext>
            </c:extLst>
          </c:dPt>
          <c:cat>
            <c:strRef>
              <c:f>Graphs!$A$35:$A$39</c:f>
              <c:strCache>
                <c:ptCount val="5"/>
                <c:pt idx="0">
                  <c:v> User charges and fees </c:v>
                </c:pt>
                <c:pt idx="1">
                  <c:v> Appropriation revenue  </c:v>
                </c:pt>
                <c:pt idx="2">
                  <c:v> Grants and other contributions </c:v>
                </c:pt>
                <c:pt idx="3">
                  <c:v> Other revenue </c:v>
                </c:pt>
                <c:pt idx="4">
                  <c:v> Gains on disposal/remeasurement of assets </c:v>
                </c:pt>
              </c:strCache>
            </c:strRef>
          </c:cat>
          <c:val>
            <c:numRef>
              <c:f>Graphs!$C$35:$C$39</c:f>
              <c:numCache>
                <c:formatCode>#,##0</c:formatCode>
                <c:ptCount val="5"/>
                <c:pt idx="0">
                  <c:v>1163231</c:v>
                </c:pt>
                <c:pt idx="1">
                  <c:v>307946</c:v>
                </c:pt>
                <c:pt idx="2">
                  <c:v>54826</c:v>
                </c:pt>
                <c:pt idx="3">
                  <c:v>26876</c:v>
                </c:pt>
                <c:pt idx="4">
                  <c:v>1831</c:v>
                </c:pt>
              </c:numCache>
            </c:numRef>
          </c:val>
          <c:extLst>
            <c:ext xmlns:c16="http://schemas.microsoft.com/office/drawing/2014/chart" uri="{C3380CC4-5D6E-409C-BE32-E72D297353CC}">
              <c16:uniqueId val="{00000017-31CD-4113-A786-A2730B7798B4}"/>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19-31CD-4113-A786-A2730B7798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B-31CD-4113-A786-A2730B7798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D-31CD-4113-A786-A2730B7798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F-31CD-4113-A786-A2730B7798B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1-31CD-4113-A786-A2730B7798B4}"/>
              </c:ext>
            </c:extLst>
          </c:dPt>
          <c:cat>
            <c:strRef>
              <c:f>Graphs!$A$35:$A$39</c:f>
              <c:strCache>
                <c:ptCount val="5"/>
                <c:pt idx="0">
                  <c:v> User charges and fees </c:v>
                </c:pt>
                <c:pt idx="1">
                  <c:v> Appropriation revenue  </c:v>
                </c:pt>
                <c:pt idx="2">
                  <c:v> Grants and other contributions </c:v>
                </c:pt>
                <c:pt idx="3">
                  <c:v> Other revenue </c:v>
                </c:pt>
                <c:pt idx="4">
                  <c:v> Gains on disposal/remeasurement of assets </c:v>
                </c:pt>
              </c:strCache>
            </c:strRef>
          </c:cat>
          <c:val>
            <c:numRef>
              <c:f>Graphs!$D$35:$D$39</c:f>
              <c:numCache>
                <c:formatCode>0.00%</c:formatCode>
                <c:ptCount val="5"/>
                <c:pt idx="0">
                  <c:v>0.74819805622913593</c:v>
                </c:pt>
                <c:pt idx="1">
                  <c:v>0.19807295251204404</c:v>
                </c:pt>
                <c:pt idx="2">
                  <c:v>3.5264454464176601E-2</c:v>
                </c:pt>
                <c:pt idx="3">
                  <c:v>1.728682519569566E-2</c:v>
                </c:pt>
                <c:pt idx="4">
                  <c:v>1.1777115989477138E-3</c:v>
                </c:pt>
              </c:numCache>
            </c:numRef>
          </c:val>
          <c:extLst>
            <c:ext xmlns:c16="http://schemas.microsoft.com/office/drawing/2014/chart" uri="{C3380CC4-5D6E-409C-BE32-E72D297353CC}">
              <c16:uniqueId val="{00000022-31CD-4113-A786-A2730B7798B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ova Light" panose="020B0304020202020204" pitchFamily="34" charset="0"/>
                <a:ea typeface="+mn-ea"/>
                <a:cs typeface="+mn-cs"/>
              </a:defRPr>
            </a:pPr>
            <a:r>
              <a:rPr lang="en-AU" sz="1000" b="1">
                <a:latin typeface="Arial Nova Light" panose="020B0304020202020204" pitchFamily="34" charset="0"/>
              </a:rPr>
              <a:t>Total expenses by category in </a:t>
            </a:r>
          </a:p>
          <a:p>
            <a:pPr>
              <a:defRPr sz="1000">
                <a:latin typeface="Arial Nova Light" panose="020B0304020202020204" pitchFamily="34" charset="0"/>
              </a:defRPr>
            </a:pPr>
            <a:r>
              <a:rPr lang="en-AU" sz="1000" b="1">
                <a:latin typeface="Arial Nova Light" panose="020B0304020202020204" pitchFamily="34" charset="0"/>
              </a:rPr>
              <a:t>2023-24</a:t>
            </a:r>
          </a:p>
        </c:rich>
      </c:tx>
      <c:layout>
        <c:manualLayout>
          <c:xMode val="edge"/>
          <c:yMode val="edge"/>
          <c:x val="0.20143317565021049"/>
          <c:y val="2.611608117820370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ova Light" panose="020B0304020202020204" pitchFamily="34" charset="0"/>
              <a:ea typeface="+mn-ea"/>
              <a:cs typeface="+mn-cs"/>
            </a:defRPr>
          </a:pPr>
          <a:endParaRPr lang="en-US"/>
        </a:p>
      </c:txPr>
    </c:title>
    <c:autoTitleDeleted val="0"/>
    <c:plotArea>
      <c:layout>
        <c:manualLayout>
          <c:layoutTarget val="inner"/>
          <c:xMode val="edge"/>
          <c:yMode val="edge"/>
          <c:x val="0.2204416301563249"/>
          <c:y val="0.26709695721320342"/>
          <c:w val="0.60971522597455718"/>
          <c:h val="0.5762795432493463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581-4579-8F39-D10630DEE6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581-4579-8F39-D10630DEE6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581-4579-8F39-D10630DEE6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81-4579-8F39-D10630DEE6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581-4579-8F39-D10630DEE6E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581-4579-8F39-D10630DEE6E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581-4579-8F39-D10630DEE6E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581-4579-8F39-D10630DEE6EE}"/>
              </c:ext>
            </c:extLst>
          </c:dPt>
          <c:dLbls>
            <c:dLbl>
              <c:idx val="0"/>
              <c:layout>
                <c:manualLayout>
                  <c:x val="-4.3314637563803382E-2"/>
                  <c:y val="0.2191340332650552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3E30B563-D1F6-48D2-B1DF-3DC364AD657D}" type="CATEGORYNAME">
                      <a:rPr lang="en-US" sz="800" baseline="0">
                        <a:latin typeface="Arial Nova Light" panose="020B0304020202020204" pitchFamily="34" charset="0"/>
                      </a:rPr>
                      <a:pPr>
                        <a:defRPr sz="800">
                          <a:latin typeface="Arial Nova Light" panose="020B0304020202020204" pitchFamily="34" charset="0"/>
                        </a:defRPr>
                      </a:pPr>
                      <a:t>[CATEGORY NAME]</a:t>
                    </a:fld>
                    <a:r>
                      <a:rPr lang="en-US" sz="800" baseline="0">
                        <a:latin typeface="Arial Nova Light" panose="020B0304020202020204" pitchFamily="34" charset="0"/>
                      </a:rPr>
                      <a:t> </a:t>
                    </a:r>
                    <a:fld id="{CD626059-D966-4FF9-97B7-060261F61DB0}" type="VALUE">
                      <a:rPr lang="en-US" sz="800" baseline="0">
                        <a:latin typeface="Arial Nova Light" panose="020B0304020202020204" pitchFamily="34" charset="0"/>
                      </a:rPr>
                      <a:pPr>
                        <a:defRPr sz="800">
                          <a:latin typeface="Arial Nova Light" panose="020B0304020202020204" pitchFamily="34" charset="0"/>
                        </a:defRPr>
                      </a:pPr>
                      <a:t>[VALUE]</a:t>
                    </a:fld>
                    <a:r>
                      <a:rPr lang="en-US" sz="800" baseline="0">
                        <a:latin typeface="Arial Nova Light" panose="020B0304020202020204" pitchFamily="34" charset="0"/>
                      </a:rPr>
                      <a:t>m </a:t>
                    </a:r>
                    <a:fld id="{A70637E5-4C4A-4938-BEE4-793863FA4CB0}" type="PERCENTAGE">
                      <a:rPr lang="en-US" sz="800" baseline="0">
                        <a:latin typeface="Arial Nova Light" panose="020B0304020202020204" pitchFamily="34" charset="0"/>
                      </a:rPr>
                      <a:pPr>
                        <a:defRPr sz="800">
                          <a:latin typeface="Arial Nova Light" panose="020B0304020202020204" pitchFamily="34" charset="0"/>
                        </a:defRPr>
                      </a:pPr>
                      <a:t>[PERCENTAGE]</a:t>
                    </a:fld>
                    <a:endParaRPr lang="en-US" sz="800"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4897963659834996"/>
                      <c:h val="0.13574398132154811"/>
                    </c:manualLayout>
                  </c15:layout>
                  <c15:dlblFieldTable/>
                  <c15:showDataLabelsRange val="0"/>
                </c:ext>
                <c:ext xmlns:c16="http://schemas.microsoft.com/office/drawing/2014/chart" uri="{C3380CC4-5D6E-409C-BE32-E72D297353CC}">
                  <c16:uniqueId val="{00000001-D581-4579-8F39-D10630DEE6EE}"/>
                </c:ext>
              </c:extLst>
            </c:dLbl>
            <c:dLbl>
              <c:idx val="1"/>
              <c:layout>
                <c:manualLayout>
                  <c:x val="-3.9022458165579983E-2"/>
                  <c:y val="-2.1975954980013836E-2"/>
                </c:manualLayout>
              </c:layout>
              <c:tx>
                <c:rich>
                  <a:bodyPr/>
                  <a:lstStyle/>
                  <a:p>
                    <a:fld id="{5602E7A6-1628-4FE7-87F1-1F8A53DF2FB0}" type="CATEGORYNAME">
                      <a:rPr lang="en-US" sz="800"/>
                      <a:pPr/>
                      <a:t>[CATEGORY NAME]</a:t>
                    </a:fld>
                    <a:r>
                      <a:rPr lang="en-US" sz="800" baseline="0"/>
                      <a:t> </a:t>
                    </a:r>
                    <a:fld id="{5AE2BA92-911C-485E-8C28-8AA46A61ABBF}" type="VALUE">
                      <a:rPr lang="en-US" sz="800" baseline="0"/>
                      <a:pPr/>
                      <a:t>[VALUE]</a:t>
                    </a:fld>
                    <a:r>
                      <a:rPr lang="en-US" sz="800" baseline="0"/>
                      <a:t>m </a:t>
                    </a:r>
                    <a:fld id="{BC028248-B7FB-4A8C-90E3-864D28680846}" type="PERCENTAGE">
                      <a:rPr lang="en-US" sz="800" baseline="0"/>
                      <a:pPr/>
                      <a:t>[PERCENTAGE]</a:t>
                    </a:fld>
                    <a:endParaRPr lang="en-US" sz="800"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2244911239695986"/>
                      <c:h val="0.13409851745576279"/>
                    </c:manualLayout>
                  </c15:layout>
                  <c15:dlblFieldTable/>
                  <c15:showDataLabelsRange val="0"/>
                </c:ext>
                <c:ext xmlns:c16="http://schemas.microsoft.com/office/drawing/2014/chart" uri="{C3380CC4-5D6E-409C-BE32-E72D297353CC}">
                  <c16:uniqueId val="{00000003-D581-4579-8F39-D10630DEE6EE}"/>
                </c:ext>
              </c:extLst>
            </c:dLbl>
            <c:dLbl>
              <c:idx val="2"/>
              <c:layout>
                <c:manualLayout>
                  <c:x val="1.4750872514109209E-7"/>
                  <c:y val="6.6227500684955892E-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5CE29744-0F57-442D-B617-ED305505F189}" type="CATEGORYNAME">
                      <a:rPr lang="en-US" sz="800">
                        <a:latin typeface="Arial Nova Light" panose="020B0304020202020204" pitchFamily="34" charset="0"/>
                      </a:rPr>
                      <a:pPr>
                        <a:defRPr sz="800">
                          <a:latin typeface="Arial Nova Light" panose="020B0304020202020204" pitchFamily="34" charset="0"/>
                        </a:defRPr>
                      </a:pPr>
                      <a:t>[CATEGORY NAME]</a:t>
                    </a:fld>
                    <a:r>
                      <a:rPr lang="en-US" sz="800" baseline="0">
                        <a:latin typeface="Arial Nova Light" panose="020B0304020202020204" pitchFamily="34" charset="0"/>
                      </a:rPr>
                      <a:t> </a:t>
                    </a:r>
                    <a:fld id="{2A860988-2C48-45BB-B0D8-25F322BF960E}" type="VALUE">
                      <a:rPr lang="en-US" sz="800" baseline="0">
                        <a:latin typeface="Arial Nova Light" panose="020B0304020202020204" pitchFamily="34" charset="0"/>
                      </a:rPr>
                      <a:pPr>
                        <a:defRPr sz="800">
                          <a:latin typeface="Arial Nova Light" panose="020B0304020202020204" pitchFamily="34" charset="0"/>
                        </a:defRPr>
                      </a:pPr>
                      <a:t>[VALUE]</a:t>
                    </a:fld>
                    <a:r>
                      <a:rPr lang="en-US" sz="800" baseline="0">
                        <a:latin typeface="Arial Nova Light" panose="020B0304020202020204" pitchFamily="34" charset="0"/>
                      </a:rPr>
                      <a:t>m </a:t>
                    </a:r>
                    <a:fld id="{AE365A04-0F02-40C2-B4E6-9C2F508D544D}" type="PERCENTAGE">
                      <a:rPr lang="en-US" sz="800" baseline="0">
                        <a:latin typeface="Arial Nova Light" panose="020B0304020202020204" pitchFamily="34" charset="0"/>
                      </a:rPr>
                      <a:pPr>
                        <a:defRPr sz="800">
                          <a:latin typeface="Arial Nova Light" panose="020B0304020202020204" pitchFamily="34" charset="0"/>
                        </a:defRPr>
                      </a:pPr>
                      <a:t>[PERCENTAGE]</a:t>
                    </a:fld>
                    <a:endParaRPr lang="en-US" sz="800"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3356705977363687"/>
                      <c:h val="0.12431000820735189"/>
                    </c:manualLayout>
                  </c15:layout>
                  <c15:dlblFieldTable/>
                  <c15:showDataLabelsRange val="0"/>
                </c:ext>
                <c:ext xmlns:c16="http://schemas.microsoft.com/office/drawing/2014/chart" uri="{C3380CC4-5D6E-409C-BE32-E72D297353CC}">
                  <c16:uniqueId val="{00000005-D581-4579-8F39-D10630DEE6EE}"/>
                </c:ext>
              </c:extLst>
            </c:dLbl>
            <c:dLbl>
              <c:idx val="3"/>
              <c:layout>
                <c:manualLayout>
                  <c:x val="-0.17920108853281"/>
                  <c:y val="2.0678407240033812E-3"/>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fld id="{482236E5-DF7D-499D-A27E-4E718F1D1F16}" type="CATEGORYNAME">
                      <a:rPr lang="en-US" sz="800" baseline="0">
                        <a:latin typeface="Arial Nova Light" panose="020B0304020202020204" pitchFamily="34" charset="0"/>
                      </a:rPr>
                      <a:pPr>
                        <a:defRPr sz="800">
                          <a:latin typeface="Arial Nova Light" panose="020B0304020202020204" pitchFamily="34" charset="0"/>
                        </a:defRPr>
                      </a:pPr>
                      <a:t>[CATEGORY NAME]</a:t>
                    </a:fld>
                    <a:r>
                      <a:rPr lang="en-US" sz="800" baseline="0">
                        <a:latin typeface="Arial Nova Light" panose="020B0304020202020204" pitchFamily="34" charset="0"/>
                      </a:rPr>
                      <a:t> </a:t>
                    </a:r>
                    <a:fld id="{4FD0507C-1D71-426D-AD6D-FDF5B33EC45A}" type="VALUE">
                      <a:rPr lang="en-US" sz="800" baseline="0">
                        <a:latin typeface="Arial Nova Light" panose="020B0304020202020204" pitchFamily="34" charset="0"/>
                      </a:rPr>
                      <a:pPr>
                        <a:defRPr sz="800">
                          <a:latin typeface="Arial Nova Light" panose="020B0304020202020204" pitchFamily="34" charset="0"/>
                        </a:defRPr>
                      </a:pPr>
                      <a:t>[VALUE]</a:t>
                    </a:fld>
                    <a:r>
                      <a:rPr lang="en-US" sz="800" baseline="0">
                        <a:latin typeface="Arial Nova Light" panose="020B0304020202020204" pitchFamily="34" charset="0"/>
                      </a:rPr>
                      <a:t>m </a:t>
                    </a:r>
                    <a:fld id="{9BA26AC3-F19F-4A94-B1BD-D0C9E1D65248}" type="PERCENTAGE">
                      <a:rPr lang="en-US" sz="800" baseline="0">
                        <a:latin typeface="Arial Nova Light" panose="020B0304020202020204" pitchFamily="34" charset="0"/>
                      </a:rPr>
                      <a:pPr>
                        <a:defRPr sz="800">
                          <a:latin typeface="Arial Nova Light" panose="020B0304020202020204" pitchFamily="34" charset="0"/>
                        </a:defRPr>
                      </a:pPr>
                      <a:t>[PERCENTAGE]</a:t>
                    </a:fld>
                    <a:endParaRPr lang="en-US" sz="800"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3623707900022248"/>
                      <c:h val="0.1314249864001493"/>
                    </c:manualLayout>
                  </c15:layout>
                  <c15:dlblFieldTable/>
                  <c15:showDataLabelsRange val="0"/>
                </c:ext>
                <c:ext xmlns:c16="http://schemas.microsoft.com/office/drawing/2014/chart" uri="{C3380CC4-5D6E-409C-BE32-E72D297353CC}">
                  <c16:uniqueId val="{00000007-D581-4579-8F39-D10630DEE6EE}"/>
                </c:ext>
              </c:extLst>
            </c:dLbl>
            <c:dLbl>
              <c:idx val="4"/>
              <c:layout>
                <c:manualLayout>
                  <c:x val="6.5988826605587955E-2"/>
                  <c:y val="-3.1373664335830963E-2"/>
                </c:manualLayout>
              </c:layout>
              <c:tx>
                <c:rich>
                  <a:bodyPr/>
                  <a:lstStyle/>
                  <a:p>
                    <a:fld id="{DDE87057-E81D-492D-A47C-AF13EA341463}" type="CATEGORYNAME">
                      <a:rPr lang="en-US" sz="800" baseline="0"/>
                      <a:pPr/>
                      <a:t>[CATEGORY NAME]</a:t>
                    </a:fld>
                    <a:r>
                      <a:rPr lang="en-US" sz="800" baseline="0"/>
                      <a:t> </a:t>
                    </a:r>
                    <a:fld id="{DABCD146-0F88-457F-86C7-0D44B24906CD}" type="VALUE">
                      <a:rPr lang="en-US" sz="800" baseline="0"/>
                      <a:pPr/>
                      <a:t>[VALUE]</a:t>
                    </a:fld>
                    <a:r>
                      <a:rPr lang="en-US" sz="800" baseline="0"/>
                      <a:t>m </a:t>
                    </a:r>
                    <a:fld id="{CA1156EB-3C6D-4795-9914-80F3C0D8ACDD}" type="PERCENTAGE">
                      <a:rPr lang="en-US" sz="800" baseline="0"/>
                      <a:pPr/>
                      <a:t>[PERCENTAGE]</a:t>
                    </a:fld>
                    <a:endParaRPr lang="en-US" sz="800"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6493390761918906"/>
                      <c:h val="0.13798820341144588"/>
                    </c:manualLayout>
                  </c15:layout>
                  <c15:dlblFieldTable/>
                  <c15:showDataLabelsRange val="0"/>
                </c:ext>
                <c:ext xmlns:c16="http://schemas.microsoft.com/office/drawing/2014/chart" uri="{C3380CC4-5D6E-409C-BE32-E72D297353CC}">
                  <c16:uniqueId val="{00000009-D581-4579-8F39-D10630DEE6EE}"/>
                </c:ext>
              </c:extLst>
            </c:dLbl>
            <c:dLbl>
              <c:idx val="5"/>
              <c:layout>
                <c:manualLayout>
                  <c:x val="0.20232301279082196"/>
                  <c:y val="-2.7433563867483513E-2"/>
                </c:manualLayout>
              </c:layout>
              <c:tx>
                <c:rich>
                  <a:bodyPr/>
                  <a:lstStyle/>
                  <a:p>
                    <a:fld id="{71F5F4F7-1C2E-4A45-8821-4DF66994F524}" type="CATEGORYNAME">
                      <a:rPr lang="en-US" sz="800"/>
                      <a:pPr/>
                      <a:t>[CATEGORY NAME]</a:t>
                    </a:fld>
                    <a:r>
                      <a:rPr lang="en-US" sz="800" baseline="0"/>
                      <a:t> </a:t>
                    </a:r>
                    <a:fld id="{C7254C97-C796-425D-BDE5-00203174605B}" type="VALUE">
                      <a:rPr lang="en-US" sz="800" baseline="0"/>
                      <a:pPr/>
                      <a:t>[VALUE]</a:t>
                    </a:fld>
                    <a:r>
                      <a:rPr lang="en-US" sz="800" baseline="0"/>
                      <a:t>m </a:t>
                    </a:r>
                    <a:fld id="{B9CEFC50-9D19-47B6-AAA1-79D4A55E7CA0}" type="PERCENTAGE">
                      <a:rPr lang="en-US" sz="800" baseline="0"/>
                      <a:pPr/>
                      <a:t>[PERCENTAGE]</a:t>
                    </a:fld>
                    <a:endParaRPr lang="en-US" sz="800"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D581-4579-8F39-D10630DEE6EE}"/>
                </c:ext>
              </c:extLst>
            </c:dLbl>
            <c:dLbl>
              <c:idx val="6"/>
              <c:layout>
                <c:manualLayout>
                  <c:x val="-8.156385238124414E-2"/>
                  <c:y val="-1.1845435181121354E-3"/>
                </c:manualLayout>
              </c:layout>
              <c:showLegendKey val="0"/>
              <c:showVal val="1"/>
              <c:showCatName val="1"/>
              <c:showSerName val="0"/>
              <c:showPercent val="1"/>
              <c:showBubbleSize val="0"/>
              <c:separator> </c:separator>
              <c:extLst>
                <c:ext xmlns:c15="http://schemas.microsoft.com/office/drawing/2012/chart" uri="{CE6537A1-D6FC-4f65-9D91-7224C49458BB}">
                  <c15:layout>
                    <c:manualLayout>
                      <c:w val="0.23984421339347728"/>
                      <c:h val="6.5446588333565481E-2"/>
                    </c:manualLayout>
                  </c15:layout>
                </c:ext>
                <c:ext xmlns:c16="http://schemas.microsoft.com/office/drawing/2014/chart" uri="{C3380CC4-5D6E-409C-BE32-E72D297353CC}">
                  <c16:uniqueId val="{0000000D-D581-4579-8F39-D10630DEE6EE}"/>
                </c:ext>
              </c:extLst>
            </c:dLbl>
            <c:dLbl>
              <c:idx val="7"/>
              <c:layout>
                <c:manualLayout>
                  <c:x val="0.12321865306609402"/>
                  <c:y val="-1.270135350728217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D581-4579-8F39-D10630DEE6E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Graphs!$A$45:$A$50</c:f>
              <c:strCache>
                <c:ptCount val="6"/>
                <c:pt idx="0">
                  <c:v> Supplies and services </c:v>
                </c:pt>
                <c:pt idx="1">
                  <c:v> Depreciation and amortisation </c:v>
                </c:pt>
                <c:pt idx="2">
                  <c:v> Employee expenses </c:v>
                </c:pt>
                <c:pt idx="3">
                  <c:v> Finance/borrowing costs </c:v>
                </c:pt>
                <c:pt idx="4">
                  <c:v> Grants and subsidies </c:v>
                </c:pt>
                <c:pt idx="5">
                  <c:v> Other expenses </c:v>
                </c:pt>
              </c:strCache>
            </c:strRef>
          </c:cat>
          <c:val>
            <c:numRef>
              <c:f>Graphs!$B$45:$B$50</c:f>
              <c:numCache>
                <c:formatCode>"$"#,##0.0</c:formatCode>
                <c:ptCount val="6"/>
                <c:pt idx="0">
                  <c:v>739.11800000000005</c:v>
                </c:pt>
                <c:pt idx="1">
                  <c:v>306.58199999999999</c:v>
                </c:pt>
                <c:pt idx="2">
                  <c:v>214.899</c:v>
                </c:pt>
                <c:pt idx="3">
                  <c:v>30.434999999999999</c:v>
                </c:pt>
                <c:pt idx="4">
                  <c:v>200.06100000000001</c:v>
                </c:pt>
                <c:pt idx="5">
                  <c:v>14.821</c:v>
                </c:pt>
              </c:numCache>
            </c:numRef>
          </c:val>
          <c:extLst>
            <c:ext xmlns:c16="http://schemas.microsoft.com/office/drawing/2014/chart" uri="{C3380CC4-5D6E-409C-BE32-E72D297353CC}">
              <c16:uniqueId val="{00000010-D581-4579-8F39-D10630DEE6EE}"/>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2-D581-4579-8F39-D10630DEE6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D581-4579-8F39-D10630DEE6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D581-4579-8F39-D10630DEE6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D581-4579-8F39-D10630DEE6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D581-4579-8F39-D10630DEE6E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D581-4579-8F39-D10630DEE6EE}"/>
              </c:ext>
            </c:extLst>
          </c:dPt>
          <c:cat>
            <c:strRef>
              <c:f>Graphs!$A$45:$A$50</c:f>
              <c:strCache>
                <c:ptCount val="6"/>
                <c:pt idx="0">
                  <c:v> Supplies and services </c:v>
                </c:pt>
                <c:pt idx="1">
                  <c:v> Depreciation and amortisation </c:v>
                </c:pt>
                <c:pt idx="2">
                  <c:v> Employee expenses </c:v>
                </c:pt>
                <c:pt idx="3">
                  <c:v> Finance/borrowing costs </c:v>
                </c:pt>
                <c:pt idx="4">
                  <c:v> Grants and subsidies </c:v>
                </c:pt>
                <c:pt idx="5">
                  <c:v> Other expenses </c:v>
                </c:pt>
              </c:strCache>
            </c:strRef>
          </c:cat>
          <c:val>
            <c:numRef>
              <c:f>Graphs!$C$45:$C$50</c:f>
              <c:numCache>
                <c:formatCode>#,##0</c:formatCode>
                <c:ptCount val="6"/>
                <c:pt idx="0">
                  <c:v>739118</c:v>
                </c:pt>
                <c:pt idx="1">
                  <c:v>306582</c:v>
                </c:pt>
                <c:pt idx="2">
                  <c:v>214899</c:v>
                </c:pt>
                <c:pt idx="3">
                  <c:v>30435</c:v>
                </c:pt>
                <c:pt idx="4">
                  <c:v>200061</c:v>
                </c:pt>
                <c:pt idx="5">
                  <c:v>14821</c:v>
                </c:pt>
              </c:numCache>
            </c:numRef>
          </c:val>
          <c:extLst>
            <c:ext xmlns:c16="http://schemas.microsoft.com/office/drawing/2014/chart" uri="{C3380CC4-5D6E-409C-BE32-E72D297353CC}">
              <c16:uniqueId val="{0000001D-D581-4579-8F39-D10630DEE6EE}"/>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1F-D581-4579-8F39-D10630DEE6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1-D581-4579-8F39-D10630DEE6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3-D581-4579-8F39-D10630DEE6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5-D581-4579-8F39-D10630DEE6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7-D581-4579-8F39-D10630DEE6E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9-D581-4579-8F39-D10630DEE6EE}"/>
              </c:ext>
            </c:extLst>
          </c:dPt>
          <c:cat>
            <c:strRef>
              <c:f>Graphs!$A$45:$A$50</c:f>
              <c:strCache>
                <c:ptCount val="6"/>
                <c:pt idx="0">
                  <c:v> Supplies and services </c:v>
                </c:pt>
                <c:pt idx="1">
                  <c:v> Depreciation and amortisation </c:v>
                </c:pt>
                <c:pt idx="2">
                  <c:v> Employee expenses </c:v>
                </c:pt>
                <c:pt idx="3">
                  <c:v> Finance/borrowing costs </c:v>
                </c:pt>
                <c:pt idx="4">
                  <c:v> Grants and subsidies </c:v>
                </c:pt>
                <c:pt idx="5">
                  <c:v> Other expenses </c:v>
                </c:pt>
              </c:strCache>
            </c:strRef>
          </c:cat>
          <c:val>
            <c:numRef>
              <c:f>Graphs!$D$45:$D$50</c:f>
              <c:numCache>
                <c:formatCode>0.00%</c:formatCode>
                <c:ptCount val="6"/>
                <c:pt idx="0">
                  <c:v>0.49080958034843908</c:v>
                </c:pt>
                <c:pt idx="1">
                  <c:v>0.20358506052130398</c:v>
                </c:pt>
                <c:pt idx="2">
                  <c:v>0.14270317866335175</c:v>
                </c:pt>
                <c:pt idx="3">
                  <c:v>2.0210290613819099E-2</c:v>
                </c:pt>
                <c:pt idx="4">
                  <c:v>0.13285003944443116</c:v>
                </c:pt>
                <c:pt idx="5">
                  <c:v>9.841850408654932E-3</c:v>
                </c:pt>
              </c:numCache>
            </c:numRef>
          </c:val>
          <c:extLst>
            <c:ext xmlns:c16="http://schemas.microsoft.com/office/drawing/2014/chart" uri="{C3380CC4-5D6E-409C-BE32-E72D297353CC}">
              <c16:uniqueId val="{0000002A-D581-4579-8F39-D10630DEE6E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ln>
                  <a:noFill/>
                </a:ln>
                <a:solidFill>
                  <a:schemeClr val="tx1">
                    <a:lumMod val="65000"/>
                    <a:lumOff val="35000"/>
                  </a:schemeClr>
                </a:solidFill>
                <a:latin typeface="Arial Nova Light" panose="020B0304020202020204" pitchFamily="34" charset="0"/>
                <a:ea typeface="+mn-ea"/>
                <a:cs typeface="+mn-cs"/>
              </a:defRPr>
            </a:pPr>
            <a:r>
              <a:rPr lang="en-AU" sz="1000" b="1">
                <a:ln>
                  <a:noFill/>
                </a:ln>
                <a:latin typeface="Arial Nova Light" panose="020B0304020202020204" pitchFamily="34" charset="0"/>
              </a:rPr>
              <a:t>Total expenses by Major Departmental Services and Commercialised Business Units in 2023-24</a:t>
            </a:r>
            <a:endParaRPr lang="en-AU" sz="1000" b="1" baseline="30000">
              <a:ln>
                <a:noFill/>
              </a:ln>
              <a:latin typeface="Arial Nova Light" panose="020B0304020202020204" pitchFamily="34" charset="0"/>
            </a:endParaRPr>
          </a:p>
        </c:rich>
      </c:tx>
      <c:layout>
        <c:manualLayout>
          <c:xMode val="edge"/>
          <c:yMode val="edge"/>
          <c:x val="0.11625537147574246"/>
          <c:y val="2.2361112089287493E-2"/>
        </c:manualLayout>
      </c:layout>
      <c:overlay val="0"/>
      <c:spPr>
        <a:noFill/>
        <a:ln>
          <a:noFill/>
        </a:ln>
        <a:effectLst/>
      </c:spPr>
      <c:txPr>
        <a:bodyPr rot="0" spcFirstLastPara="1" vertOverflow="ellipsis" vert="horz" wrap="square" anchor="ctr" anchorCtr="1"/>
        <a:lstStyle/>
        <a:p>
          <a:pPr>
            <a:defRPr sz="1000" b="1" i="0" u="none" strike="noStrike" kern="1200" spc="0" baseline="0">
              <a:ln>
                <a:noFill/>
              </a:ln>
              <a:solidFill>
                <a:schemeClr val="tx1">
                  <a:lumMod val="65000"/>
                  <a:lumOff val="35000"/>
                </a:schemeClr>
              </a:solidFill>
              <a:latin typeface="Arial Nova Light" panose="020B0304020202020204" pitchFamily="34" charset="0"/>
              <a:ea typeface="+mn-ea"/>
              <a:cs typeface="+mn-cs"/>
            </a:defRPr>
          </a:pPr>
          <a:endParaRPr lang="en-US"/>
        </a:p>
      </c:txPr>
    </c:title>
    <c:autoTitleDeleted val="0"/>
    <c:plotArea>
      <c:layout>
        <c:manualLayout>
          <c:layoutTarget val="inner"/>
          <c:xMode val="edge"/>
          <c:yMode val="edge"/>
          <c:x val="0.25256018228964955"/>
          <c:y val="0.24569174020207052"/>
          <c:w val="0.47432465083693925"/>
          <c:h val="0.630858269254128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EEB-4FE9-B7CC-A34AAE968B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EEB-4FE9-B7CC-A34AAE968B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EEB-4FE9-B7CC-A34AAE968B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EEB-4FE9-B7CC-A34AAE968B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EEB-4FE9-B7CC-A34AAE968B4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EEB-4FE9-B7CC-A34AAE968B4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EEB-4FE9-B7CC-A34AAE968B4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EEB-4FE9-B7CC-A34AAE968B4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EEB-4FE9-B7CC-A34AAE968B4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EEB-4FE9-B7CC-A34AAE968B41}"/>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EEB-4FE9-B7CC-A34AAE968B41}"/>
              </c:ext>
            </c:extLst>
          </c:dPt>
          <c:dLbls>
            <c:dLbl>
              <c:idx val="0"/>
              <c:layout>
                <c:manualLayout>
                  <c:x val="0.11090567338320713"/>
                  <c:y val="-3.2024325484168677E-2"/>
                </c:manualLayout>
              </c:layout>
              <c:tx>
                <c:rich>
                  <a:bodyPr rot="0" spcFirstLastPara="1" vertOverflow="ellipsis" vert="horz" wrap="square" lIns="38100" tIns="19050" rIns="38100" bIns="19050" anchor="ctr" anchorCtr="1">
                    <a:noAutofit/>
                  </a:bodyPr>
                  <a:lstStyle/>
                  <a:p>
                    <a:pPr>
                      <a:defRPr sz="800" b="0" i="0" u="none" strike="noStrike" kern="1200" baseline="0">
                        <a:ln>
                          <a:noFill/>
                        </a:ln>
                        <a:solidFill>
                          <a:schemeClr val="tx1">
                            <a:lumMod val="75000"/>
                            <a:lumOff val="25000"/>
                          </a:schemeClr>
                        </a:solidFill>
                        <a:latin typeface="Arial Nova Light" panose="020B0304020202020204" pitchFamily="34" charset="0"/>
                        <a:ea typeface="+mn-ea"/>
                        <a:cs typeface="+mn-cs"/>
                      </a:defRPr>
                    </a:pPr>
                    <a:fld id="{E652EB7C-912C-4DC8-A359-4028D0A83C1E}" type="CATEGORYNAME">
                      <a:rPr lang="en-US" baseline="0">
                        <a:latin typeface="Arial Nova Light" panose="020B0304020202020204" pitchFamily="34" charset="0"/>
                      </a:rPr>
                      <a:pPr>
                        <a:defRPr sz="800">
                          <a:ln>
                            <a:noFill/>
                          </a:ln>
                          <a:latin typeface="Arial Nova Light" panose="020B0304020202020204" pitchFamily="34" charset="0"/>
                        </a:defRPr>
                      </a:pPr>
                      <a:t>[CATEGORY NAME]</a:t>
                    </a:fld>
                    <a:r>
                      <a:rPr lang="en-US" baseline="0">
                        <a:latin typeface="Arial Nova Light" panose="020B0304020202020204" pitchFamily="34" charset="0"/>
                      </a:rPr>
                      <a:t> </a:t>
                    </a:r>
                    <a:fld id="{FD183098-97DF-46F3-A9AD-A7760B05BB55}" type="VALUE">
                      <a:rPr lang="en-US" baseline="0">
                        <a:latin typeface="Arial Nova Light" panose="020B0304020202020204" pitchFamily="34" charset="0"/>
                      </a:rPr>
                      <a:pPr>
                        <a:defRPr sz="800">
                          <a:ln>
                            <a:noFill/>
                          </a:ln>
                          <a:latin typeface="Arial Nova Light" panose="020B0304020202020204" pitchFamily="34" charset="0"/>
                        </a:defRPr>
                      </a:pPr>
                      <a:t>[VALUE]</a:t>
                    </a:fld>
                    <a:r>
                      <a:rPr lang="en-US" baseline="0">
                        <a:latin typeface="Arial Nova Light" panose="020B0304020202020204" pitchFamily="34" charset="0"/>
                      </a:rPr>
                      <a:t>m </a:t>
                    </a:r>
                    <a:fld id="{A51EFB11-6109-41E9-BC04-1311470971B3}" type="PERCENTAGE">
                      <a:rPr lang="en-US" baseline="0">
                        <a:latin typeface="Arial Nova Light" panose="020B0304020202020204" pitchFamily="34" charset="0"/>
                      </a:rPr>
                      <a:pPr>
                        <a:defRPr sz="800">
                          <a:ln>
                            <a:noFill/>
                          </a:ln>
                          <a:latin typeface="Arial Nova Light" panose="020B0304020202020204" pitchFamily="34" charset="0"/>
                        </a:defRPr>
                      </a:pPr>
                      <a:t>[PERCENTAGE]</a:t>
                    </a:fld>
                    <a:endParaRPr lang="en-US"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ln>
                        <a:noFill/>
                      </a:ln>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5825679263799789"/>
                      <c:h val="0.15099990240045585"/>
                    </c:manualLayout>
                  </c15:layout>
                  <c15:dlblFieldTable/>
                  <c15:showDataLabelsRange val="0"/>
                </c:ext>
                <c:ext xmlns:c16="http://schemas.microsoft.com/office/drawing/2014/chart" uri="{C3380CC4-5D6E-409C-BE32-E72D297353CC}">
                  <c16:uniqueId val="{00000001-7EEB-4FE9-B7CC-A34AAE968B41}"/>
                </c:ext>
              </c:extLst>
            </c:dLbl>
            <c:dLbl>
              <c:idx val="1"/>
              <c:layout>
                <c:manualLayout>
                  <c:x val="2.4454553943791261E-2"/>
                  <c:y val="-2.1850960566826606E-2"/>
                </c:manualLayout>
              </c:layout>
              <c:tx>
                <c:rich>
                  <a:bodyPr/>
                  <a:lstStyle/>
                  <a:p>
                    <a:fld id="{747FF4C1-2094-4A93-9241-6A10016409EA}" type="CATEGORYNAME">
                      <a:rPr lang="en-US" baseline="0"/>
                      <a:pPr/>
                      <a:t>[CATEGORY NAME]</a:t>
                    </a:fld>
                    <a:r>
                      <a:rPr lang="en-US" baseline="0"/>
                      <a:t> </a:t>
                    </a:r>
                    <a:fld id="{EB5E659A-7958-4E0F-B95F-6F305DC1EA38}" type="VALUE">
                      <a:rPr lang="en-US" baseline="0"/>
                      <a:pPr/>
                      <a:t>[VALUE]</a:t>
                    </a:fld>
                    <a:r>
                      <a:rPr lang="en-US" baseline="0"/>
                      <a:t>m </a:t>
                    </a:r>
                    <a:fld id="{21452BE7-949B-4F26-AA84-7F57E461E831}" type="PERCENTAGE">
                      <a:rPr lang="en-US" baseline="0"/>
                      <a:pPr/>
                      <a:t>[PERCENTAGE]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3149559353225124"/>
                      <c:h val="0.21283383724878333"/>
                    </c:manualLayout>
                  </c15:layout>
                  <c15:dlblFieldTable/>
                  <c15:showDataLabelsRange val="0"/>
                </c:ext>
                <c:ext xmlns:c16="http://schemas.microsoft.com/office/drawing/2014/chart" uri="{C3380CC4-5D6E-409C-BE32-E72D297353CC}">
                  <c16:uniqueId val="{00000003-7EEB-4FE9-B7CC-A34AAE968B41}"/>
                </c:ext>
              </c:extLst>
            </c:dLbl>
            <c:dLbl>
              <c:idx val="2"/>
              <c:layout>
                <c:manualLayout>
                  <c:x val="-3.9040952281949398E-2"/>
                  <c:y val="3.3935953010255746E-2"/>
                </c:manualLayout>
              </c:layout>
              <c:tx>
                <c:rich>
                  <a:bodyPr/>
                  <a:lstStyle/>
                  <a:p>
                    <a:fld id="{A032D626-9E8C-4F3B-9D7C-F1C2B972FB6D}" type="CATEGORYNAME">
                      <a:rPr lang="en-US" baseline="0"/>
                      <a:pPr/>
                      <a:t>[CATEGORY NAME]</a:t>
                    </a:fld>
                    <a:r>
                      <a:rPr lang="en-US" baseline="0"/>
                      <a:t> </a:t>
                    </a:r>
                    <a:fld id="{3585930A-A03D-4DED-AFAA-143BE7F9AA35}" type="VALUE">
                      <a:rPr lang="en-US" baseline="0"/>
                      <a:pPr/>
                      <a:t>[VALUE]</a:t>
                    </a:fld>
                    <a:r>
                      <a:rPr lang="en-US" baseline="0"/>
                      <a:t>m </a:t>
                    </a:r>
                    <a:fld id="{884342FA-9D9D-481B-85D9-15894E297D53}" type="PERCENTAGE">
                      <a:rPr lang="en-US" baseline="0"/>
                      <a:pPr/>
                      <a:t>[PERCENTAGE]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layout>
                    <c:manualLayout>
                      <c:w val="0.245468784963079"/>
                      <c:h val="0.17710038655334601"/>
                    </c:manualLayout>
                  </c15:layout>
                  <c15:dlblFieldTable/>
                  <c15:showDataLabelsRange val="0"/>
                </c:ext>
                <c:ext xmlns:c16="http://schemas.microsoft.com/office/drawing/2014/chart" uri="{C3380CC4-5D6E-409C-BE32-E72D297353CC}">
                  <c16:uniqueId val="{00000005-7EEB-4FE9-B7CC-A34AAE968B41}"/>
                </c:ext>
              </c:extLst>
            </c:dLbl>
            <c:dLbl>
              <c:idx val="3"/>
              <c:layout>
                <c:manualLayout>
                  <c:x val="-8.9261583981875489E-2"/>
                  <c:y val="4.832609427471201E-2"/>
                </c:manualLayout>
              </c:layout>
              <c:tx>
                <c:rich>
                  <a:bodyPr rot="0" spcFirstLastPara="1" vertOverflow="ellipsis" vert="horz" wrap="square" lIns="38100" tIns="19050" rIns="38100" bIns="19050" anchor="ctr" anchorCtr="1">
                    <a:noAutofit/>
                  </a:bodyPr>
                  <a:lstStyle/>
                  <a:p>
                    <a:pPr>
                      <a:defRPr sz="800" b="0" i="0" u="none" strike="noStrike" kern="1200" baseline="0">
                        <a:ln>
                          <a:noFill/>
                        </a:ln>
                        <a:solidFill>
                          <a:schemeClr val="tx1">
                            <a:lumMod val="75000"/>
                            <a:lumOff val="25000"/>
                          </a:schemeClr>
                        </a:solidFill>
                        <a:latin typeface="Arial Nova Light" panose="020B0304020202020204" pitchFamily="34" charset="0"/>
                        <a:ea typeface="+mn-ea"/>
                        <a:cs typeface="+mn-cs"/>
                      </a:defRPr>
                    </a:pPr>
                    <a:fld id="{D42BDBFB-6C03-42E3-8700-450308A8838A}" type="CATEGORYNAME">
                      <a:rPr lang="en-US" baseline="0">
                        <a:latin typeface="Arial Nova Light" panose="020B0304020202020204" pitchFamily="34" charset="0"/>
                      </a:rPr>
                      <a:pPr>
                        <a:defRPr sz="800">
                          <a:ln>
                            <a:noFill/>
                          </a:ln>
                          <a:latin typeface="Arial Nova Light" panose="020B0304020202020204" pitchFamily="34" charset="0"/>
                        </a:defRPr>
                      </a:pPr>
                      <a:t>[CATEGORY NAME]</a:t>
                    </a:fld>
                    <a:r>
                      <a:rPr lang="en-US" baseline="0">
                        <a:latin typeface="Arial Nova Light" panose="020B0304020202020204" pitchFamily="34" charset="0"/>
                      </a:rPr>
                      <a:t> </a:t>
                    </a:r>
                    <a:fld id="{C9F68E12-483D-4158-95C2-2F55DED872EF}" type="VALUE">
                      <a:rPr lang="en-US" baseline="0">
                        <a:latin typeface="Arial Nova Light" panose="020B0304020202020204" pitchFamily="34" charset="0"/>
                      </a:rPr>
                      <a:pPr>
                        <a:defRPr sz="800">
                          <a:ln>
                            <a:noFill/>
                          </a:ln>
                          <a:latin typeface="Arial Nova Light" panose="020B0304020202020204" pitchFamily="34" charset="0"/>
                        </a:defRPr>
                      </a:pPr>
                      <a:t>[VALUE]</a:t>
                    </a:fld>
                    <a:r>
                      <a:rPr lang="en-US" baseline="0">
                        <a:latin typeface="Arial Nova Light" panose="020B0304020202020204" pitchFamily="34" charset="0"/>
                      </a:rPr>
                      <a:t>m </a:t>
                    </a:r>
                    <a:fld id="{E6D6B72D-2E7B-484A-BD91-03FACC7C2741}" type="PERCENTAGE">
                      <a:rPr lang="en-US" baseline="0">
                        <a:latin typeface="Arial Nova Light" panose="020B0304020202020204" pitchFamily="34" charset="0"/>
                      </a:rPr>
                      <a:pPr>
                        <a:defRPr sz="800">
                          <a:ln>
                            <a:noFill/>
                          </a:ln>
                          <a:latin typeface="Arial Nova Light" panose="020B0304020202020204" pitchFamily="34" charset="0"/>
                        </a:defRPr>
                      </a:pPr>
                      <a:t>[PERCENTAGE]</a:t>
                    </a:fld>
                    <a:endParaRPr lang="en-US" baseline="0">
                      <a:latin typeface="Arial Nova Light" panose="020B03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ln>
                        <a:noFill/>
                      </a:ln>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extLst>
                <c:ext xmlns:c15="http://schemas.microsoft.com/office/drawing/2012/chart" uri="{CE6537A1-D6FC-4f65-9D91-7224C49458BB}">
                  <c15:layout>
                    <c:manualLayout>
                      <c:w val="0.22452882771586991"/>
                      <c:h val="0.14304500258635552"/>
                    </c:manualLayout>
                  </c15:layout>
                  <c15:dlblFieldTable/>
                  <c15:showDataLabelsRange val="0"/>
                </c:ext>
                <c:ext xmlns:c16="http://schemas.microsoft.com/office/drawing/2014/chart" uri="{C3380CC4-5D6E-409C-BE32-E72D297353CC}">
                  <c16:uniqueId val="{00000007-7EEB-4FE9-B7CC-A34AAE968B41}"/>
                </c:ext>
              </c:extLst>
            </c:dLbl>
            <c:dLbl>
              <c:idx val="4"/>
              <c:layout>
                <c:manualLayout>
                  <c:x val="-6.3930626348993116E-2"/>
                  <c:y val="-9.7772464305836432E-3"/>
                </c:manualLayout>
              </c:layout>
              <c:tx>
                <c:rich>
                  <a:bodyPr/>
                  <a:lstStyle/>
                  <a:p>
                    <a:fld id="{7E0A1DBF-FB97-41E1-A884-75B99AE2E297}" type="CATEGORYNAME">
                      <a:rPr lang="en-US" baseline="0"/>
                      <a:pPr/>
                      <a:t>[CATEGORY NAME]</a:t>
                    </a:fld>
                    <a:r>
                      <a:rPr lang="en-US" baseline="0"/>
                      <a:t> </a:t>
                    </a:r>
                    <a:fld id="{7C8B43EA-7094-40E2-BEBC-573FB866A190}" type="VALUE">
                      <a:rPr lang="en-US" baseline="0"/>
                      <a:pPr/>
                      <a:t>[VALUE]</a:t>
                    </a:fld>
                    <a:r>
                      <a:rPr lang="en-US" baseline="0"/>
                      <a:t>m </a:t>
                    </a:r>
                    <a:fld id="{46D025C6-8F4E-4000-890F-2D45AFF1D6AA}" type="PERCENTAGE">
                      <a:rPr lang="en-US" baseline="0"/>
                      <a:pPr/>
                      <a:t>[PERCENTAGE]</a:t>
                    </a:fld>
                    <a:endParaRPr lang="en-US" baseline="0"/>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7EEB-4FE9-B7CC-A34AAE968B41}"/>
                </c:ext>
              </c:extLst>
            </c:dLbl>
            <c:dLbl>
              <c:idx val="5"/>
              <c:layout>
                <c:manualLayout>
                  <c:x val="3.1813415122654086E-2"/>
                  <c:y val="-3.1180552692693549E-2"/>
                </c:manualLayout>
              </c:layout>
              <c:tx>
                <c:rich>
                  <a:bodyPr/>
                  <a:lstStyle/>
                  <a:p>
                    <a:fld id="{8150AAF5-B957-4B69-A634-762CD9819CA5}" type="CATEGORYNAME">
                      <a:rPr lang="en-US"/>
                      <a:pPr/>
                      <a:t>[CATEGORY NAME]</a:t>
                    </a:fld>
                    <a:r>
                      <a:rPr lang="en-US" baseline="0"/>
                      <a:t> </a:t>
                    </a:r>
                    <a:fld id="{8D8A1A39-E4EE-4D98-9FE2-B2A9C358EF21}" type="VALUE">
                      <a:rPr lang="en-US" baseline="0"/>
                      <a:pPr/>
                      <a:t>[VALUE]</a:t>
                    </a:fld>
                    <a:r>
                      <a:rPr lang="en-US" baseline="0"/>
                      <a:t>m (6.78%)</a:t>
                    </a:r>
                  </a:p>
                </c:rich>
              </c:tx>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7EEB-4FE9-B7CC-A34AAE968B41}"/>
                </c:ext>
              </c:extLst>
            </c:dLbl>
            <c:dLbl>
              <c:idx val="6"/>
              <c:layout>
                <c:manualLayout>
                  <c:x val="-8.0721342762864565E-2"/>
                  <c:y val="1.8656310964842972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D-7EEB-4FE9-B7CC-A34AAE968B41}"/>
                </c:ext>
              </c:extLst>
            </c:dLbl>
            <c:dLbl>
              <c:idx val="7"/>
              <c:layout>
                <c:manualLayout>
                  <c:x val="0.15292008048002179"/>
                  <c:y val="3.4678588568616878E-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7EEB-4FE9-B7CC-A34AAE968B4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chemeClr val="tx1">
                        <a:lumMod val="75000"/>
                        <a:lumOff val="25000"/>
                      </a:schemeClr>
                    </a:solidFill>
                    <a:latin typeface="Arial Nova Light" panose="020B0304020202020204" pitchFamily="34" charset="0"/>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Graphs!$A$21:$A$26</c:f>
              <c:strCache>
                <c:ptCount val="6"/>
                <c:pt idx="0">
                  <c:v> Grow Qld's energy sector </c:v>
                </c:pt>
                <c:pt idx="1">
                  <c:v> Building &amp; government accommodation services </c:v>
                </c:pt>
                <c:pt idx="2">
                  <c:v> Procurement policy &amp; enabling services </c:v>
                </c:pt>
                <c:pt idx="3">
                  <c:v> QBuild </c:v>
                </c:pt>
                <c:pt idx="4">
                  <c:v> QFleet </c:v>
                </c:pt>
                <c:pt idx="5">
                  <c:v> General - not attributed </c:v>
                </c:pt>
              </c:strCache>
            </c:strRef>
          </c:cat>
          <c:val>
            <c:numRef>
              <c:f>Graphs!$B$21:$B$26</c:f>
              <c:numCache>
                <c:formatCode>"$"#,##0.0</c:formatCode>
                <c:ptCount val="6"/>
                <c:pt idx="0">
                  <c:v>225.881</c:v>
                </c:pt>
                <c:pt idx="1">
                  <c:v>474.51</c:v>
                </c:pt>
                <c:pt idx="2">
                  <c:v>25.006</c:v>
                </c:pt>
                <c:pt idx="3">
                  <c:v>626.61800000000005</c:v>
                </c:pt>
                <c:pt idx="4">
                  <c:v>160.65100000000001</c:v>
                </c:pt>
                <c:pt idx="5">
                  <c:v>109.926</c:v>
                </c:pt>
              </c:numCache>
            </c:numRef>
          </c:val>
          <c:extLst>
            <c:ext xmlns:c16="http://schemas.microsoft.com/office/drawing/2014/chart" uri="{C3380CC4-5D6E-409C-BE32-E72D297353CC}">
              <c16:uniqueId val="{00000016-7EEB-4FE9-B7CC-A34AAE968B41}"/>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8-7EEB-4FE9-B7CC-A34AAE968B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A-7EEB-4FE9-B7CC-A34AAE968B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C-7EEB-4FE9-B7CC-A34AAE968B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E-7EEB-4FE9-B7CC-A34AAE968B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0-7EEB-4FE9-B7CC-A34AAE968B4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2-7EEB-4FE9-B7CC-A34AAE968B41}"/>
                    </c:ext>
                  </c:extLst>
                </c:dPt>
                <c:cat>
                  <c:strRef>
                    <c:extLst>
                      <c:ext uri="{02D57815-91ED-43cb-92C2-25804820EDAC}">
                        <c15:formulaRef>
                          <c15:sqref>Graphs!$A$21:$A$26</c15:sqref>
                        </c15:formulaRef>
                      </c:ext>
                    </c:extLst>
                    <c:strCache>
                      <c:ptCount val="6"/>
                      <c:pt idx="0">
                        <c:v> Grow Qld's energy sector </c:v>
                      </c:pt>
                      <c:pt idx="1">
                        <c:v> Building &amp; government accommodation services </c:v>
                      </c:pt>
                      <c:pt idx="2">
                        <c:v> Procurement policy &amp; enabling services </c:v>
                      </c:pt>
                      <c:pt idx="3">
                        <c:v> QBuild </c:v>
                      </c:pt>
                      <c:pt idx="4">
                        <c:v> QFleet </c:v>
                      </c:pt>
                      <c:pt idx="5">
                        <c:v> General - not attributed </c:v>
                      </c:pt>
                    </c:strCache>
                  </c:strRef>
                </c:cat>
                <c:val>
                  <c:numRef>
                    <c:extLst>
                      <c:ext uri="{02D57815-91ED-43cb-92C2-25804820EDAC}">
                        <c15:formulaRef>
                          <c15:sqref>Graphs!$C$21:$C$26</c15:sqref>
                        </c15:formulaRef>
                      </c:ext>
                    </c:extLst>
                    <c:numCache>
                      <c:formatCode>#,##0</c:formatCode>
                      <c:ptCount val="6"/>
                      <c:pt idx="0">
                        <c:v>225881</c:v>
                      </c:pt>
                      <c:pt idx="1">
                        <c:v>474510</c:v>
                      </c:pt>
                      <c:pt idx="2">
                        <c:v>25006</c:v>
                      </c:pt>
                      <c:pt idx="3">
                        <c:v>626618</c:v>
                      </c:pt>
                      <c:pt idx="4">
                        <c:v>160651</c:v>
                      </c:pt>
                      <c:pt idx="5">
                        <c:v>109926</c:v>
                      </c:pt>
                    </c:numCache>
                  </c:numRef>
                </c:val>
                <c:extLst>
                  <c:ext xmlns:c16="http://schemas.microsoft.com/office/drawing/2014/chart" uri="{C3380CC4-5D6E-409C-BE32-E72D297353CC}">
                    <c16:uniqueId val="{00000023-7EEB-4FE9-B7CC-A34AAE968B41}"/>
                  </c:ext>
                </c:extLst>
              </c15:ser>
            </c15:filteredPieSeries>
            <c15:filteredPieSeries>
              <c15:ser>
                <c:idx val="2"/>
                <c:order val="2"/>
                <c:dPt>
                  <c:idx val="0"/>
                  <c:bubble3D val="0"/>
                  <c:spPr>
                    <a:solidFill>
                      <a:schemeClr val="accent1"/>
                    </a:solidFill>
                    <a:ln w="19050">
                      <a:solidFill>
                        <a:schemeClr val="lt1"/>
                      </a:solidFill>
                    </a:ln>
                    <a:effectLst/>
                  </c:spPr>
                  <c:extLst xmlns:c15="http://schemas.microsoft.com/office/drawing/2012/chart">
                    <c:ext xmlns:c16="http://schemas.microsoft.com/office/drawing/2014/chart" uri="{C3380CC4-5D6E-409C-BE32-E72D297353CC}">
                      <c16:uniqueId val="{00000025-7EEB-4FE9-B7CC-A34AAE968B41}"/>
                    </c:ext>
                  </c:extLst>
                </c:dPt>
                <c:dPt>
                  <c:idx val="1"/>
                  <c:bubble3D val="0"/>
                  <c:spPr>
                    <a:solidFill>
                      <a:schemeClr val="accent2"/>
                    </a:solidFill>
                    <a:ln w="19050">
                      <a:solidFill>
                        <a:schemeClr val="lt1"/>
                      </a:solidFill>
                    </a:ln>
                    <a:effectLst/>
                  </c:spPr>
                  <c:extLst xmlns:c15="http://schemas.microsoft.com/office/drawing/2012/chart">
                    <c:ext xmlns:c16="http://schemas.microsoft.com/office/drawing/2014/chart" uri="{C3380CC4-5D6E-409C-BE32-E72D297353CC}">
                      <c16:uniqueId val="{00000027-7EEB-4FE9-B7CC-A34AAE968B41}"/>
                    </c:ext>
                  </c:extLst>
                </c:dPt>
                <c:dPt>
                  <c:idx val="2"/>
                  <c:bubble3D val="0"/>
                  <c:spPr>
                    <a:solidFill>
                      <a:schemeClr val="accent3"/>
                    </a:solidFill>
                    <a:ln w="19050">
                      <a:solidFill>
                        <a:schemeClr val="lt1"/>
                      </a:solidFill>
                    </a:ln>
                    <a:effectLst/>
                  </c:spPr>
                  <c:extLst xmlns:c15="http://schemas.microsoft.com/office/drawing/2012/chart">
                    <c:ext xmlns:c16="http://schemas.microsoft.com/office/drawing/2014/chart" uri="{C3380CC4-5D6E-409C-BE32-E72D297353CC}">
                      <c16:uniqueId val="{00000029-7EEB-4FE9-B7CC-A34AAE968B41}"/>
                    </c:ext>
                  </c:extLst>
                </c:dPt>
                <c:dPt>
                  <c:idx val="3"/>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2B-7EEB-4FE9-B7CC-A34AAE968B41}"/>
                    </c:ext>
                  </c:extLst>
                </c:dPt>
                <c:dPt>
                  <c:idx val="4"/>
                  <c:bubble3D val="0"/>
                  <c:spPr>
                    <a:solidFill>
                      <a:schemeClr val="accent5"/>
                    </a:solidFill>
                    <a:ln w="19050">
                      <a:solidFill>
                        <a:schemeClr val="lt1"/>
                      </a:solidFill>
                    </a:ln>
                    <a:effectLst/>
                  </c:spPr>
                  <c:extLst xmlns:c15="http://schemas.microsoft.com/office/drawing/2012/chart">
                    <c:ext xmlns:c16="http://schemas.microsoft.com/office/drawing/2014/chart" uri="{C3380CC4-5D6E-409C-BE32-E72D297353CC}">
                      <c16:uniqueId val="{0000002D-7EEB-4FE9-B7CC-A34AAE968B41}"/>
                    </c:ext>
                  </c:extLst>
                </c:dPt>
                <c:dPt>
                  <c:idx val="5"/>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2F-7EEB-4FE9-B7CC-A34AAE968B41}"/>
                    </c:ext>
                  </c:extLst>
                </c:dPt>
                <c:cat>
                  <c:strRef>
                    <c:extLst xmlns:c15="http://schemas.microsoft.com/office/drawing/2012/chart">
                      <c:ext xmlns:c15="http://schemas.microsoft.com/office/drawing/2012/chart" uri="{02D57815-91ED-43cb-92C2-25804820EDAC}">
                        <c15:formulaRef>
                          <c15:sqref>Graphs!$A$21:$A$26</c15:sqref>
                        </c15:formulaRef>
                      </c:ext>
                    </c:extLst>
                    <c:strCache>
                      <c:ptCount val="6"/>
                      <c:pt idx="0">
                        <c:v> Grow Qld's energy sector </c:v>
                      </c:pt>
                      <c:pt idx="1">
                        <c:v> Building &amp; government accommodation services </c:v>
                      </c:pt>
                      <c:pt idx="2">
                        <c:v> Procurement policy &amp; enabling services </c:v>
                      </c:pt>
                      <c:pt idx="3">
                        <c:v> QBuild </c:v>
                      </c:pt>
                      <c:pt idx="4">
                        <c:v> QFleet </c:v>
                      </c:pt>
                      <c:pt idx="5">
                        <c:v> General - not attributed </c:v>
                      </c:pt>
                    </c:strCache>
                  </c:strRef>
                </c:cat>
                <c:val>
                  <c:numRef>
                    <c:extLst xmlns:c15="http://schemas.microsoft.com/office/drawing/2012/chart">
                      <c:ext xmlns:c15="http://schemas.microsoft.com/office/drawing/2012/chart" uri="{02D57815-91ED-43cb-92C2-25804820EDAC}">
                        <c15:formulaRef>
                          <c15:sqref>Graphs!$D$21:$D$26</c15:sqref>
                        </c15:formulaRef>
                      </c:ext>
                    </c:extLst>
                    <c:numCache>
                      <c:formatCode>0.00%</c:formatCode>
                      <c:ptCount val="6"/>
                      <c:pt idx="0">
                        <c:v>0.13920998008125271</c:v>
                      </c:pt>
                      <c:pt idx="1">
                        <c:v>0.29243950420068632</c:v>
                      </c:pt>
                      <c:pt idx="2">
                        <c:v>1.5411144637715458E-2</c:v>
                      </c:pt>
                      <c:pt idx="3">
                        <c:v>0.38618334122194614</c:v>
                      </c:pt>
                      <c:pt idx="4">
                        <c:v>9.9008869759002874E-2</c:v>
                      </c:pt>
                      <c:pt idx="5">
                        <c:v>6.774716009939652E-2</c:v>
                      </c:pt>
                    </c:numCache>
                  </c:numRef>
                </c:val>
                <c:extLst xmlns:c15="http://schemas.microsoft.com/office/drawing/2012/chart">
                  <c:ext xmlns:c16="http://schemas.microsoft.com/office/drawing/2014/chart" uri="{C3380CC4-5D6E-409C-BE32-E72D297353CC}">
                    <c16:uniqueId val="{00000030-7EEB-4FE9-B7CC-A34AAE968B41}"/>
                  </c:ext>
                </c:extLst>
              </c15:ser>
            </c15:filteredPieSeries>
          </c:ext>
        </c:extLst>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solidFill>
              <a:srgbClr val="000000"/>
            </a:solid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2C5046B93FF74398B6481BE9D4F748" ma:contentTypeVersion="6" ma:contentTypeDescription="Create a new document." ma:contentTypeScope="" ma:versionID="f9e1a805fc3b05b3698fda7c38c54cda">
  <xsd:schema xmlns:xsd="http://www.w3.org/2001/XMLSchema" xmlns:xs="http://www.w3.org/2001/XMLSchema" xmlns:p="http://schemas.microsoft.com/office/2006/metadata/properties" xmlns:ns2="732db649-a34b-46e1-8763-f06bf7c168b9" xmlns:ns3="755c3543-8a72-451c-ac77-5cffb057a320" targetNamespace="http://schemas.microsoft.com/office/2006/metadata/properties" ma:root="true" ma:fieldsID="a0fcb59946d3ce7b94bef7baadc2cac3" ns2:_="" ns3:_="">
    <xsd:import namespace="732db649-a34b-46e1-8763-f06bf7c168b9"/>
    <xsd:import namespace="755c3543-8a72-451c-ac77-5cffb057a3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db649-a34b-46e1-8763-f06bf7c16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c3543-8a72-451c-ac77-5cffb057a3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58840-AA2F-4E82-8838-2667CA1BC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AA8E51-B9BC-4E07-B94D-F89C557CD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db649-a34b-46e1-8763-f06bf7c168b9"/>
    <ds:schemaRef ds:uri="755c3543-8a72-451c-ac77-5cffb057a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D2ED9-D183-4096-BF5C-67D33B3C7F86}">
  <ds:schemaRefs>
    <ds:schemaRef ds:uri="http://schemas.openxmlformats.org/officeDocument/2006/bibliography"/>
  </ds:schemaRefs>
</ds:datastoreItem>
</file>

<file path=customXml/itemProps4.xml><?xml version="1.0" encoding="utf-8"?>
<ds:datastoreItem xmlns:ds="http://schemas.openxmlformats.org/officeDocument/2006/customXml" ds:itemID="{8F962DDA-0CEC-4F5F-AA77-A33F97760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19525</Words>
  <Characters>111298</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EPW A4P Document no cover—greyscale</vt:lpstr>
    </vt:vector>
  </TitlesOfParts>
  <Company>Department of Housing and Public Works</Company>
  <LinksUpToDate>false</LinksUpToDate>
  <CharactersWithSpaces>130562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DEC Annual Report</dc:title>
  <dc:subject/>
  <dc:creator>Kris Dempster</dc:creator>
  <cp:keywords>A4, portrait, factsheet, template, BW, greyscale</cp:keywords>
  <dc:description/>
  <cp:lastModifiedBy>Kris Dempster</cp:lastModifiedBy>
  <cp:revision>2</cp:revision>
  <cp:lastPrinted>2024-09-05T10:02:00Z</cp:lastPrinted>
  <dcterms:created xsi:type="dcterms:W3CDTF">2024-09-06T00:14:00Z</dcterms:created>
  <dcterms:modified xsi:type="dcterms:W3CDTF">2024-09-06T00:14:00Z</dcterms:modified>
  <cp:contentStatus>Annual Report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0x010100F42C5046B93FF74398B6481BE9D4F748</vt:lpwstr>
  </property>
  <property fmtid="{D5CDD505-2E9C-101B-9397-08002B2CF9AE}" pid="3" name="TaxKeyword">
    <vt:lpwstr>406;#portrait|c1018efc-2dc6-4702-9358-55e88104df21;#183;#Template|4cae74c2-1c99-4c44-96e5-6902aebf4c10;#2698;#greyscale|d23326b7-51b9-4af9-a877-bbf0c3d7f560;#200;#factsheet|f5360485-fc5d-4a57-9517-7e19365afe1f;#2699;#BW|51c865bc-b7ab-4f4a-8764-9917230c568</vt:lpwstr>
  </property>
  <property fmtid="{D5CDD505-2E9C-101B-9397-08002B2CF9AE}" pid="4" name="MediaServiceImageTags">
    <vt:lpwstr/>
  </property>
</Properties>
</file>